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>
          <w:i/>
          <w:i/>
          <w:iCs/>
          <w:color w:val="555555"/>
        </w:rPr>
      </w:pPr>
      <w:r>
        <w:rPr>
          <w:rFonts w:ascii="Liberation Mono" w:hAnsi="Liberation Mono"/>
          <w:b/>
          <w:bCs/>
          <w:sz w:val="20"/>
          <w:szCs w:val="20"/>
        </w:rPr>
        <w:t>PERSIS — Monthly System Overhead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25"/>
        <w:gridCol w:w="2595"/>
        <w:gridCol w:w="3349"/>
        <w:gridCol w:w="2256"/>
      </w:tblGrid>
      <w:tr>
        <w:trPr>
          <w:tblHeader w:val="true"/>
        </w:trPr>
        <w:tc>
          <w:tcPr>
            <w:tcW w:w="8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5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33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b/>
                <w:bCs/>
                <w:sz w:val="20"/>
                <w:szCs w:val="20"/>
              </w:rPr>
              <w:t>What it's for</w:t>
            </w:r>
          </w:p>
        </w:tc>
        <w:tc>
          <w:tcPr>
            <w:tcW w:w="225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b/>
                <w:bCs/>
                <w:sz w:val="20"/>
                <w:szCs w:val="20"/>
              </w:rPr>
              <w:t>Est. monthly cost</w:t>
            </w:r>
          </w:p>
        </w:tc>
      </w:tr>
      <w:tr>
        <w:trPr/>
        <w:tc>
          <w:tcPr>
            <w:tcW w:w="8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25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b/>
                <w:bCs/>
                <w:sz w:val="20"/>
                <w:szCs w:val="20"/>
              </w:rPr>
              <w:t>Railway (hosting)</w:t>
            </w:r>
          </w:p>
        </w:tc>
        <w:tc>
          <w:tcPr>
            <w:tcW w:w="33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Runs the web app (Docker deploy) + database</w:t>
            </w:r>
          </w:p>
        </w:tc>
        <w:tc>
          <w:tcPr>
            <w:tcW w:w="225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~RM 25–95 ($5–20, usage-based)</w:t>
            </w:r>
          </w:p>
        </w:tc>
      </w:tr>
      <w:tr>
        <w:trPr/>
        <w:tc>
          <w:tcPr>
            <w:tcW w:w="8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2</w:t>
            </w:r>
          </w:p>
        </w:tc>
        <w:tc>
          <w:tcPr>
            <w:tcW w:w="25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b/>
                <w:bCs/>
                <w:sz w:val="20"/>
                <w:szCs w:val="20"/>
              </w:rPr>
              <w:t>MongoDB (database)</w:t>
            </w:r>
          </w:p>
        </w:tc>
        <w:tc>
          <w:tcPr>
            <w:tcW w:w="33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All data: users, projects, BOQ, pricing, payments</w:t>
            </w:r>
          </w:p>
        </w:tc>
        <w:tc>
          <w:tcPr>
            <w:tcW w:w="225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RM 0 (free tier) → ~RM 45–230 (Atlas M10+) as data grows</w:t>
            </w:r>
          </w:p>
        </w:tc>
      </w:tr>
      <w:tr>
        <w:trPr/>
        <w:tc>
          <w:tcPr>
            <w:tcW w:w="8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3</w:t>
            </w:r>
          </w:p>
        </w:tc>
        <w:tc>
          <w:tcPr>
            <w:tcW w:w="25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b/>
                <w:bCs/>
                <w:sz w:val="20"/>
                <w:szCs w:val="20"/>
              </w:rPr>
              <w:t>Cloudflare R2 (file storage)</w:t>
            </w:r>
          </w:p>
        </w:tc>
        <w:tc>
          <w:tcPr>
            <w:tcW w:w="33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Tender uploads + generated deliverables, durable across deploys</w:t>
            </w:r>
          </w:p>
        </w:tc>
        <w:tc>
          <w:tcPr>
            <w:tcW w:w="225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RM 0 (free tier: 10 GB) — likely $0 at current scale</w:t>
            </w:r>
          </w:p>
        </w:tc>
      </w:tr>
      <w:tr>
        <w:trPr/>
        <w:tc>
          <w:tcPr>
            <w:tcW w:w="8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4</w:t>
            </w:r>
          </w:p>
        </w:tc>
        <w:tc>
          <w:tcPr>
            <w:tcW w:w="25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b/>
                <w:bCs/>
                <w:sz w:val="20"/>
                <w:szCs w:val="20"/>
              </w:rPr>
              <w:t>Moonshot Kimi (AI API)</w:t>
            </w:r>
          </w:p>
        </w:tc>
        <w:tc>
          <w:tcPr>
            <w:tcW w:w="33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BOQ extraction, scanned-PDF OCR, deliverable writing, pricing assist — the core engine</w:t>
            </w:r>
          </w:p>
        </w:tc>
        <w:tc>
          <w:tcPr>
            <w:tcW w:w="225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Variable, pay-per-token; est. RM 50–400+ (scales with usage)</w:t>
            </w:r>
          </w:p>
        </w:tc>
      </w:tr>
      <w:tr>
        <w:trPr/>
        <w:tc>
          <w:tcPr>
            <w:tcW w:w="8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5</w:t>
            </w:r>
          </w:p>
        </w:tc>
        <w:tc>
          <w:tcPr>
            <w:tcW w:w="25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b/>
                <w:bCs/>
                <w:sz w:val="20"/>
                <w:szCs w:val="20"/>
              </w:rPr>
              <w:t>Google Gemini (AI API)</w:t>
            </w:r>
          </w:p>
        </w:tc>
        <w:tc>
          <w:tcPr>
            <w:tcW w:w="33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AI-narrated strategy briefing (text-to-speech)</w:t>
            </w:r>
          </w:p>
        </w:tc>
        <w:tc>
          <w:tcPr>
            <w:tcW w:w="225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Variable; est. RM 0–50 (light use)</w:t>
            </w:r>
          </w:p>
        </w:tc>
      </w:tr>
      <w:tr>
        <w:trPr/>
        <w:tc>
          <w:tcPr>
            <w:tcW w:w="8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6</w:t>
            </w:r>
          </w:p>
        </w:tc>
        <w:tc>
          <w:tcPr>
            <w:tcW w:w="25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b/>
                <w:bCs/>
                <w:sz w:val="20"/>
                <w:szCs w:val="20"/>
              </w:rPr>
              <w:t>Alibaba DashScope (OCR API)</w:t>
            </w:r>
          </w:p>
        </w:tc>
        <w:tc>
          <w:tcPr>
            <w:tcW w:w="33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Vision OCR for scanned tender PDFs</w:t>
            </w:r>
          </w:p>
        </w:tc>
        <w:tc>
          <w:tcPr>
            <w:tcW w:w="225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Variable, pay-per-call; est. RM 0–50</w:t>
            </w:r>
          </w:p>
        </w:tc>
      </w:tr>
      <w:tr>
        <w:trPr/>
        <w:tc>
          <w:tcPr>
            <w:tcW w:w="8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7</w:t>
            </w:r>
          </w:p>
        </w:tc>
        <w:tc>
          <w:tcPr>
            <w:tcW w:w="25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b/>
                <w:bCs/>
                <w:sz w:val="20"/>
                <w:szCs w:val="20"/>
              </w:rPr>
              <w:t>Resend (email API)</w:t>
            </w:r>
          </w:p>
        </w:tc>
        <w:tc>
          <w:tcPr>
            <w:tcW w:w="33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Transactional emails (registration, trial nudges, receipts)</w:t>
            </w:r>
          </w:p>
        </w:tc>
        <w:tc>
          <w:tcPr>
            <w:tcW w:w="225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RM 0 (free: 3k/mo) → ~RM 95 ($20) beyond</w:t>
            </w:r>
          </w:p>
        </w:tc>
      </w:tr>
      <w:tr>
        <w:trPr/>
        <w:tc>
          <w:tcPr>
            <w:tcW w:w="8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8</w:t>
            </w:r>
          </w:p>
        </w:tc>
        <w:tc>
          <w:tcPr>
            <w:tcW w:w="25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b/>
                <w:bCs/>
                <w:sz w:val="20"/>
                <w:szCs w:val="20"/>
              </w:rPr>
              <w:t>Google Cloud (OAuth)</w:t>
            </w:r>
          </w:p>
        </w:tc>
        <w:tc>
          <w:tcPr>
            <w:tcW w:w="33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Google sign-in</w:t>
            </w:r>
          </w:p>
        </w:tc>
        <w:tc>
          <w:tcPr>
            <w:tcW w:w="225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RM 0 (free)</w:t>
            </w:r>
          </w:p>
        </w:tc>
      </w:tr>
      <w:tr>
        <w:trPr/>
        <w:tc>
          <w:tcPr>
            <w:tcW w:w="8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9</w:t>
            </w:r>
          </w:p>
        </w:tc>
        <w:tc>
          <w:tcPr>
            <w:tcW w:w="25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b/>
                <w:bCs/>
                <w:sz w:val="20"/>
                <w:szCs w:val="20"/>
              </w:rPr>
              <w:t>Domain — persis.</w:t>
            </w:r>
            <w:r>
              <w:rPr>
                <w:rFonts w:ascii="Liberation Mono" w:hAnsi="Liberation Mono"/>
                <w:b/>
                <w:bCs/>
                <w:sz w:val="20"/>
                <w:szCs w:val="20"/>
              </w:rPr>
              <w:t>my</w:t>
            </w:r>
          </w:p>
        </w:tc>
        <w:tc>
          <w:tcPr>
            <w:tcW w:w="33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Public website / domain</w:t>
            </w:r>
          </w:p>
        </w:tc>
        <w:tc>
          <w:tcPr>
            <w:tcW w:w="225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 xml:space="preserve">~RM </w:t>
            </w:r>
            <w:r>
              <w:rPr>
                <w:rFonts w:ascii="Liberation Mono" w:hAnsi="Liberation Mono"/>
                <w:sz w:val="20"/>
                <w:szCs w:val="20"/>
              </w:rPr>
              <w:t>12</w:t>
            </w:r>
            <w:r>
              <w:rPr>
                <w:rFonts w:ascii="Liberation Mono" w:hAnsi="Liberation Mono"/>
                <w:sz w:val="20"/>
                <w:szCs w:val="20"/>
              </w:rPr>
              <w:t>0 (annual, amortised)</w:t>
            </w:r>
          </w:p>
        </w:tc>
      </w:tr>
      <w:tr>
        <w:trPr/>
        <w:tc>
          <w:tcPr>
            <w:tcW w:w="8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10</w:t>
            </w:r>
          </w:p>
        </w:tc>
        <w:tc>
          <w:tcPr>
            <w:tcW w:w="259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b/>
                <w:bCs/>
                <w:sz w:val="20"/>
                <w:szCs w:val="20"/>
              </w:rPr>
              <w:t>Chip In Asia (payments)</w:t>
            </w:r>
          </w:p>
        </w:tc>
        <w:tc>
          <w:tcPr>
            <w:tcW w:w="33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FPX online-banking checkout for subscriptions / top-ups</w:t>
            </w:r>
          </w:p>
        </w:tc>
        <w:tc>
          <w:tcPr>
            <w:tcW w:w="225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 monthly fee; ~1–1.5% per transaction (revenue share)</w:t>
            </w:r>
          </w:p>
        </w:tc>
      </w:tr>
      <w:tr>
        <w:trPr>
          <w:trHeight w:val="319" w:hRule="atLeast"/>
        </w:trPr>
        <w:tc>
          <w:tcPr>
            <w:tcW w:w="825" w:type="dxa"/>
            <w:tcBorders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11</w:t>
            </w:r>
          </w:p>
        </w:tc>
        <w:tc>
          <w:tcPr>
            <w:tcW w:w="2595" w:type="dxa"/>
            <w:tcBorders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Kimi Code</w:t>
            </w:r>
          </w:p>
        </w:tc>
        <w:tc>
          <w:tcPr>
            <w:tcW w:w="3349" w:type="dxa"/>
            <w:tcBorders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Code modifications and edits</w:t>
            </w:r>
          </w:p>
        </w:tc>
        <w:tc>
          <w:tcPr>
            <w:tcW w:w="2256" w:type="dxa"/>
            <w:tcBorders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</w:t>
            </w:r>
            <w:r>
              <w:rPr>
                <w:rFonts w:ascii="Liberation Mono" w:hAnsi="Liberation Mono"/>
                <w:sz w:val="20"/>
                <w:szCs w:val="20"/>
              </w:rPr>
              <w:t>ariable; est. RM 0–</w:t>
            </w:r>
            <w:r>
              <w:rPr>
                <w:rFonts w:ascii="Liberation Mono" w:hAnsi="Liberation Mono"/>
                <w:sz w:val="20"/>
                <w:szCs w:val="20"/>
              </w:rPr>
              <w:t>85</w:t>
            </w:r>
          </w:p>
        </w:tc>
      </w:tr>
    </w:tbl>
    <w:p>
      <w:pPr>
        <w:pStyle w:val="Normal"/>
        <w:spacing w:before="0" w:after="24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Heading2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>Notes</w:t>
      </w:r>
    </w:p>
    <w:p>
      <w:pPr>
        <w:pStyle w:val="ListParagraph"/>
        <w:numPr>
          <w:ilvl w:val="0"/>
          <w:numId w:val="3"/>
        </w:numPr>
        <w:spacing w:before="0" w:after="12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Fixed vs variable: only hosting (Railway), database (MongoDB) and the domain are meaningfully fixed. The AI/OCR costs are pay-per-use and grow directly with how much processing users do — the main variable to watch.</w:t>
      </w:r>
    </w:p>
    <w:p>
      <w:pPr>
        <w:pStyle w:val="ListParagraph"/>
        <w:numPr>
          <w:ilvl w:val="0"/>
          <w:numId w:val="1"/>
        </w:numPr>
        <w:spacing w:before="0" w:after="12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Largest variable: Moonshot Kimi is the biggest and most usage-sensitive cost, since it powers extraction, OCR, document generation and pricing on every tender.</w:t>
      </w:r>
    </w:p>
    <w:p>
      <w:pPr>
        <w:pStyle w:val="ListParagraph"/>
        <w:numPr>
          <w:ilvl w:val="0"/>
          <w:numId w:val="1"/>
        </w:numPr>
        <w:spacing w:before="0" w:after="12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Currently ~RM 0 items (R2, Resend, Google OAuth, Gemini/DashScope at low volume) stay free until usage grows — listed for completeness, not because they cost anything yet.</w:t>
      </w:r>
    </w:p>
    <w:p>
      <w:pPr>
        <w:pStyle w:val="ListParagraph"/>
        <w:numPr>
          <w:ilvl w:val="0"/>
          <w:numId w:val="1"/>
        </w:numPr>
        <w:spacing w:before="0" w:after="12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Payment processing (Chip In Asia) is not a fixed overhead — it is a per-transaction percentage deducted from revenue, listed so the Partners see the full picture.</w:t>
      </w:r>
    </w:p>
    <w:p>
      <w:pPr>
        <w:pStyle w:val="ListParagraph"/>
        <w:numPr>
          <w:ilvl w:val="0"/>
          <w:numId w:val="1"/>
        </w:numPr>
        <w:spacing w:before="0" w:after="12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Realistic total today: roughly RM 100–400/month depending on processing volume, dominated by hosting + AI API usage.</w:t>
      </w:r>
    </w:p>
    <w:p>
      <w:pPr>
        <w:pStyle w:val="Normal"/>
        <w:spacing w:before="0" w:after="12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i/>
          <w:iCs/>
          <w:color w:val="555555"/>
          <w:sz w:val="16"/>
          <w:szCs w:val="16"/>
        </w:rPr>
        <w:t>Estimates to be confirmed against actual invoices; AI API costs depend on token/call volume.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</TotalTime>
  <Application>LibreOffice/24.2.7.2$Linux_X86_64 LibreOffice_project/420$Build-2</Application>
  <AppVersion>15.0000</AppVersion>
  <Pages>1</Pages>
  <Words>352</Words>
  <Characters>1864</Characters>
  <CharactersWithSpaces>2153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2026-10-03T07:12:38Z</dcterms:created>
  <dc:creator>PERSIS</dc:creator>
  <dc:description/>
  <dc:language>en-US</dc:language>
  <cp:lastModifiedBy/>
  <cp:lastPrinted>2026-10-03T15:20:37Z</cp:lastPrinted>
  <dcterms:modified xsi:type="dcterms:W3CDTF">2026-10-03T16:44:32Z</dcterms:modified>
  <cp:revision>2</cp:revision>
  <dc:subject/>
  <dc:title>PERSIS Monthly System Overhead</dc:title>
</cp:coreProperties>
</file>