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4C083">
      <w:pPr>
        <w:spacing w:line="336" w:lineRule="auto"/>
        <w:ind w:firstLine="480"/>
        <w:jc w:val="right"/>
        <w:rPr>
          <w:rFonts w:ascii="宋体" w:hAnsi="宋体"/>
        </w:rPr>
      </w:pPr>
    </w:p>
    <w:p w14:paraId="074A3C68">
      <w:pPr>
        <w:widowControl/>
        <w:ind w:firstLine="640"/>
        <w:jc w:val="left"/>
      </w:pPr>
      <w:r>
        <w:rPr>
          <w:rFonts w:hint="eastAsia" w:ascii="仿宋_GB2312" w:eastAsia="仿宋_GB2312"/>
          <w:spacing w:val="-10"/>
          <w:sz w:val="32"/>
          <w:szCs w:val="32"/>
        </w:rPr>
        <w:drawing>
          <wp:anchor distT="0" distB="0" distL="0" distR="0" simplePos="0" relativeHeight="251661312" behindDoc="0" locked="0" layoutInCell="1" allowOverlap="1">
            <wp:simplePos x="0" y="0"/>
            <wp:positionH relativeFrom="column">
              <wp:posOffset>929640</wp:posOffset>
            </wp:positionH>
            <wp:positionV relativeFrom="paragraph">
              <wp:posOffset>9525</wp:posOffset>
            </wp:positionV>
            <wp:extent cx="3695700" cy="914400"/>
            <wp:effectExtent l="19050" t="0" r="0" b="0"/>
            <wp:wrapSquare wrapText="bothSides"/>
            <wp:docPr id="8" name="图片 4" descr="779375071302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7793750713020926"/>
                    <pic:cNvPicPr>
                      <a:picLocks noChangeAspect="1" noChangeArrowheads="1"/>
                    </pic:cNvPicPr>
                  </pic:nvPicPr>
                  <pic:blipFill>
                    <a:blip r:embed="rId17" cstate="print"/>
                    <a:srcRect/>
                    <a:stretch>
                      <a:fillRect/>
                    </a:stretch>
                  </pic:blipFill>
                  <pic:spPr>
                    <a:xfrm>
                      <a:off x="0" y="0"/>
                      <a:ext cx="3695700" cy="914400"/>
                    </a:xfrm>
                    <a:prstGeom prst="rect">
                      <a:avLst/>
                    </a:prstGeom>
                    <a:noFill/>
                    <a:ln w="9525" cmpd="sng">
                      <a:noFill/>
                      <a:miter lim="800000"/>
                      <a:headEnd/>
                      <a:tailEnd/>
                    </a:ln>
                    <a:effectLst/>
                  </pic:spPr>
                </pic:pic>
              </a:graphicData>
            </a:graphic>
          </wp:anchor>
        </w:drawing>
      </w:r>
      <w:r>
        <w:rPr>
          <w:rFonts w:hint="eastAsia" w:ascii="仿宋_GB2312" w:eastAsia="仿宋_GB2312"/>
          <w:spacing w:val="-10"/>
          <w:sz w:val="32"/>
          <w:szCs w:val="32"/>
        </w:rPr>
        <w:t xml:space="preserve">     </w:t>
      </w:r>
    </w:p>
    <w:p w14:paraId="45FC1AF4">
      <w:pPr>
        <w:snapToGrid w:val="0"/>
        <w:spacing w:line="312" w:lineRule="auto"/>
        <w:ind w:firstLine="600"/>
        <w:rPr>
          <w:rFonts w:eastAsia="楷体_GB2312"/>
          <w:b/>
          <w:bCs/>
          <w:sz w:val="52"/>
        </w:rPr>
      </w:pPr>
      <w:r>
        <w:rPr>
          <w:rFonts w:hint="eastAsia" w:ascii="仿宋_GB2312" w:eastAsia="仿宋_GB2312"/>
          <w:spacing w:val="-10"/>
          <w:sz w:val="32"/>
          <w:szCs w:val="32"/>
        </w:rPr>
        <w:t xml:space="preserve">  </w:t>
      </w:r>
      <w:r>
        <w:rPr>
          <w:rFonts w:eastAsia="楷体_GB2312"/>
          <w:sz w:val="28"/>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-100965</wp:posOffset>
                </wp:positionV>
                <wp:extent cx="3178175" cy="859790"/>
                <wp:effectExtent l="0" t="0" r="0" b="0"/>
                <wp:wrapNone/>
                <wp:docPr id="3" name="文本框 2"/>
                <wp:cNvGraphicFramePr/>
                <a:graphic xmlns:a="http://schemas.openxmlformats.org/drawingml/2006/main">
                  <a:graphicData uri="http://schemas.microsoft.com/office/word/2010/wordprocessingShape">
                    <wps:wsp>
                      <wps:cNvSpPr txBox="1"/>
                      <wps:spPr>
                        <a:xfrm>
                          <a:off x="0" y="0"/>
                          <a:ext cx="3178175" cy="859790"/>
                        </a:xfrm>
                        <a:prstGeom prst="rect">
                          <a:avLst/>
                        </a:prstGeom>
                        <a:solidFill>
                          <a:srgbClr val="FFFFFF"/>
                        </a:solidFill>
                        <a:ln>
                          <a:noFill/>
                        </a:ln>
                      </wps:spPr>
                      <wps:txbx>
                        <w:txbxContent>
                          <w:p w14:paraId="39B63DE0">
                            <w:pPr>
                              <w:widowControl/>
                              <w:ind w:firstLine="480"/>
                              <w:jc w:val="left"/>
                            </w:pPr>
                          </w:p>
                          <w:p w14:paraId="1F709065">
                            <w:pPr>
                              <w:ind w:firstLine="480"/>
                              <w:jc w:val="center"/>
                            </w:pPr>
                          </w:p>
                        </w:txbxContent>
                      </wps:txbx>
                      <wps:bodyPr wrap="none" upright="1">
                        <a:spAutoFit/>
                      </wps:bodyPr>
                    </wps:wsp>
                  </a:graphicData>
                </a:graphic>
              </wp:anchor>
            </w:drawing>
          </mc:Choice>
          <mc:Fallback>
            <w:pict>
              <v:shape id="文本框 2" o:spid="_x0000_s1026" o:spt="202" type="#_x0000_t202" style="position:absolute;left:0pt;margin-left:-9pt;margin-top:-7.95pt;height:67.7pt;width:250.25pt;mso-wrap-style:none;z-index:251660288;mso-width-relative:page;mso-height-relative:page;" fillcolor="#FFFFFF" filled="t" stroked="f" coordsize="21600,21600" o:gfxdata="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Dp1Pb2gAAAAsBAAAPAAAAAAAA&#10;AAEAIAAAACIAAABkcnMvZG93bnJldi54bWxQSwECFAAUAAAACACHTuJAbxHNxtcBAACdAwAADgAA&#10;AAAAAAABACAAAAApAQAAZHJzL2Uyb0RvYy54bWxQSwUGAAAAAAYABgBZAQAAcgUAAAAA&#10;">
                <v:fill on="t" focussize="0,0"/>
                <v:stroke on="f"/>
                <v:imagedata o:title=""/>
                <o:lock v:ext="edit" aspectratio="f"/>
                <v:textbox style="mso-fit-shape-to-text:t;">
                  <w:txbxContent>
                    <w:p w14:paraId="39B63DE0">
                      <w:pPr>
                        <w:widowControl/>
                        <w:ind w:firstLine="480"/>
                        <w:jc w:val="left"/>
                      </w:pPr>
                    </w:p>
                    <w:p w14:paraId="1F709065">
                      <w:pPr>
                        <w:ind w:firstLine="480"/>
                        <w:jc w:val="center"/>
                      </w:pPr>
                    </w:p>
                  </w:txbxContent>
                </v:textbox>
              </v:shape>
            </w:pict>
          </mc:Fallback>
        </mc:AlternateContent>
      </w:r>
    </w:p>
    <w:p w14:paraId="73A2CCD1">
      <w:pPr>
        <w:spacing w:before="166" w:beforeLines="50" w:after="66" w:afterLines="20" w:line="500" w:lineRule="exact"/>
        <w:ind w:firstLine="0" w:firstLineChars="0"/>
        <w:rPr>
          <w:rFonts w:eastAsia="楷体_GB2312"/>
          <w:b/>
          <w:bCs/>
          <w:color w:val="FFFFFF"/>
        </w:rPr>
      </w:pPr>
    </w:p>
    <w:p w14:paraId="47986762">
      <w:pPr>
        <w:spacing w:before="166" w:beforeLines="50" w:after="66" w:afterLines="20" w:line="500" w:lineRule="exact"/>
        <w:ind w:firstLine="0" w:firstLineChars="0"/>
        <w:rPr>
          <w:rFonts w:eastAsia="楷体_GB2312"/>
          <w:b/>
          <w:bCs/>
          <w:color w:val="FFFFFF"/>
        </w:rPr>
      </w:pPr>
    </w:p>
    <w:p w14:paraId="3CC30560">
      <w:pPr>
        <w:spacing w:line="360" w:lineRule="auto"/>
        <w:ind w:firstLine="0" w:firstLineChars="0"/>
        <w:jc w:val="center"/>
        <w:rPr>
          <w:rFonts w:ascii="黑体" w:eastAsia="黑体"/>
          <w:sz w:val="72"/>
        </w:rPr>
      </w:pPr>
      <w:r>
        <w:rPr>
          <w:rFonts w:hint="eastAsia" w:ascii="黑体" w:eastAsia="黑体"/>
          <w:sz w:val="72"/>
        </w:rPr>
        <w:t>本科毕业论文</w:t>
      </w:r>
    </w:p>
    <w:p w14:paraId="20B2077F">
      <w:pPr>
        <w:ind w:right="-722" w:rightChars="-301" w:firstLine="1446"/>
        <w:rPr>
          <w:b/>
          <w:bCs/>
          <w:sz w:val="72"/>
        </w:rPr>
      </w:pPr>
    </w:p>
    <w:p w14:paraId="2D0307F6">
      <w:pPr>
        <w:tabs>
          <w:tab w:val="left" w:pos="2520"/>
          <w:tab w:val="left" w:pos="7740"/>
        </w:tabs>
        <w:spacing w:line="720" w:lineRule="exact"/>
        <w:ind w:left="240" w:leftChars="100" w:firstLine="627" w:firstLineChars="196"/>
        <w:jc w:val="center"/>
        <w:rPr>
          <w:rFonts w:ascii="黑体" w:hAnsi="黑体" w:eastAsia="黑体" w:cs="黑体"/>
          <w:sz w:val="32"/>
          <w:u w:val="single"/>
        </w:rPr>
      </w:pPr>
      <w:r>
        <w:rPr>
          <w:rFonts w:hint="eastAsia" w:ascii="黑体" w:eastAsia="黑体"/>
          <w:b/>
          <w:bCs/>
          <w:sz w:val="32"/>
          <w:szCs w:val="32"/>
        </w:rPr>
        <w:t>论文题目</w:t>
      </w:r>
      <w:r>
        <w:rPr>
          <w:rFonts w:ascii="黑体" w:eastAsia="黑体"/>
          <w:b/>
          <w:bCs/>
          <w:sz w:val="32"/>
          <w:szCs w:val="32"/>
        </w:rPr>
        <w:t xml:space="preserve">: </w:t>
      </w:r>
      <w:r>
        <w:rPr>
          <w:rFonts w:hint="eastAsia" w:ascii="黑体" w:hAnsi="黑体" w:eastAsia="黑体" w:cs="黑体"/>
          <w:sz w:val="32"/>
          <w:u w:val="single"/>
        </w:rPr>
        <w:t>基于机器学习的软件项目</w:t>
      </w:r>
    </w:p>
    <w:p w14:paraId="68554580">
      <w:pPr>
        <w:tabs>
          <w:tab w:val="left" w:pos="2520"/>
          <w:tab w:val="left" w:pos="7740"/>
        </w:tabs>
        <w:spacing w:line="720" w:lineRule="exact"/>
        <w:ind w:left="1440" w:leftChars="600" w:firstLine="627" w:firstLineChars="196"/>
        <w:jc w:val="center"/>
        <w:rPr>
          <w:rFonts w:ascii="黑体" w:hAnsi="黑体" w:eastAsia="黑体" w:cs="黑体"/>
          <w:b/>
          <w:bCs/>
          <w:sz w:val="32"/>
        </w:rPr>
      </w:pPr>
      <w:r>
        <w:rPr>
          <w:rFonts w:hint="eastAsia" w:ascii="黑体" w:hAnsi="黑体" w:eastAsia="黑体" w:cs="黑体"/>
          <w:sz w:val="32"/>
          <w:u w:val="single"/>
        </w:rPr>
        <w:t>工作量估算研究与应用</w:t>
      </w:r>
      <w:r>
        <w:rPr>
          <w:rFonts w:ascii="黑体" w:hAnsi="黑体" w:eastAsia="黑体" w:cs="黑体"/>
          <w:sz w:val="32"/>
          <w:u w:val="single"/>
        </w:rPr>
        <w:t xml:space="preserve"> </w:t>
      </w:r>
    </w:p>
    <w:p w14:paraId="2A58373D">
      <w:pPr>
        <w:spacing w:line="720" w:lineRule="exact"/>
        <w:ind w:left="1200" w:leftChars="500" w:firstLine="643"/>
        <w:jc w:val="center"/>
        <w:rPr>
          <w:b/>
          <w:bCs/>
          <w:sz w:val="32"/>
        </w:rPr>
      </w:pPr>
    </w:p>
    <w:tbl>
      <w:tblPr>
        <w:tblStyle w:val="27"/>
        <w:tblpPr w:leftFromText="180" w:rightFromText="180" w:vertAnchor="text" w:horzAnchor="page" w:tblpX="3708" w:tblpY="2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1"/>
        <w:gridCol w:w="3041"/>
      </w:tblGrid>
      <w:tr w14:paraId="1857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6" w:hRule="atLeast"/>
        </w:trPr>
        <w:tc>
          <w:tcPr>
            <w:tcW w:w="2421" w:type="dxa"/>
          </w:tcPr>
          <w:p w14:paraId="154BDCAE">
            <w:pPr>
              <w:tabs>
                <w:tab w:val="center" w:pos="6300"/>
              </w:tabs>
              <w:spacing w:line="720" w:lineRule="exact"/>
              <w:ind w:firstLine="640"/>
              <w:jc w:val="right"/>
              <w:rPr>
                <w:rFonts w:ascii="宋体" w:hAnsi="宋体" w:cs="宋体"/>
                <w:bCs/>
                <w:sz w:val="32"/>
                <w:u w:val="single"/>
              </w:rPr>
            </w:pPr>
            <w:r>
              <w:rPr>
                <w:rFonts w:ascii="宋体" w:hAnsi="宋体" w:cs="宋体"/>
                <w:bCs/>
                <w:sz w:val="32"/>
              </w:rPr>
              <w:t>学生姓名：</w:t>
            </w:r>
          </w:p>
        </w:tc>
        <w:tc>
          <w:tcPr>
            <w:tcW w:w="3041" w:type="dxa"/>
            <w:tcBorders>
              <w:bottom w:val="single" w:color="auto" w:sz="4" w:space="0"/>
            </w:tcBorders>
          </w:tcPr>
          <w:p w14:paraId="1A5DB78F">
            <w:pPr>
              <w:tabs>
                <w:tab w:val="center" w:pos="6300"/>
              </w:tabs>
              <w:spacing w:line="720" w:lineRule="exact"/>
              <w:ind w:firstLine="640"/>
              <w:rPr>
                <w:rFonts w:ascii="宋体" w:hAnsi="宋体" w:cs="宋体"/>
                <w:bCs/>
                <w:sz w:val="32"/>
              </w:rPr>
            </w:pPr>
            <w:r>
              <w:rPr>
                <w:rFonts w:ascii="宋体" w:hAnsi="宋体" w:cs="宋体"/>
                <w:bCs/>
                <w:sz w:val="32"/>
              </w:rPr>
              <w:t>王宇祥</w:t>
            </w:r>
          </w:p>
        </w:tc>
      </w:tr>
      <w:tr w14:paraId="368EA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2421" w:type="dxa"/>
          </w:tcPr>
          <w:p w14:paraId="7782ABF4">
            <w:pPr>
              <w:tabs>
                <w:tab w:val="center" w:pos="6300"/>
              </w:tabs>
              <w:spacing w:line="720" w:lineRule="exact"/>
              <w:ind w:firstLine="640"/>
              <w:jc w:val="right"/>
              <w:rPr>
                <w:rFonts w:ascii="宋体" w:hAnsi="宋体" w:cs="宋体"/>
                <w:bCs/>
                <w:sz w:val="32"/>
              </w:rPr>
            </w:pPr>
            <w:r>
              <w:rPr>
                <w:rFonts w:ascii="宋体" w:hAnsi="宋体" w:cs="宋体"/>
                <w:bCs/>
                <w:sz w:val="32"/>
              </w:rPr>
              <w:t>学    号：</w:t>
            </w:r>
          </w:p>
        </w:tc>
        <w:tc>
          <w:tcPr>
            <w:tcW w:w="3041" w:type="dxa"/>
            <w:tcBorders>
              <w:top w:val="single" w:color="auto" w:sz="4" w:space="0"/>
              <w:bottom w:val="single" w:color="auto" w:sz="4" w:space="0"/>
            </w:tcBorders>
          </w:tcPr>
          <w:p w14:paraId="6B0B9637">
            <w:pPr>
              <w:tabs>
                <w:tab w:val="center" w:pos="6300"/>
              </w:tabs>
              <w:spacing w:line="720" w:lineRule="exact"/>
              <w:ind w:firstLine="640"/>
              <w:rPr>
                <w:rFonts w:ascii="宋体" w:hAnsi="宋体" w:cs="宋体"/>
                <w:bCs/>
                <w:sz w:val="32"/>
              </w:rPr>
            </w:pPr>
            <w:r>
              <w:rPr>
                <w:rFonts w:ascii="宋体" w:hAnsi="宋体" w:cs="宋体"/>
                <w:bCs/>
                <w:sz w:val="32"/>
              </w:rPr>
              <w:t>2231052224</w:t>
            </w:r>
          </w:p>
        </w:tc>
      </w:tr>
      <w:tr w14:paraId="7651C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2421" w:type="dxa"/>
          </w:tcPr>
          <w:p w14:paraId="1AED7ECF">
            <w:pPr>
              <w:tabs>
                <w:tab w:val="center" w:pos="6300"/>
              </w:tabs>
              <w:spacing w:line="720" w:lineRule="exact"/>
              <w:ind w:firstLine="640"/>
              <w:jc w:val="right"/>
              <w:rPr>
                <w:rFonts w:ascii="宋体" w:hAnsi="宋体" w:cs="宋体"/>
                <w:bCs/>
                <w:sz w:val="32"/>
              </w:rPr>
            </w:pPr>
            <w:r>
              <w:rPr>
                <w:rFonts w:ascii="宋体" w:hAnsi="宋体" w:cs="宋体"/>
                <w:bCs/>
                <w:sz w:val="32"/>
              </w:rPr>
              <w:t>专    业：</w:t>
            </w:r>
          </w:p>
        </w:tc>
        <w:tc>
          <w:tcPr>
            <w:tcW w:w="3041" w:type="dxa"/>
            <w:tcBorders>
              <w:top w:val="single" w:color="auto" w:sz="4" w:space="0"/>
              <w:bottom w:val="single" w:color="auto" w:sz="4" w:space="0"/>
            </w:tcBorders>
          </w:tcPr>
          <w:p w14:paraId="24268F3C">
            <w:pPr>
              <w:tabs>
                <w:tab w:val="center" w:pos="6300"/>
              </w:tabs>
              <w:spacing w:line="720" w:lineRule="exact"/>
              <w:ind w:firstLine="640"/>
              <w:rPr>
                <w:rFonts w:ascii="宋体" w:hAnsi="宋体" w:cs="宋体"/>
                <w:bCs/>
                <w:sz w:val="32"/>
              </w:rPr>
            </w:pPr>
            <w:r>
              <w:rPr>
                <w:rFonts w:ascii="宋体" w:hAnsi="宋体" w:cs="宋体"/>
                <w:bCs/>
                <w:sz w:val="32"/>
              </w:rPr>
              <w:t>软件工程</w:t>
            </w:r>
          </w:p>
        </w:tc>
      </w:tr>
      <w:tr w14:paraId="3DB90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5" w:hRule="atLeast"/>
        </w:trPr>
        <w:tc>
          <w:tcPr>
            <w:tcW w:w="2421" w:type="dxa"/>
            <w:tcBorders>
              <w:bottom w:val="nil"/>
            </w:tcBorders>
          </w:tcPr>
          <w:p w14:paraId="3A70258B">
            <w:pPr>
              <w:tabs>
                <w:tab w:val="center" w:pos="6300"/>
              </w:tabs>
              <w:spacing w:line="720" w:lineRule="exact"/>
              <w:ind w:firstLine="640"/>
              <w:jc w:val="right"/>
              <w:rPr>
                <w:rFonts w:ascii="宋体" w:hAnsi="宋体" w:cs="宋体"/>
                <w:bCs/>
                <w:sz w:val="32"/>
              </w:rPr>
            </w:pPr>
            <w:r>
              <w:rPr>
                <w:rFonts w:ascii="宋体" w:hAnsi="宋体" w:cs="宋体"/>
                <w:bCs/>
                <w:sz w:val="32"/>
              </w:rPr>
              <w:t>班    级：</w:t>
            </w:r>
          </w:p>
        </w:tc>
        <w:tc>
          <w:tcPr>
            <w:tcW w:w="3041" w:type="dxa"/>
            <w:tcBorders>
              <w:top w:val="single" w:color="auto" w:sz="4" w:space="0"/>
              <w:bottom w:val="single" w:color="auto" w:sz="4" w:space="0"/>
            </w:tcBorders>
          </w:tcPr>
          <w:p w14:paraId="7B5D19F0">
            <w:pPr>
              <w:tabs>
                <w:tab w:val="center" w:pos="6300"/>
              </w:tabs>
              <w:spacing w:line="720" w:lineRule="exact"/>
              <w:ind w:firstLine="640"/>
              <w:rPr>
                <w:rFonts w:ascii="宋体" w:hAnsi="宋体" w:cs="宋体"/>
                <w:bCs/>
                <w:sz w:val="32"/>
              </w:rPr>
            </w:pPr>
            <w:r>
              <w:rPr>
                <w:rFonts w:ascii="宋体" w:hAnsi="宋体" w:cs="宋体"/>
                <w:bCs/>
                <w:sz w:val="32"/>
              </w:rPr>
              <w:t>2202班</w:t>
            </w:r>
          </w:p>
        </w:tc>
      </w:tr>
      <w:tr w14:paraId="7406B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2421" w:type="dxa"/>
            <w:tcBorders>
              <w:top w:val="nil"/>
            </w:tcBorders>
          </w:tcPr>
          <w:p w14:paraId="7D70DD6A">
            <w:pPr>
              <w:tabs>
                <w:tab w:val="center" w:pos="6300"/>
              </w:tabs>
              <w:spacing w:line="720" w:lineRule="exact"/>
              <w:ind w:firstLine="640"/>
              <w:jc w:val="right"/>
              <w:rPr>
                <w:rFonts w:ascii="宋体" w:hAnsi="宋体" w:cs="宋体"/>
                <w:bCs/>
                <w:sz w:val="32"/>
              </w:rPr>
            </w:pPr>
            <w:r>
              <w:rPr>
                <w:rFonts w:ascii="宋体" w:hAnsi="宋体" w:cs="宋体"/>
                <w:bCs/>
                <w:sz w:val="32"/>
              </w:rPr>
              <w:t>指导老师：</w:t>
            </w:r>
          </w:p>
        </w:tc>
        <w:tc>
          <w:tcPr>
            <w:tcW w:w="3041" w:type="dxa"/>
            <w:tcBorders>
              <w:top w:val="single" w:color="auto" w:sz="4" w:space="0"/>
              <w:bottom w:val="single" w:color="auto" w:sz="4" w:space="0"/>
            </w:tcBorders>
          </w:tcPr>
          <w:p w14:paraId="6DEB396B">
            <w:pPr>
              <w:tabs>
                <w:tab w:val="center" w:pos="6300"/>
              </w:tabs>
              <w:spacing w:line="720" w:lineRule="exact"/>
              <w:ind w:firstLine="640"/>
              <w:rPr>
                <w:rFonts w:ascii="宋体" w:hAnsi="宋体" w:cs="宋体"/>
                <w:bCs/>
                <w:sz w:val="32"/>
              </w:rPr>
            </w:pPr>
            <w:r>
              <w:rPr>
                <w:rFonts w:ascii="宋体" w:hAnsi="宋体" w:cs="宋体"/>
                <w:bCs/>
                <w:sz w:val="32"/>
              </w:rPr>
              <w:t>史西兵</w:t>
            </w:r>
          </w:p>
        </w:tc>
      </w:tr>
    </w:tbl>
    <w:p w14:paraId="41E4AE95">
      <w:pPr>
        <w:tabs>
          <w:tab w:val="center" w:pos="6300"/>
        </w:tabs>
        <w:spacing w:line="720" w:lineRule="exact"/>
        <w:ind w:firstLine="0" w:firstLineChars="0"/>
        <w:rPr>
          <w:rFonts w:ascii="宋体" w:hAnsi="宋体" w:cs="宋体"/>
          <w:bCs/>
          <w:sz w:val="32"/>
          <w:u w:val="single"/>
        </w:rPr>
      </w:pPr>
    </w:p>
    <w:p w14:paraId="7D0A4EFC">
      <w:pPr>
        <w:tabs>
          <w:tab w:val="center" w:pos="6300"/>
        </w:tabs>
        <w:spacing w:line="720" w:lineRule="exact"/>
        <w:ind w:left="1680" w:leftChars="700" w:firstLine="640"/>
        <w:rPr>
          <w:rFonts w:ascii="宋体" w:hAnsi="宋体" w:cs="宋体"/>
          <w:bCs/>
          <w:sz w:val="32"/>
          <w:u w:val="single"/>
        </w:rPr>
      </w:pPr>
    </w:p>
    <w:p w14:paraId="0F8516FB">
      <w:pPr>
        <w:tabs>
          <w:tab w:val="center" w:pos="6300"/>
        </w:tabs>
        <w:spacing w:line="720" w:lineRule="exact"/>
        <w:ind w:left="1680" w:leftChars="700" w:firstLine="640"/>
        <w:rPr>
          <w:rFonts w:ascii="宋体" w:hAnsi="宋体" w:cs="宋体"/>
          <w:bCs/>
          <w:sz w:val="32"/>
          <w:u w:val="single"/>
        </w:rPr>
      </w:pPr>
    </w:p>
    <w:p w14:paraId="7FCF515A">
      <w:pPr>
        <w:tabs>
          <w:tab w:val="center" w:pos="6300"/>
        </w:tabs>
        <w:spacing w:line="720" w:lineRule="exact"/>
        <w:ind w:left="1680" w:leftChars="700" w:firstLine="640"/>
        <w:rPr>
          <w:rFonts w:ascii="宋体" w:hAnsi="宋体" w:cs="宋体"/>
          <w:bCs/>
          <w:sz w:val="32"/>
          <w:u w:val="single"/>
        </w:rPr>
      </w:pPr>
    </w:p>
    <w:p w14:paraId="4F70F669">
      <w:pPr>
        <w:tabs>
          <w:tab w:val="center" w:pos="6300"/>
        </w:tabs>
        <w:spacing w:line="720" w:lineRule="exact"/>
        <w:ind w:left="1680" w:leftChars="700" w:firstLine="640"/>
        <w:rPr>
          <w:rFonts w:ascii="宋体" w:hAnsi="宋体" w:cs="宋体"/>
          <w:bCs/>
          <w:sz w:val="32"/>
          <w:u w:val="single"/>
        </w:rPr>
      </w:pPr>
    </w:p>
    <w:p w14:paraId="3BA9F8C8">
      <w:pPr>
        <w:tabs>
          <w:tab w:val="center" w:pos="6300"/>
        </w:tabs>
        <w:spacing w:line="720" w:lineRule="exact"/>
        <w:ind w:left="1680" w:leftChars="700" w:firstLine="640"/>
        <w:rPr>
          <w:rFonts w:ascii="宋体" w:hAnsi="宋体" w:cs="宋体"/>
          <w:bCs/>
          <w:sz w:val="32"/>
          <w:u w:val="single"/>
        </w:rPr>
      </w:pPr>
    </w:p>
    <w:p w14:paraId="5C0D6392">
      <w:pPr>
        <w:spacing w:line="720" w:lineRule="exact"/>
        <w:ind w:firstLine="640"/>
        <w:rPr>
          <w:rFonts w:ascii="宋体" w:hAnsi="宋体" w:cs="宋体"/>
          <w:sz w:val="32"/>
          <w:u w:val="single"/>
        </w:rPr>
      </w:pPr>
    </w:p>
    <w:p w14:paraId="08B1C464">
      <w:pPr>
        <w:spacing w:line="720" w:lineRule="exact"/>
        <w:ind w:firstLine="720"/>
        <w:jc w:val="center"/>
        <w:rPr>
          <w:rFonts w:ascii="楷体_GB2312"/>
          <w:sz w:val="36"/>
          <w:szCs w:val="36"/>
        </w:rPr>
      </w:pPr>
      <w:r>
        <w:rPr>
          <w:rFonts w:hint="eastAsia" w:ascii="黑体" w:eastAsia="黑体"/>
          <w:bCs/>
          <w:sz w:val="36"/>
          <w:szCs w:val="36"/>
        </w:rPr>
        <w:t>完成日期</w:t>
      </w:r>
      <w:r>
        <w:rPr>
          <w:rFonts w:hint="eastAsia" w:ascii="楷体_GB2312"/>
          <w:b/>
          <w:bCs/>
          <w:sz w:val="36"/>
          <w:szCs w:val="36"/>
        </w:rPr>
        <w:t>：</w:t>
      </w:r>
      <w:r>
        <w:rPr>
          <w:rFonts w:hint="eastAsia" w:ascii="宋体" w:hAnsi="宋体"/>
          <w:b/>
          <w:bCs/>
          <w:sz w:val="36"/>
          <w:szCs w:val="36"/>
        </w:rPr>
        <w:t>2026</w:t>
      </w:r>
      <w:r>
        <w:rPr>
          <w:rFonts w:hint="eastAsia" w:ascii="宋体" w:hAnsi="宋体"/>
          <w:b/>
          <w:sz w:val="36"/>
          <w:szCs w:val="36"/>
        </w:rPr>
        <w:t>年 月  日</w:t>
      </w:r>
    </w:p>
    <w:p w14:paraId="5B7B7E87">
      <w:pPr>
        <w:ind w:firstLine="198" w:firstLineChars="71"/>
        <w:rPr>
          <w:rFonts w:hint="eastAsia"/>
          <w:sz w:val="28"/>
          <w:szCs w:val="28"/>
        </w:rPr>
      </w:pPr>
      <w:r>
        <w:rPr>
          <w:rFonts w:hint="eastAsia"/>
          <w:sz w:val="28"/>
          <w:szCs w:val="28"/>
        </w:rPr>
        <w:t xml:space="preserve"> </w:t>
      </w:r>
      <w:r>
        <w:rPr>
          <w:sz w:val="28"/>
          <w:szCs w:val="28"/>
        </w:rPr>
        <w:t xml:space="preserve">  </w:t>
      </w:r>
    </w:p>
    <w:p w14:paraId="2BB1DF14">
      <w:pPr>
        <w:spacing w:before="996" w:beforeLines="300"/>
        <w:ind w:firstLine="0" w:firstLineChars="0"/>
        <w:rPr>
          <w:rFonts w:hint="eastAsia" w:ascii="宋体" w:hAnsi="宋体"/>
          <w:b/>
          <w:bCs/>
          <w:sz w:val="44"/>
          <w:szCs w:val="44"/>
        </w:rPr>
        <w:sectPr>
          <w:headerReference r:id="rId7" w:type="first"/>
          <w:footerReference r:id="rId10" w:type="first"/>
          <w:headerReference r:id="rId5" w:type="default"/>
          <w:footerReference r:id="rId8" w:type="default"/>
          <w:headerReference r:id="rId6" w:type="even"/>
          <w:footerReference r:id="rId9" w:type="even"/>
          <w:pgSz w:w="11906" w:h="16838"/>
          <w:pgMar w:top="1440" w:right="1247" w:bottom="1440" w:left="1701" w:header="851" w:footer="851" w:gutter="0"/>
          <w:pgNumType w:fmt="lowerRoman"/>
          <w:cols w:space="0" w:num="1"/>
          <w:docGrid w:type="linesAndChars" w:linePitch="332" w:charSpace="0"/>
        </w:sectPr>
      </w:pPr>
    </w:p>
    <w:p w14:paraId="78A2D16A">
      <w:pPr>
        <w:pStyle w:val="40"/>
        <w:ind w:firstLine="723"/>
        <w:jc w:val="center"/>
        <w:rPr>
          <w:b/>
          <w:bCs/>
          <w:sz w:val="36"/>
          <w:szCs w:val="36"/>
        </w:rPr>
      </w:pPr>
      <w:bookmarkStart w:id="0" w:name="_Toc2746"/>
      <w:bookmarkStart w:id="1" w:name="_Toc17646"/>
      <w:r>
        <w:rPr>
          <w:b/>
          <w:bCs/>
          <w:sz w:val="36"/>
          <w:szCs w:val="36"/>
        </w:rPr>
        <w:t>西安财经大学</w:t>
      </w:r>
      <w:bookmarkEnd w:id="0"/>
      <w:bookmarkEnd w:id="1"/>
    </w:p>
    <w:p w14:paraId="1948CF1D">
      <w:pPr>
        <w:pStyle w:val="40"/>
        <w:ind w:firstLine="723"/>
        <w:jc w:val="center"/>
        <w:rPr>
          <w:b/>
          <w:bCs/>
          <w:sz w:val="36"/>
          <w:szCs w:val="36"/>
        </w:rPr>
      </w:pPr>
      <w:bookmarkStart w:id="2" w:name="_Toc5843"/>
      <w:bookmarkStart w:id="3" w:name="_Toc19210"/>
      <w:r>
        <w:rPr>
          <w:b/>
          <w:bCs/>
          <w:sz w:val="36"/>
          <w:szCs w:val="36"/>
        </w:rPr>
        <w:t>本科毕业论文（设计）独创性及知识产权声明</w:t>
      </w:r>
      <w:bookmarkEnd w:id="2"/>
      <w:bookmarkEnd w:id="3"/>
    </w:p>
    <w:p w14:paraId="4C080BDE">
      <w:pPr>
        <w:spacing w:line="336" w:lineRule="auto"/>
        <w:ind w:firstLine="480"/>
        <w:rPr>
          <w:rFonts w:ascii="宋体" w:hAnsi="宋体" w:eastAsia="Beijing"/>
        </w:rPr>
      </w:pPr>
    </w:p>
    <w:p w14:paraId="6BBC32FD">
      <w:pPr>
        <w:spacing w:line="336" w:lineRule="auto"/>
        <w:ind w:firstLine="0" w:firstLineChars="0"/>
        <w:rPr>
          <w:rFonts w:ascii="宋体" w:hAnsi="宋体" w:eastAsia="Beijing"/>
        </w:rPr>
      </w:pPr>
    </w:p>
    <w:p w14:paraId="2DFD10F8">
      <w:pPr>
        <w:pStyle w:val="13"/>
        <w:ind w:firstLine="480"/>
      </w:pPr>
      <w:r>
        <w:t>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14:paraId="6080B3B6">
      <w:pPr>
        <w:pStyle w:val="13"/>
        <w:ind w:firstLine="480"/>
      </w:pPr>
      <w:r>
        <w:t>本毕业论文成果归西安财经大学所有。</w:t>
      </w:r>
    </w:p>
    <w:p w14:paraId="447B411B">
      <w:pPr>
        <w:spacing w:line="360" w:lineRule="auto"/>
        <w:ind w:firstLine="480"/>
        <w:rPr>
          <w:rFonts w:ascii="宋体" w:hAnsi="宋体"/>
          <w:szCs w:val="24"/>
        </w:rPr>
      </w:pPr>
      <w:r>
        <w:rPr>
          <w:rFonts w:hint="eastAsia" w:ascii="宋体" w:hAnsi="宋体"/>
          <w:szCs w:val="24"/>
        </w:rPr>
        <w:t xml:space="preserve"> </w:t>
      </w:r>
    </w:p>
    <w:p w14:paraId="477D898A">
      <w:pPr>
        <w:pStyle w:val="13"/>
        <w:ind w:firstLine="480"/>
      </w:pPr>
      <w:r>
        <w:t>特此声明</w:t>
      </w:r>
    </w:p>
    <w:p w14:paraId="36126014">
      <w:pPr>
        <w:spacing w:line="360" w:lineRule="auto"/>
        <w:ind w:firstLine="480"/>
        <w:rPr>
          <w:rFonts w:ascii="宋体" w:hAnsi="宋体" w:eastAsia="Beijing"/>
          <w:szCs w:val="24"/>
        </w:rPr>
      </w:pPr>
    </w:p>
    <w:p w14:paraId="79FCBD26">
      <w:pPr>
        <w:spacing w:line="360" w:lineRule="auto"/>
        <w:ind w:firstLine="480"/>
        <w:rPr>
          <w:rFonts w:ascii="宋体" w:hAnsi="宋体" w:eastAsia="Beijing"/>
          <w:szCs w:val="24"/>
        </w:rPr>
      </w:pPr>
      <w:r>
        <w:rPr>
          <w:rFonts w:hint="eastAsia" w:ascii="宋体" w:hAnsi="宋体" w:eastAsia="Beijing"/>
          <w:szCs w:val="24"/>
        </w:rPr>
        <w:t xml:space="preserve"> </w:t>
      </w:r>
    </w:p>
    <w:p w14:paraId="6FF14B7F">
      <w:pPr>
        <w:spacing w:line="360" w:lineRule="auto"/>
        <w:ind w:firstLine="480"/>
        <w:rPr>
          <w:rFonts w:ascii="宋体" w:hAnsi="宋体" w:eastAsia="Beijing"/>
          <w:szCs w:val="24"/>
        </w:rPr>
      </w:pPr>
      <w:r>
        <w:rPr>
          <w:rFonts w:hint="eastAsia" w:ascii="宋体" w:hAnsi="宋体" w:eastAsia="Beijing"/>
          <w:szCs w:val="24"/>
        </w:rPr>
        <w:t xml:space="preserve"> </w:t>
      </w:r>
    </w:p>
    <w:p w14:paraId="16EA282C">
      <w:pPr>
        <w:spacing w:line="360" w:lineRule="auto"/>
        <w:ind w:firstLine="480"/>
        <w:rPr>
          <w:rFonts w:ascii="宋体" w:hAnsi="宋体" w:eastAsia="Beijing"/>
          <w:szCs w:val="24"/>
        </w:rPr>
      </w:pPr>
      <w:r>
        <w:rPr>
          <w:rFonts w:hint="eastAsia" w:ascii="宋体" w:hAnsi="宋体" w:eastAsia="Beijing"/>
          <w:szCs w:val="24"/>
        </w:rPr>
        <w:t xml:space="preserve"> </w:t>
      </w:r>
    </w:p>
    <w:p w14:paraId="3013DC27">
      <w:pPr>
        <w:spacing w:line="360" w:lineRule="auto"/>
        <w:ind w:firstLine="480"/>
        <w:jc w:val="right"/>
        <w:rPr>
          <w:rFonts w:ascii="宋体" w:hAnsi="宋体"/>
          <w:szCs w:val="24"/>
        </w:rPr>
      </w:pPr>
      <w:r>
        <w:rPr>
          <w:rFonts w:hint="eastAsia" w:ascii="宋体" w:hAnsi="宋体"/>
          <w:szCs w:val="24"/>
        </w:rPr>
        <w:t xml:space="preserve">   </w:t>
      </w:r>
    </w:p>
    <w:p w14:paraId="04F1988B">
      <w:pPr>
        <w:wordWrap w:val="0"/>
        <w:spacing w:line="360" w:lineRule="auto"/>
        <w:ind w:firstLine="0" w:firstLineChars="0"/>
        <w:jc w:val="right"/>
        <w:rPr>
          <w:rFonts w:hint="default" w:ascii="Times New Roman" w:hAnsi="Times New Roman" w:eastAsia="宋体" w:cs="Times New Roman"/>
          <w:szCs w:val="24"/>
          <w:lang w:val="en-US" w:eastAsia="zh-CN"/>
        </w:rPr>
      </w:pPr>
      <w:r>
        <w:rPr>
          <w:rFonts w:hint="eastAsia" w:ascii="Times New Roman" w:hAnsi="Times New Roman" w:cs="Times New Roman"/>
          <w:szCs w:val="24"/>
        </w:rPr>
        <w:t xml:space="preserve">                                       </w:t>
      </w:r>
      <w:r>
        <w:rPr>
          <w:rFonts w:ascii="Times New Roman" w:hAnsi="Times New Roman" w:cs="Times New Roman"/>
          <w:szCs w:val="24"/>
        </w:rPr>
        <w:t xml:space="preserve"> </w:t>
      </w:r>
      <w:r>
        <w:rPr>
          <w:rFonts w:hint="eastAsia" w:ascii="Times New Roman" w:hAnsi="Times New Roman" w:cs="Times New Roman"/>
          <w:szCs w:val="24"/>
        </w:rPr>
        <w:t xml:space="preserve">毕业论文签名： </w:t>
      </w:r>
      <w:r>
        <w:rPr>
          <w:rFonts w:hint="eastAsia" w:ascii="Times New Roman" w:hAnsi="Times New Roman" w:cs="Times New Roman"/>
          <w:szCs w:val="24"/>
          <w:lang w:val="en-US" w:eastAsia="zh-CN"/>
        </w:rPr>
        <w:t xml:space="preserve">        </w:t>
      </w:r>
    </w:p>
    <w:p w14:paraId="4375ADD7">
      <w:pPr>
        <w:wordWrap w:val="0"/>
        <w:spacing w:line="360" w:lineRule="auto"/>
        <w:ind w:firstLine="0" w:firstLineChars="0"/>
        <w:jc w:val="right"/>
        <w:rPr>
          <w:rFonts w:ascii="Times New Roman" w:hAnsi="Times New Roman" w:cs="Times New Roman"/>
          <w:szCs w:val="24"/>
        </w:rPr>
      </w:pPr>
      <w:r>
        <w:rPr>
          <w:rFonts w:hint="eastAsia" w:ascii="Times New Roman" w:hAnsi="Times New Roman" w:cs="Times New Roman"/>
          <w:szCs w:val="24"/>
        </w:rPr>
        <w:t xml:space="preserve">       专业： 软件工程    </w:t>
      </w:r>
    </w:p>
    <w:p w14:paraId="149AE46E">
      <w:pPr>
        <w:wordWrap w:val="0"/>
        <w:spacing w:line="360" w:lineRule="auto"/>
        <w:ind w:firstLine="0" w:firstLineChars="0"/>
        <w:jc w:val="right"/>
        <w:rPr>
          <w:rFonts w:ascii="Times New Roman" w:hAnsi="Times New Roman" w:cs="Times New Roman"/>
          <w:szCs w:val="24"/>
        </w:rPr>
      </w:pPr>
      <w:r>
        <w:rPr>
          <w:rFonts w:hint="eastAsia" w:ascii="Times New Roman" w:hAnsi="Times New Roman" w:cs="Times New Roman"/>
          <w:szCs w:val="24"/>
        </w:rPr>
        <w:t>学号： 2</w:t>
      </w:r>
      <w:r>
        <w:rPr>
          <w:rFonts w:ascii="Times New Roman" w:hAnsi="Times New Roman" w:cs="Times New Roman"/>
          <w:szCs w:val="24"/>
        </w:rPr>
        <w:t>231052224</w:t>
      </w:r>
      <w:r>
        <w:rPr>
          <w:rFonts w:hint="eastAsia" w:ascii="Times New Roman" w:hAnsi="Times New Roman" w:cs="Times New Roman"/>
          <w:szCs w:val="24"/>
        </w:rPr>
        <w:t xml:space="preserve">    </w:t>
      </w:r>
    </w:p>
    <w:p w14:paraId="153A02D7">
      <w:pPr>
        <w:spacing w:line="360" w:lineRule="auto"/>
        <w:ind w:firstLine="480"/>
        <w:jc w:val="right"/>
        <w:rPr>
          <w:rFonts w:ascii="Times New Roman" w:hAnsi="Times New Roman" w:cs="Times New Roman"/>
          <w:szCs w:val="24"/>
        </w:rPr>
      </w:pPr>
      <w:r>
        <w:rPr>
          <w:rFonts w:hint="eastAsia" w:ascii="Times New Roman" w:hAnsi="Times New Roman" w:cs="Times New Roman"/>
          <w:szCs w:val="24"/>
        </w:rPr>
        <w:t>X年X月X日</w:t>
      </w:r>
    </w:p>
    <w:p w14:paraId="6D8BB264">
      <w:pPr>
        <w:ind w:firstLine="560"/>
        <w:jc w:val="center"/>
        <w:rPr>
          <w:sz w:val="28"/>
          <w:szCs w:val="28"/>
        </w:rPr>
      </w:pPr>
    </w:p>
    <w:p w14:paraId="2347A0B0">
      <w:pPr>
        <w:ind w:firstLine="560"/>
        <w:jc w:val="center"/>
        <w:rPr>
          <w:sz w:val="28"/>
          <w:szCs w:val="28"/>
        </w:rPr>
      </w:pPr>
    </w:p>
    <w:p w14:paraId="0DEC4B3E">
      <w:pPr>
        <w:ind w:firstLine="304" w:firstLineChars="95"/>
        <w:jc w:val="center"/>
        <w:rPr>
          <w:rFonts w:ascii="黑体" w:hAnsi="黑体" w:eastAsia="黑体"/>
          <w:b/>
          <w:bCs/>
          <w:sz w:val="32"/>
          <w:szCs w:val="32"/>
        </w:rPr>
        <w:sectPr>
          <w:footerReference r:id="rId11" w:type="default"/>
          <w:pgSz w:w="11906" w:h="16838"/>
          <w:pgMar w:top="1440" w:right="1247" w:bottom="1440" w:left="1701" w:header="851" w:footer="850" w:gutter="0"/>
          <w:pgNumType w:fmt="lowerRoman" w:start="1"/>
          <w:cols w:space="0" w:num="1"/>
          <w:docGrid w:type="linesAndChars" w:linePitch="332" w:charSpace="0"/>
        </w:sectPr>
      </w:pPr>
      <w:bookmarkStart w:id="53" w:name="_GoBack"/>
      <w:bookmarkEnd w:id="53"/>
    </w:p>
    <w:p w14:paraId="3D0F520E">
      <w:pPr>
        <w:ind w:firstLine="643"/>
        <w:rPr>
          <w:rFonts w:ascii="黑体" w:hAnsi="黑体" w:eastAsia="黑体"/>
          <w:b/>
          <w:bCs/>
          <w:sz w:val="32"/>
          <w:szCs w:val="32"/>
        </w:rPr>
        <w:sectPr>
          <w:footerReference r:id="rId12" w:type="default"/>
          <w:pgSz w:w="11906" w:h="16838"/>
          <w:pgMar w:top="1440" w:right="1247" w:bottom="1440" w:left="1701" w:header="851" w:footer="850" w:gutter="0"/>
          <w:pgNumType w:fmt="lowerRoman" w:start="1"/>
          <w:cols w:space="0" w:num="1"/>
          <w:docGrid w:type="linesAndChars" w:linePitch="332" w:charSpace="0"/>
        </w:sectPr>
      </w:pPr>
    </w:p>
    <w:p w14:paraId="0FCBB656">
      <w:pPr>
        <w:pStyle w:val="52"/>
        <w:snapToGrid/>
        <w:spacing w:before="0" w:beforeAutospacing="0" w:after="0" w:afterAutospacing="0" w:line="300" w:lineRule="auto"/>
        <w:ind w:left="0" w:leftChars="0" w:right="0" w:rightChars="0" w:firstLine="0" w:firstLineChars="0"/>
        <w:jc w:val="center"/>
        <w:rPr>
          <w:rFonts w:ascii="黑体" w:eastAsia="黑体"/>
          <w:b w:val="0"/>
          <w:i w:val="0"/>
          <w:sz w:val="30"/>
        </w:rPr>
      </w:pPr>
      <w:bookmarkStart w:id="4" w:name="_Toc17710"/>
      <w:r>
        <w:rPr>
          <w:rFonts w:ascii="黑体" w:eastAsia="黑体"/>
          <w:b w:val="0"/>
          <w:i w:val="0"/>
          <w:sz w:val="30"/>
        </w:rPr>
        <w:t>摘 要</w:t>
      </w:r>
      <w:bookmarkEnd w:id="4"/>
    </w:p>
    <w:p w14:paraId="151EAD27">
      <w:pPr>
        <w:pStyle w:val="13"/>
        <w:widowControl/>
        <w:snapToGrid/>
        <w:spacing w:before="0" w:beforeAutospacing="0" w:after="0" w:afterAutospacing="0" w:line="400" w:lineRule="exact"/>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软件项目工作量估算是项目策划与成本控制的基础性环节，其准确性直接关系到项目成败。传统估算方法如专家判断法、功能点分析及COCOMO模型，在面对需求动态变化、技术快速迭代的现代软件开发环境时，其线性假设与静态参数体系的局限性日益凸显。本研究旨在系统探究如何运用机器学习方法有效提升软件项目工作量估算的准确性与实用性，为软件开发项目的资源规划和风险控制提供数据驱动的解决方案。</w:t>
      </w:r>
    </w:p>
    <w:p w14:paraId="54E57594">
      <w:pPr>
        <w:pStyle w:val="13"/>
        <w:widowControl/>
        <w:snapToGrid/>
        <w:spacing w:before="0" w:beforeAutospacing="0" w:after="0" w:afterAutospacing="0" w:line="400" w:lineRule="exact"/>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研究首先系统梳理了软件工作量估算领域的传统方法与机器学习应用现状，明确了现有研究的不足与本研究切入点。以Promise Repository中的多个经典数据集为核心数据源，完成了数据采集、清洗、特征工程与标准化处理。在此基础上，采用Python编程语言及Scikit-learn机器学习库，构建了多元线性回归、决策树、支持向量机、随机森林四类估算模型，并通过网格搜索与5折交叉验证对模型参数进行系统优化。模型性能评价综合采用平均绝对误差（MAE）、均方根误差（RMSE）、平均相对误差（MMRE）及Pred(25)四项指标，通过十次独立重复实验确保结论的稳健性。</w:t>
      </w:r>
    </w:p>
    <w:p w14:paraId="01DC8264">
      <w:pPr>
        <w:pStyle w:val="13"/>
        <w:widowControl/>
        <w:snapToGrid/>
        <w:spacing w:before="0" w:beforeAutospacing="0" w:after="0" w:afterAutospacing="0" w:line="400" w:lineRule="exact"/>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实证研究结果表明：第一，机器学习模型在各项评价指标上均显著优于传统线性回归模型，其中随机森林模型表现最优，MAE为2.18人月，RMSE为3.05人月，MMRE为0.203，Pred(25)达到0.708，验证了机器学习方法在捕捉软件工作量估算中复杂非线性关系的有效性。第二，不同模型具有差异化的适配特性——随机森林预测精度最高且稳定性最强，支持向量机次之且对异常值鲁棒，决策树可解释性强但稳定性不足，线性回归适合特征关系近似线性的简单场景。第三，特征重要性分析揭示功能点计数（0.312）、项目复杂度（0.186）、代码规模（0.165）及团队经验水平（0.124）是影响软件工作量的核心因素，为特征筛选与模型优化提供了实证依据。</w:t>
      </w:r>
    </w:p>
    <w:p w14:paraId="0382DEB8">
      <w:pPr>
        <w:pStyle w:val="13"/>
        <w:widowControl/>
        <w:snapToGrid/>
        <w:spacing w:before="0" w:beforeAutospacing="0" w:after="0" w:afterAutospacing="0" w:line="400" w:lineRule="exact"/>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本研究构建的随机森林模型预测精度达到实用化阈值，可为软件开发团队提供客观、数据驱动的辅助决策工具。研究同时揭示了不同模型的适配场景与特征影响机制，为后续研究与实践中的模型选择与特征工程提供了参考依据。</w:t>
      </w:r>
    </w:p>
    <w:p w14:paraId="4EA6E8A6">
      <w:pPr>
        <w:snapToGrid/>
        <w:spacing w:beforeAutospacing="0" w:afterAutospacing="0" w:line="400" w:lineRule="exact"/>
        <w:ind w:left="0" w:leftChars="0" w:right="0" w:rightChars="0" w:firstLine="480" w:firstLineChars="200"/>
        <w:jc w:val="both"/>
        <w:rPr>
          <w:rFonts w:ascii="Times New Roman" w:hAnsi="黑体" w:eastAsia="宋体"/>
          <w:b w:val="0"/>
          <w:i w:val="0"/>
          <w:sz w:val="24"/>
          <w:szCs w:val="24"/>
        </w:rPr>
      </w:pPr>
    </w:p>
    <w:p w14:paraId="743814CA">
      <w:pPr>
        <w:snapToGrid/>
        <w:spacing w:beforeAutospacing="0" w:afterAutospacing="0" w:line="400" w:lineRule="exact"/>
        <w:ind w:left="0" w:leftChars="0" w:right="0" w:rightChars="0" w:firstLine="480" w:firstLineChars="200"/>
        <w:jc w:val="both"/>
        <w:rPr>
          <w:rStyle w:val="51"/>
          <w:rFonts w:ascii="Times New Roman" w:eastAsia="宋体"/>
          <w:sz w:val="24"/>
        </w:rPr>
      </w:pPr>
      <w:r>
        <w:rPr>
          <w:rFonts w:ascii="Times New Roman" w:eastAsia="宋体"/>
          <w:b w:val="0"/>
          <w:i w:val="0"/>
          <w:sz w:val="24"/>
        </w:rPr>
        <w:t>​</w:t>
      </w:r>
    </w:p>
    <w:p w14:paraId="26827AE7">
      <w:pPr>
        <w:pStyle w:val="13"/>
        <w:snapToGrid/>
        <w:spacing w:before="0" w:beforeAutospacing="0" w:after="0" w:afterAutospacing="0" w:line="400" w:lineRule="exact"/>
        <w:ind w:left="0" w:leftChars="0" w:right="0" w:rightChars="0" w:firstLine="0" w:firstLineChars="0"/>
        <w:jc w:val="left"/>
        <w:rPr>
          <w:color w:val="auto"/>
        </w:rPr>
      </w:pPr>
      <w:r>
        <w:rPr>
          <w:rStyle w:val="51"/>
          <w:rFonts w:ascii="Times New Roman" w:eastAsia="宋体"/>
          <w:b/>
          <w:i w:val="0"/>
          <w:color w:val="auto"/>
          <w:sz w:val="24"/>
        </w:rPr>
        <w:t>关键词：</w:t>
      </w:r>
      <w:r>
        <w:rPr>
          <w:rFonts w:ascii="Times New Roman" w:eastAsia="宋体"/>
          <w:b w:val="0"/>
          <w:i w:val="0"/>
          <w:color w:val="auto"/>
          <w:sz w:val="24"/>
        </w:rPr>
        <w:t>软件项目工作量估算；机器学习；随机森林；支持向量机；特征工程；Promise Repository</w:t>
      </w:r>
    </w:p>
    <w:p w14:paraId="76B1AA95">
      <w:pPr>
        <w:ind w:firstLine="0" w:firstLineChars="0"/>
        <w:rPr>
          <w:sz w:val="28"/>
          <w:szCs w:val="28"/>
        </w:rPr>
        <w:sectPr>
          <w:footerReference r:id="rId13" w:type="default"/>
          <w:type w:val="continuous"/>
          <w:pgSz w:w="11906" w:h="16838"/>
          <w:pgMar w:top="1440" w:right="1247" w:bottom="1440" w:left="1701" w:header="851" w:footer="850" w:gutter="0"/>
          <w:pgNumType w:fmt="upperRoman" w:start="1"/>
          <w:cols w:space="0" w:num="1"/>
          <w:docGrid w:type="linesAndChars" w:linePitch="332" w:charSpace="0"/>
        </w:sectPr>
      </w:pPr>
    </w:p>
    <w:p w14:paraId="18EA1EF3">
      <w:pPr>
        <w:pStyle w:val="52"/>
        <w:snapToGrid/>
        <w:spacing w:before="0" w:beforeAutospacing="0" w:after="0" w:afterAutospacing="0" w:line="400" w:lineRule="exact"/>
        <w:ind w:left="0" w:leftChars="0" w:right="0" w:rightChars="0" w:firstLine="0" w:firstLineChars="0"/>
        <w:jc w:val="center"/>
        <w:rPr>
          <w:rFonts w:ascii="Times New Roman" w:eastAsia="仿宋_GB2312"/>
          <w:b/>
          <w:i w:val="0"/>
          <w:sz w:val="32"/>
        </w:rPr>
      </w:pPr>
      <w:bookmarkStart w:id="5" w:name="_Toc1622"/>
      <w:r>
        <w:rPr>
          <w:rFonts w:ascii="Times New Roman" w:eastAsia="仿宋_GB2312"/>
          <w:b/>
          <w:i w:val="0"/>
          <w:sz w:val="32"/>
        </w:rPr>
        <w:t>Abstract</w:t>
      </w:r>
      <w:bookmarkEnd w:id="5"/>
    </w:p>
    <w:p w14:paraId="68B21DD3">
      <w:pPr>
        <w:pStyle w:val="13"/>
        <w:widowControl/>
        <w:snapToGrid/>
        <w:spacing w:before="0" w:beforeAutospacing="0" w:after="0" w:afterAutospacing="0" w:line="400" w:lineRule="exact"/>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Software project effort estimation is a fundamental component of project planning and cost control, and its accuracy directly determines project success or failure. Traditional estimation methods, such as expert judgment, function point analysis, and the COCOMO model, have increasingly revealed the limitations of their linear assumptions and static parameter systems when confronted with modern software development environments characterized by dynamic requirements and rapid technological iteration. This study aims to systematically investigate how machine learning methods can effectively enhance the accuracy and practicality of software project effort estimation, providing data-driven solutions for resource planning and risk control in software development projects.</w:t>
      </w:r>
    </w:p>
    <w:p w14:paraId="142F27C8">
      <w:pPr>
        <w:pStyle w:val="13"/>
        <w:widowControl/>
        <w:snapToGrid/>
        <w:spacing w:before="0" w:beforeAutospacing="0" w:after="0" w:afterAutospacing="0" w:line="400" w:lineRule="exact"/>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The research begins by systematically reviewing traditional methods in software effort estimation and the current state of machine learning applications, identifying research gaps and the切入点 of this study. Using multiple classic datasets from the Promise Repository as the core data source, data collection, cleaning, feature engineering, and standardization were completed. Based on this, four types of estimation models—multiple linear regression, decision tree, support vector machine, and random forest—were constructed using the Python programming language and the Scikit-learn machine learning library. Model parameters were systematically optimized through grid search combined with 5-fold cross-validation. Model performance evaluation comprehensively employed four metrics: Mean Absolute Error (MAE), Root Mean Square Error (RMSE), Mean Magnitude of Relative Error (MMRE), and Pred(25), with ten independent repeated experiments ensuring the robustness of conclusions.</w:t>
      </w:r>
    </w:p>
    <w:p w14:paraId="7015EE5B">
      <w:pPr>
        <w:pStyle w:val="13"/>
        <w:widowControl/>
        <w:snapToGrid/>
        <w:spacing w:before="0" w:beforeAutospacing="0" w:after="0" w:afterAutospacing="0" w:line="400" w:lineRule="exact"/>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Empirical results demonstrate that: First, machine learning models significantly outperform traditional linear regression models across all evaluation metrics, with the random forest model achieving the best performance—MAE of 2.18 person-months, RMSE of 3.05 person-months, MMRE of 0.203, and Pred(25) of 0.708—validating the effectiveness of machine learning methods in capturing complex nonlinear relationships in software effort estimation. Second, different models exhibit differentiated suitability characteristics: random forest offers the highest prediction accuracy and stability, support vector machine follows with robustness to outliers, decision tree provides strong interpretability but insufficient stability, and linear regression suits simple scenarios with approximately linear feature relationships. Third, feature importance analysis reveals that function points (0.312), project complexity (0.186), code size (0.165), and team experience level (0.124) are core factors influencing software effort, providing empirical evidence for feature selection and model optimization.</w:t>
      </w:r>
    </w:p>
    <w:p w14:paraId="14661CEF">
      <w:pPr>
        <w:pStyle w:val="13"/>
        <w:widowControl/>
        <w:snapToGrid/>
        <w:spacing w:before="0" w:beforeAutospacing="0" w:after="0" w:afterAutospacing="0" w:line="400" w:lineRule="exact"/>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The random forest model constructed in this study achieves prediction accuracy reaching practical thresholds, offering objective, data-driven decision support tools for software development teams. The research also reveals the suitability scenarios of different models and the mechanisms of feature influence, providing references for model selection and feature engineering in subsequent research and practice.</w:t>
      </w:r>
    </w:p>
    <w:p w14:paraId="2C70CAAD">
      <w:pPr>
        <w:pStyle w:val="13"/>
        <w:snapToGrid/>
        <w:spacing w:before="0" w:beforeAutospacing="0" w:after="0" w:afterAutospacing="0" w:line="400" w:lineRule="exact"/>
        <w:ind w:left="0" w:leftChars="0" w:right="0" w:rightChars="0" w:firstLine="480" w:firstLineChars="200"/>
        <w:jc w:val="both"/>
        <w:rPr>
          <w:rStyle w:val="51"/>
          <w:rFonts w:ascii="Times New Roman" w:eastAsia="宋体"/>
          <w:b w:val="0"/>
          <w:i w:val="0"/>
          <w:sz w:val="24"/>
        </w:rPr>
      </w:pPr>
    </w:p>
    <w:p w14:paraId="7E1C1E1E">
      <w:pPr>
        <w:pStyle w:val="13"/>
        <w:snapToGrid/>
        <w:spacing w:before="0" w:beforeAutospacing="0" w:after="0" w:afterAutospacing="0" w:line="400" w:lineRule="exact"/>
        <w:ind w:left="0" w:leftChars="0" w:right="0" w:rightChars="0" w:firstLine="0" w:firstLineChars="0"/>
        <w:jc w:val="both"/>
        <w:rPr>
          <w:color w:val="auto"/>
        </w:rPr>
      </w:pPr>
      <w:r>
        <w:rPr>
          <w:rStyle w:val="51"/>
          <w:rFonts w:ascii="Times New Roman" w:eastAsia="宋体"/>
          <w:b/>
          <w:i w:val="0"/>
          <w:color w:val="auto"/>
          <w:sz w:val="24"/>
        </w:rPr>
        <w:t>Keywords:</w:t>
      </w:r>
      <w:r>
        <w:rPr>
          <w:rFonts w:ascii="Times New Roman" w:eastAsia="宋体"/>
          <w:b w:val="0"/>
          <w:i w:val="0"/>
          <w:color w:val="auto"/>
          <w:sz w:val="24"/>
        </w:rPr>
        <w:t>Software Project Effort Estimation; Machine Learning; Random Forest; Support Vector Machine; Feature Engineering; Promise Repository</w:t>
      </w:r>
    </w:p>
    <w:p w14:paraId="17BC6BD9">
      <w:pPr>
        <w:ind w:firstLine="0" w:firstLineChars="0"/>
        <w:rPr>
          <w:rFonts w:ascii="Times New Roman" w:hAnsi="Times New Roman" w:cs="Times New Roman"/>
          <w:color w:val="0F1115"/>
          <w:szCs w:val="24"/>
        </w:rPr>
      </w:pPr>
      <w:r>
        <w:rPr>
          <w:rFonts w:ascii="Times New Roman" w:hAnsi="Times New Roman" w:cs="Times New Roman"/>
          <w:color w:val="0F1115"/>
          <w:szCs w:val="24"/>
        </w:rPr>
        <w:br w:type="page"/>
      </w:r>
    </w:p>
    <w:sdt>
      <w:sdtPr>
        <w:rPr>
          <w:rFonts w:eastAsia="黑体" w:asciiTheme="minorHAnsi" w:hAnsiTheme="minorHAnsi" w:cstheme="minorBidi"/>
          <w:b w:val="0"/>
          <w:color w:val="auto"/>
          <w:kern w:val="2"/>
          <w:sz w:val="32"/>
          <w:szCs w:val="22"/>
        </w:rPr>
        <w:id w:val="147452031"/>
        <w15:color w:val="DBDBDB"/>
        <w:docPartObj>
          <w:docPartGallery w:val="Table of Contents"/>
          <w:docPartUnique/>
        </w:docPartObj>
      </w:sdtPr>
      <w:sdtEndPr>
        <w:rPr>
          <w:rFonts w:ascii="Times New Roman" w:hAnsi="Times New Roman" w:eastAsia="宋体" w:cs="Times New Roman"/>
          <w:color w:val="0F1115"/>
          <w:kern w:val="2"/>
          <w:sz w:val="24"/>
          <w:szCs w:val="24"/>
        </w:rPr>
      </w:sdtEndPr>
      <w:sdtContent>
        <w:p w14:paraId="32821C8E">
          <w:pPr>
            <w:pStyle w:val="2"/>
            <w:snapToGrid/>
            <w:spacing w:before="240" w:beforeAutospacing="0" w:afterAutospacing="0" w:line="259" w:lineRule="auto"/>
            <w:ind w:left="0" w:leftChars="0" w:right="0" w:rightChars="0" w:firstLine="0" w:firstLineChars="0"/>
            <w:jc w:val="center"/>
            <w:rPr>
              <w:rFonts w:eastAsia="黑体"/>
              <w:b w:val="0"/>
              <w:color w:val="auto"/>
              <w:sz w:val="32"/>
            </w:rPr>
          </w:pPr>
          <w:r>
            <w:rPr>
              <w:rFonts w:eastAsia="黑体"/>
              <w:b w:val="0"/>
              <w:color w:val="auto"/>
              <w:sz w:val="32"/>
            </w:rPr>
            <w:t>目录</w:t>
          </w:r>
        </w:p>
        <w:p w14:paraId="448E3A51">
          <w:pPr>
            <w:pStyle w:val="19"/>
            <w:tabs>
              <w:tab w:val="right" w:leader="dot" w:pos="8958"/>
            </w:tabs>
            <w:snapToGrid/>
            <w:spacing w:beforeAutospacing="0" w:afterAutospacing="0" w:line="400" w:lineRule="exact"/>
            <w:ind w:left="0" w:leftChars="0" w:right="0" w:rightChars="0" w:firstLine="0" w:firstLineChars="0"/>
            <w:jc w:val="both"/>
            <w:rPr>
              <w:rFonts w:ascii="Times New Roman" w:eastAsia="宋体"/>
              <w:b w:val="0"/>
              <w:color w:val="auto"/>
              <w:sz w:val="24"/>
            </w:rPr>
          </w:pPr>
          <w:r>
            <w:rPr>
              <w:rFonts w:ascii="Times New Roman" w:hAnsi="Times New Roman" w:eastAsia="宋体" w:cs="Times New Roman"/>
              <w:b w:val="0"/>
              <w:color w:val="auto"/>
              <w:sz w:val="24"/>
              <w:szCs w:val="24"/>
            </w:rPr>
            <w:fldChar w:fldCharType="begin"/>
          </w:r>
          <w:r>
            <w:rPr>
              <w:rFonts w:ascii="Times New Roman" w:hAnsi="Times New Roman" w:eastAsia="宋体" w:cs="Times New Roman"/>
              <w:b w:val="0"/>
              <w:color w:val="auto"/>
              <w:sz w:val="24"/>
              <w:szCs w:val="24"/>
            </w:rPr>
            <w:instrText xml:space="preserve">TOC \o "1-3" \h \u </w:instrText>
          </w:r>
          <w:r>
            <w:rPr>
              <w:rFonts w:ascii="Times New Roman" w:hAnsi="Times New Roman" w:eastAsia="宋体" w:cs="Times New Roman"/>
              <w:b w:val="0"/>
              <w:color w:val="auto"/>
              <w:sz w:val="24"/>
              <w:szCs w:val="24"/>
            </w:rPr>
            <w:fldChar w:fldCharType="separate"/>
          </w:r>
        </w:p>
        <w:p w14:paraId="1F602140">
          <w:pPr>
            <w:pStyle w:val="19"/>
            <w:tabs>
              <w:tab w:val="right" w:leader="dot" w:pos="8958"/>
            </w:tabs>
            <w:snapToGrid/>
            <w:spacing w:beforeAutospacing="0" w:afterAutospacing="0" w:line="400" w:lineRule="exact"/>
            <w:ind w:left="0" w:leftChars="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"_Toc22616" </w:instrText>
          </w:r>
          <w:r>
            <w:rPr>
              <w:rFonts w:ascii="Times New Roman" w:eastAsia="宋体"/>
              <w:b w:val="0"/>
              <w:sz w:val="24"/>
            </w:rPr>
            <w:fldChar w:fldCharType="separate"/>
          </w:r>
          <w:r>
            <w:rPr>
              <w:rFonts w:ascii="Times New Roman" w:eastAsia="宋体"/>
              <w:b w:val="0"/>
              <w:sz w:val="24"/>
            </w:rPr>
            <w:t>1 绪论</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_Toc22616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ascii="Times New Roman" w:eastAsia="宋体"/>
              <w:b w:val="0"/>
              <w:sz w:val="24"/>
            </w:rPr>
            <w:fldChar w:fldCharType="end"/>
          </w:r>
        </w:p>
        <w:p w14:paraId="45E85656">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"_Toc5204" </w:instrText>
          </w:r>
          <w:r>
            <w:rPr>
              <w:rFonts w:ascii="Times New Roman" w:eastAsia="宋体"/>
              <w:b w:val="0"/>
              <w:sz w:val="24"/>
            </w:rPr>
            <w:fldChar w:fldCharType="separate"/>
          </w:r>
          <w:r>
            <w:rPr>
              <w:rFonts w:ascii="Times New Roman" w:eastAsia="宋体"/>
              <w:b w:val="0"/>
              <w:sz w:val="24"/>
            </w:rPr>
            <w:t>1.1 研究背景</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_Toc5204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ascii="Times New Roman" w:eastAsia="宋体"/>
              <w:b w:val="0"/>
              <w:sz w:val="24"/>
            </w:rPr>
            <w:fldChar w:fldCharType="end"/>
          </w:r>
        </w:p>
        <w:p w14:paraId="7D450305">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"_Toc13063" </w:instrText>
          </w:r>
          <w:r>
            <w:rPr>
              <w:rFonts w:ascii="Times New Roman" w:eastAsia="宋体"/>
              <w:b w:val="0"/>
              <w:sz w:val="24"/>
            </w:rPr>
            <w:fldChar w:fldCharType="separate"/>
          </w:r>
          <w:r>
            <w:rPr>
              <w:rFonts w:hint="eastAsia" w:ascii="Times New Roman" w:eastAsia="宋体"/>
              <w:b w:val="0"/>
              <w:sz w:val="24"/>
            </w:rPr>
            <w:t>1.2</w:t>
          </w:r>
          <w:r>
            <w:rPr>
              <w:rFonts w:ascii="Times New Roman" w:eastAsia="宋体"/>
              <w:b w:val="0"/>
              <w:sz w:val="24"/>
            </w:rPr>
            <w:t>研究意义</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_Toc13063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ascii="Times New Roman" w:eastAsia="宋体"/>
              <w:b w:val="0"/>
              <w:sz w:val="24"/>
            </w:rPr>
            <w:fldChar w:fldCharType="end"/>
          </w:r>
        </w:p>
        <w:p w14:paraId="5B91D897">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"_Toc25829" </w:instrText>
          </w:r>
          <w:r>
            <w:rPr>
              <w:rFonts w:ascii="Times New Roman" w:eastAsia="宋体"/>
              <w:b w:val="0"/>
              <w:sz w:val="24"/>
            </w:rPr>
            <w:fldChar w:fldCharType="separate"/>
          </w:r>
          <w:r>
            <w:rPr>
              <w:rFonts w:ascii="Times New Roman" w:eastAsia="宋体"/>
              <w:b w:val="0"/>
              <w:sz w:val="24"/>
            </w:rPr>
            <w:t>1.2.1 理论意义</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_Toc25829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ascii="Times New Roman" w:eastAsia="宋体"/>
              <w:b w:val="0"/>
              <w:sz w:val="24"/>
            </w:rPr>
            <w:fldChar w:fldCharType="end"/>
          </w:r>
        </w:p>
        <w:p w14:paraId="052F09C7">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"_Toc21401" </w:instrText>
          </w:r>
          <w:r>
            <w:rPr>
              <w:rFonts w:ascii="Times New Roman" w:eastAsia="宋体"/>
              <w:b w:val="0"/>
              <w:sz w:val="24"/>
            </w:rPr>
            <w:fldChar w:fldCharType="separate"/>
          </w:r>
          <w:r>
            <w:rPr>
              <w:rFonts w:hint="eastAsia" w:ascii="Times New Roman" w:eastAsia="宋体"/>
              <w:b w:val="0"/>
              <w:sz w:val="24"/>
            </w:rPr>
            <w:t>1.2.2</w:t>
          </w:r>
          <w:r>
            <w:rPr>
              <w:rFonts w:ascii="Times New Roman" w:eastAsia="宋体"/>
              <w:b w:val="0"/>
              <w:sz w:val="24"/>
            </w:rPr>
            <w:t>实践意义</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_Toc21401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ascii="Times New Roman" w:eastAsia="宋体"/>
              <w:b w:val="0"/>
              <w:sz w:val="24"/>
            </w:rPr>
            <w:fldChar w:fldCharType="end"/>
          </w:r>
        </w:p>
        <w:p w14:paraId="7896C080">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"_Toc12289" </w:instrText>
          </w:r>
          <w:r>
            <w:rPr>
              <w:rFonts w:ascii="Times New Roman" w:eastAsia="宋体"/>
              <w:b w:val="0"/>
              <w:sz w:val="24"/>
            </w:rPr>
            <w:fldChar w:fldCharType="separate"/>
          </w:r>
          <w:r>
            <w:rPr>
              <w:rFonts w:hint="eastAsia" w:ascii="Times New Roman" w:eastAsia="宋体" w:cs="Times New Roman"/>
              <w:b w:val="0"/>
              <w:sz w:val="24"/>
              <w:szCs w:val="24"/>
            </w:rPr>
            <w:t>1.3</w:t>
          </w:r>
          <w:r>
            <w:rPr>
              <w:rFonts w:ascii="Times New Roman" w:hAnsi="Segoe UI" w:eastAsia="宋体" w:cs="Segoe UI"/>
              <w:b w:val="0"/>
              <w:sz w:val="24"/>
              <w:szCs w:val="19"/>
              <w:shd w:val="clear" w:color="auto" w:fill="FFFFFF"/>
            </w:rPr>
            <w:t>主要研究内容</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_Toc12289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ascii="Times New Roman" w:eastAsia="宋体"/>
              <w:b w:val="0"/>
              <w:sz w:val="24"/>
            </w:rPr>
            <w:fldChar w:fldCharType="end"/>
          </w:r>
        </w:p>
        <w:p w14:paraId="4A63EAF5">
          <w:pPr>
            <w:pStyle w:val="19"/>
            <w:tabs>
              <w:tab w:val="right" w:leader="dot" w:pos="8958"/>
            </w:tabs>
            <w:snapToGrid/>
            <w:spacing w:beforeAutospacing="0" w:afterAutospacing="0" w:line="400" w:lineRule="exact"/>
            <w:ind w:left="0" w:leftChars="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"_Toc16621" </w:instrText>
          </w:r>
          <w:r>
            <w:rPr>
              <w:rFonts w:ascii="Times New Roman" w:eastAsia="宋体"/>
              <w:b w:val="0"/>
              <w:sz w:val="24"/>
            </w:rPr>
            <w:fldChar w:fldCharType="separate"/>
          </w:r>
          <w:r>
            <w:rPr>
              <w:rFonts w:ascii="Times New Roman" w:eastAsia="宋体"/>
              <w:b w:val="0"/>
              <w:sz w:val="24"/>
            </w:rPr>
            <w:t>2 理论基础与文献综述</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_Toc16621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ascii="Times New Roman" w:eastAsia="宋体"/>
              <w:b w:val="0"/>
              <w:sz w:val="24"/>
            </w:rPr>
            <w:fldChar w:fldCharType="end"/>
          </w:r>
        </w:p>
        <w:p w14:paraId="7639879A">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"_Toc31919" </w:instrText>
          </w:r>
          <w:r>
            <w:rPr>
              <w:rFonts w:ascii="Times New Roman" w:eastAsia="宋体"/>
              <w:b w:val="0"/>
              <w:sz w:val="24"/>
            </w:rPr>
            <w:fldChar w:fldCharType="separate"/>
          </w:r>
          <w:r>
            <w:rPr>
              <w:rFonts w:ascii="Times New Roman" w:eastAsia="宋体"/>
              <w:b w:val="0"/>
              <w:sz w:val="24"/>
            </w:rPr>
            <w:t>2.1 软件项目工作量估算传统方法</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_Toc31919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ascii="Times New Roman" w:eastAsia="宋体"/>
              <w:b w:val="0"/>
              <w:sz w:val="24"/>
            </w:rPr>
            <w:fldChar w:fldCharType="end"/>
          </w:r>
        </w:p>
        <w:p w14:paraId="18140D8B">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"_Toc6921" </w:instrText>
          </w:r>
          <w:r>
            <w:rPr>
              <w:rFonts w:ascii="Times New Roman" w:eastAsia="宋体"/>
              <w:b w:val="0"/>
              <w:sz w:val="24"/>
            </w:rPr>
            <w:fldChar w:fldCharType="separate"/>
          </w:r>
          <w:r>
            <w:rPr>
              <w:rFonts w:ascii="Times New Roman" w:eastAsia="宋体"/>
              <w:b w:val="0"/>
              <w:sz w:val="24"/>
            </w:rPr>
            <w:t>2.1.1 专家判断法</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_Toc6921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ascii="Times New Roman" w:eastAsia="宋体"/>
              <w:b w:val="0"/>
              <w:sz w:val="24"/>
            </w:rPr>
            <w:fldChar w:fldCharType="end"/>
          </w:r>
        </w:p>
        <w:p w14:paraId="545844DE">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"_Toc13197" </w:instrText>
          </w:r>
          <w:r>
            <w:rPr>
              <w:rFonts w:ascii="Times New Roman" w:eastAsia="宋体"/>
              <w:b w:val="0"/>
              <w:sz w:val="24"/>
            </w:rPr>
            <w:fldChar w:fldCharType="separate"/>
          </w:r>
          <w:r>
            <w:rPr>
              <w:rFonts w:ascii="Times New Roman" w:eastAsia="宋体"/>
              <w:b w:val="0"/>
              <w:sz w:val="24"/>
            </w:rPr>
            <w:t>2.1.2 功能点分析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_Toc13197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ascii="Times New Roman" w:eastAsia="宋体"/>
              <w:b w:val="0"/>
              <w:sz w:val="24"/>
            </w:rPr>
            <w:fldChar w:fldCharType="end"/>
          </w:r>
        </w:p>
        <w:p w14:paraId="5956DB67">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"_Toc5627" </w:instrText>
          </w:r>
          <w:r>
            <w:rPr>
              <w:rFonts w:ascii="Times New Roman" w:eastAsia="宋体"/>
              <w:b w:val="0"/>
              <w:sz w:val="24"/>
            </w:rPr>
            <w:fldChar w:fldCharType="separate"/>
          </w:r>
          <w:r>
            <w:rPr>
              <w:rFonts w:ascii="Times New Roman" w:eastAsia="宋体"/>
              <w:b w:val="0"/>
              <w:sz w:val="24"/>
            </w:rPr>
            <w:t>2.1.3 COCOMO模型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_Toc5627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ascii="Times New Roman" w:eastAsia="宋体"/>
              <w:b w:val="0"/>
              <w:sz w:val="24"/>
            </w:rPr>
            <w:fldChar w:fldCharType="end"/>
          </w:r>
        </w:p>
        <w:p w14:paraId="742BE7B0">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"_Toc5809" </w:instrText>
          </w:r>
          <w:r>
            <w:rPr>
              <w:rFonts w:ascii="Times New Roman" w:eastAsia="宋体"/>
              <w:b w:val="0"/>
              <w:sz w:val="24"/>
            </w:rPr>
            <w:fldChar w:fldCharType="separate"/>
          </w:r>
          <w:r>
            <w:rPr>
              <w:rFonts w:ascii="Times New Roman" w:eastAsia="宋体"/>
              <w:b w:val="0"/>
              <w:sz w:val="24"/>
            </w:rPr>
            <w:t>2.1.4 传统方法的局限性与适用场景分析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_Toc5809 \h </w:instrText>
          </w:r>
          <w:r>
            <w:rPr>
              <w:rFonts w:ascii="Times New Roman" w:eastAsia="宋体"/>
              <w:b w:val="0"/>
              <w:sz w:val="24"/>
            </w:rPr>
            <w:fldChar w:fldCharType="separate"/>
          </w:r>
          <w:r>
            <w:rPr>
              <w:rFonts w:ascii="Times New Roman" w:eastAsia="宋体"/>
              <w:b w:val="0"/>
              <w:sz w:val="24"/>
            </w:rPr>
            <w:t>5</w:t>
          </w:r>
          <w:r>
            <w:rPr>
              <w:rFonts w:ascii="Times New Roman" w:eastAsia="宋体"/>
              <w:b w:val="0"/>
              <w:sz w:val="24"/>
            </w:rPr>
            <w:fldChar w:fldCharType="end"/>
          </w:r>
          <w:r>
            <w:rPr>
              <w:rFonts w:ascii="Times New Roman" w:eastAsia="宋体"/>
              <w:b w:val="0"/>
              <w:sz w:val="24"/>
            </w:rPr>
            <w:fldChar w:fldCharType="end"/>
          </w:r>
        </w:p>
        <w:p w14:paraId="53645302">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"_Toc22716" </w:instrText>
          </w:r>
          <w:r>
            <w:rPr>
              <w:rFonts w:ascii="Times New Roman" w:eastAsia="宋体"/>
              <w:b w:val="0"/>
              <w:sz w:val="24"/>
            </w:rPr>
            <w:fldChar w:fldCharType="separate"/>
          </w:r>
          <w:r>
            <w:rPr>
              <w:rFonts w:ascii="Times New Roman" w:eastAsia="宋体"/>
              <w:b w:val="0"/>
              <w:sz w:val="24"/>
            </w:rPr>
            <w:t>2.2 机器学习在软件工程中的应用</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_Toc22716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ascii="Times New Roman" w:eastAsia="宋体"/>
              <w:b w:val="0"/>
              <w:sz w:val="24"/>
            </w:rPr>
            <w:fldChar w:fldCharType="end"/>
          </w:r>
        </w:p>
        <w:p w14:paraId="4AD1482C">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"_Toc20869" </w:instrText>
          </w:r>
          <w:r>
            <w:rPr>
              <w:rFonts w:ascii="Times New Roman" w:eastAsia="宋体"/>
              <w:b w:val="0"/>
              <w:sz w:val="24"/>
            </w:rPr>
            <w:fldChar w:fldCharType="separate"/>
          </w:r>
          <w:r>
            <w:rPr>
              <w:rFonts w:ascii="Times New Roman" w:eastAsia="宋体"/>
              <w:b w:val="0"/>
              <w:sz w:val="24"/>
            </w:rPr>
            <w:t>2.2.1 机器学习概述</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_Toc20869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ascii="Times New Roman" w:eastAsia="宋体"/>
              <w:b w:val="0"/>
              <w:sz w:val="24"/>
            </w:rPr>
            <w:fldChar w:fldCharType="end"/>
          </w:r>
        </w:p>
        <w:p w14:paraId="59CA8EA8">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"_Toc18455" </w:instrText>
          </w:r>
          <w:r>
            <w:rPr>
              <w:rFonts w:ascii="Times New Roman" w:eastAsia="宋体"/>
              <w:b w:val="0"/>
              <w:sz w:val="24"/>
            </w:rPr>
            <w:fldChar w:fldCharType="separate"/>
          </w:r>
          <w:r>
            <w:rPr>
              <w:rFonts w:ascii="Times New Roman" w:eastAsia="宋体"/>
              <w:b w:val="0"/>
              <w:sz w:val="24"/>
            </w:rPr>
            <w:t>2.2.2 机器学习在成本与工作量估算中的研究现状</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_Toc18455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ascii="Times New Roman" w:eastAsia="宋体"/>
              <w:b w:val="0"/>
              <w:sz w:val="24"/>
            </w:rPr>
            <w:fldChar w:fldCharType="end"/>
          </w:r>
        </w:p>
        <w:p w14:paraId="4ACFB898">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"_Toc10378" </w:instrText>
          </w:r>
          <w:r>
            <w:rPr>
              <w:rFonts w:ascii="Times New Roman" w:eastAsia="宋体"/>
              <w:b w:val="0"/>
              <w:sz w:val="24"/>
            </w:rPr>
            <w:fldChar w:fldCharType="separate"/>
          </w:r>
          <w:r>
            <w:rPr>
              <w:rFonts w:ascii="Times New Roman" w:eastAsia="宋体"/>
              <w:b w:val="0"/>
              <w:sz w:val="24"/>
            </w:rPr>
            <w:t>2.2.3 常用算法在估算中的应用案例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_Toc10378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ascii="Times New Roman" w:eastAsia="宋体"/>
              <w:b w:val="0"/>
              <w:sz w:val="24"/>
            </w:rPr>
            <w:fldChar w:fldCharType="end"/>
          </w:r>
        </w:p>
        <w:p w14:paraId="1DE978D6">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"_Toc17894" </w:instrText>
          </w:r>
          <w:r>
            <w:rPr>
              <w:rFonts w:ascii="Times New Roman" w:eastAsia="宋体"/>
              <w:b w:val="0"/>
              <w:sz w:val="24"/>
            </w:rPr>
            <w:fldChar w:fldCharType="separate"/>
          </w:r>
          <w:r>
            <w:rPr>
              <w:rFonts w:ascii="Times New Roman" w:eastAsia="宋体"/>
              <w:b w:val="0"/>
              <w:sz w:val="24"/>
            </w:rPr>
            <w:t>2.3 研究评述与本研究的切入点</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_Toc17894 \h </w:instrText>
          </w:r>
          <w:r>
            <w:rPr>
              <w:rFonts w:ascii="Times New Roman" w:eastAsia="宋体"/>
              <w:b w:val="0"/>
              <w:sz w:val="24"/>
            </w:rPr>
            <w:fldChar w:fldCharType="separate"/>
          </w:r>
          <w:r>
            <w:rPr>
              <w:rFonts w:ascii="Times New Roman" w:eastAsia="宋体"/>
              <w:b w:val="0"/>
              <w:sz w:val="24"/>
            </w:rPr>
            <w:t>8</w:t>
          </w:r>
          <w:r>
            <w:rPr>
              <w:rFonts w:ascii="Times New Roman" w:eastAsia="宋体"/>
              <w:b w:val="0"/>
              <w:sz w:val="24"/>
            </w:rPr>
            <w:fldChar w:fldCharType="end"/>
          </w:r>
          <w:r>
            <w:rPr>
              <w:rFonts w:ascii="Times New Roman" w:eastAsia="宋体"/>
              <w:b w:val="0"/>
              <w:sz w:val="24"/>
            </w:rPr>
            <w:fldChar w:fldCharType="end"/>
          </w:r>
        </w:p>
        <w:p w14:paraId="20CD6683">
          <w:pPr>
            <w:pStyle w:val="19"/>
            <w:tabs>
              <w:tab w:val="right" w:leader="dot" w:pos="8958"/>
            </w:tabs>
            <w:snapToGrid/>
            <w:spacing w:beforeAutospacing="0" w:afterAutospacing="0" w:line="400" w:lineRule="exact"/>
            <w:ind w:left="0" w:leftChars="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"_Toc20517" </w:instrText>
          </w:r>
          <w:r>
            <w:rPr>
              <w:rFonts w:ascii="Times New Roman" w:eastAsia="宋体"/>
              <w:b w:val="0"/>
              <w:sz w:val="24"/>
            </w:rPr>
            <w:fldChar w:fldCharType="separate"/>
          </w:r>
          <w:r>
            <w:rPr>
              <w:rFonts w:hint="eastAsia" w:ascii="Times New Roman" w:eastAsia="宋体"/>
              <w:b w:val="0"/>
              <w:sz w:val="24"/>
            </w:rPr>
            <w:t>3.</w:t>
          </w:r>
          <w:r>
            <w:rPr>
              <w:rFonts w:ascii="Times New Roman" w:eastAsia="宋体"/>
              <w:b w:val="0"/>
              <w:sz w:val="24"/>
            </w:rPr>
            <w:t>研究设计与数据准备</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_Toc20517 \h </w:instrText>
          </w:r>
          <w:r>
            <w:rPr>
              <w:rFonts w:ascii="Times New Roman" w:eastAsia="宋体"/>
              <w:b w:val="0"/>
              <w:sz w:val="24"/>
            </w:rPr>
            <w:fldChar w:fldCharType="separate"/>
          </w:r>
          <w:r>
            <w:rPr>
              <w:rFonts w:ascii="Times New Roman" w:eastAsia="宋体"/>
              <w:b w:val="0"/>
              <w:sz w:val="24"/>
            </w:rPr>
            <w:t>9</w:t>
          </w:r>
          <w:r>
            <w:rPr>
              <w:rFonts w:ascii="Times New Roman" w:eastAsia="宋体"/>
              <w:b w:val="0"/>
              <w:sz w:val="24"/>
            </w:rPr>
            <w:fldChar w:fldCharType="end"/>
          </w:r>
          <w:r>
            <w:rPr>
              <w:rFonts w:ascii="Times New Roman" w:eastAsia="宋体"/>
              <w:b w:val="0"/>
              <w:sz w:val="24"/>
            </w:rPr>
            <w:fldChar w:fldCharType="end"/>
          </w:r>
        </w:p>
        <w:p w14:paraId="02E26EFC">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"_Toc28453" </w:instrText>
          </w:r>
          <w:r>
            <w:rPr>
              <w:rFonts w:ascii="Times New Roman" w:eastAsia="宋体"/>
              <w:b w:val="0"/>
              <w:sz w:val="24"/>
            </w:rPr>
            <w:fldChar w:fldCharType="separate"/>
          </w:r>
          <w:r>
            <w:rPr>
              <w:rFonts w:ascii="Times New Roman" w:hAnsi="Segoe UI" w:eastAsia="宋体" w:cs="Segoe UI"/>
              <w:b w:val="0"/>
              <w:bCs/>
              <w:sz w:val="24"/>
              <w:szCs w:val="19"/>
              <w:shd w:val="clear" w:color="auto" w:fill="FFFFFF"/>
            </w:rPr>
            <w:t>3.1 研究框架与技术路线</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_Toc28453 \h </w:instrText>
          </w:r>
          <w:r>
            <w:rPr>
              <w:rFonts w:ascii="Times New Roman" w:eastAsia="宋体"/>
              <w:b w:val="0"/>
              <w:sz w:val="24"/>
            </w:rPr>
            <w:fldChar w:fldCharType="separate"/>
          </w:r>
          <w:r>
            <w:rPr>
              <w:rFonts w:ascii="Times New Roman" w:eastAsia="宋体"/>
              <w:b w:val="0"/>
              <w:sz w:val="24"/>
            </w:rPr>
            <w:t>9</w:t>
          </w:r>
          <w:r>
            <w:rPr>
              <w:rFonts w:ascii="Times New Roman" w:eastAsia="宋体"/>
              <w:b w:val="0"/>
              <w:sz w:val="24"/>
            </w:rPr>
            <w:fldChar w:fldCharType="end"/>
          </w:r>
          <w:r>
            <w:rPr>
              <w:rFonts w:ascii="Times New Roman" w:eastAsia="宋体"/>
              <w:b w:val="0"/>
              <w:sz w:val="24"/>
            </w:rPr>
            <w:fldChar w:fldCharType="end"/>
          </w:r>
        </w:p>
        <w:p w14:paraId="43C86049">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"_Toc27360" </w:instrText>
          </w:r>
          <w:r>
            <w:rPr>
              <w:rFonts w:ascii="Times New Roman" w:eastAsia="宋体"/>
              <w:b w:val="0"/>
              <w:sz w:val="24"/>
            </w:rPr>
            <w:fldChar w:fldCharType="separate"/>
          </w:r>
          <w:r>
            <w:rPr>
              <w:rFonts w:hint="eastAsia" w:ascii="Times New Roman" w:eastAsia="宋体"/>
              <w:b w:val="0"/>
              <w:sz w:val="24"/>
            </w:rPr>
            <w:t>3.2</w:t>
          </w:r>
          <w:r>
            <w:rPr>
              <w:rFonts w:ascii="Times New Roman" w:eastAsia="宋体"/>
              <w:b w:val="0"/>
              <w:sz w:val="24"/>
            </w:rPr>
            <w:t>数据来源与采集</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_Toc27360 \h </w:instrText>
          </w:r>
          <w:r>
            <w:rPr>
              <w:rFonts w:ascii="Times New Roman" w:eastAsia="宋体"/>
              <w:b w:val="0"/>
              <w:sz w:val="24"/>
            </w:rPr>
            <w:fldChar w:fldCharType="separate"/>
          </w:r>
          <w:r>
            <w:rPr>
              <w:rFonts w:ascii="Times New Roman" w:eastAsia="宋体"/>
              <w:b w:val="0"/>
              <w:sz w:val="24"/>
            </w:rPr>
            <w:t>10</w:t>
          </w:r>
          <w:r>
            <w:rPr>
              <w:rFonts w:ascii="Times New Roman" w:eastAsia="宋体"/>
              <w:b w:val="0"/>
              <w:sz w:val="24"/>
            </w:rPr>
            <w:fldChar w:fldCharType="end"/>
          </w:r>
          <w:r>
            <w:rPr>
              <w:rFonts w:ascii="Times New Roman" w:eastAsia="宋体"/>
              <w:b w:val="0"/>
              <w:sz w:val="24"/>
            </w:rPr>
            <w:fldChar w:fldCharType="end"/>
          </w:r>
        </w:p>
        <w:p w14:paraId="7922A6D6">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"_Toc30632" </w:instrText>
          </w:r>
          <w:r>
            <w:rPr>
              <w:rFonts w:ascii="Times New Roman" w:eastAsia="宋体"/>
              <w:b w:val="0"/>
              <w:sz w:val="24"/>
            </w:rPr>
            <w:fldChar w:fldCharType="separate"/>
          </w:r>
          <w:r>
            <w:rPr>
              <w:rFonts w:ascii="Times New Roman" w:eastAsia="宋体"/>
              <w:b w:val="0"/>
              <w:sz w:val="24"/>
            </w:rPr>
            <w:t>3.2.1 Promise Repository简介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_Toc30632 \h </w:instrText>
          </w:r>
          <w:r>
            <w:rPr>
              <w:rFonts w:ascii="Times New Roman" w:eastAsia="宋体"/>
              <w:b w:val="0"/>
              <w:sz w:val="24"/>
            </w:rPr>
            <w:fldChar w:fldCharType="separate"/>
          </w:r>
          <w:r>
            <w:rPr>
              <w:rFonts w:ascii="Times New Roman" w:eastAsia="宋体"/>
              <w:b w:val="0"/>
              <w:sz w:val="24"/>
            </w:rPr>
            <w:t>10</w:t>
          </w:r>
          <w:r>
            <w:rPr>
              <w:rFonts w:ascii="Times New Roman" w:eastAsia="宋体"/>
              <w:b w:val="0"/>
              <w:sz w:val="24"/>
            </w:rPr>
            <w:fldChar w:fldCharType="end"/>
          </w:r>
          <w:r>
            <w:rPr>
              <w:rFonts w:ascii="Times New Roman" w:eastAsia="宋体"/>
              <w:b w:val="0"/>
              <w:sz w:val="24"/>
            </w:rPr>
            <w:fldChar w:fldCharType="end"/>
          </w:r>
        </w:p>
        <w:p w14:paraId="41675A2D">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"_Toc29395" </w:instrText>
          </w:r>
          <w:r>
            <w:rPr>
              <w:rFonts w:ascii="Times New Roman" w:eastAsia="宋体"/>
              <w:b w:val="0"/>
              <w:sz w:val="24"/>
            </w:rPr>
            <w:fldChar w:fldCharType="separate"/>
          </w:r>
          <w:r>
            <w:rPr>
              <w:rFonts w:ascii="Times New Roman" w:eastAsia="宋体"/>
              <w:b w:val="0"/>
              <w:sz w:val="24"/>
            </w:rPr>
            <w:t>3.2.2 数据采集范围与属性说明</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_Toc29395 \h </w:instrText>
          </w:r>
          <w:r>
            <w:rPr>
              <w:rFonts w:ascii="Times New Roman" w:eastAsia="宋体"/>
              <w:b w:val="0"/>
              <w:sz w:val="24"/>
            </w:rPr>
            <w:fldChar w:fldCharType="separate"/>
          </w:r>
          <w:r>
            <w:rPr>
              <w:rFonts w:ascii="Times New Roman" w:eastAsia="宋体"/>
              <w:b w:val="0"/>
              <w:sz w:val="24"/>
            </w:rPr>
            <w:t>11</w:t>
          </w:r>
          <w:r>
            <w:rPr>
              <w:rFonts w:ascii="Times New Roman" w:eastAsia="宋体"/>
              <w:b w:val="0"/>
              <w:sz w:val="24"/>
            </w:rPr>
            <w:fldChar w:fldCharType="end"/>
          </w:r>
          <w:r>
            <w:rPr>
              <w:rFonts w:ascii="Times New Roman" w:eastAsia="宋体"/>
              <w:b w:val="0"/>
              <w:sz w:val="24"/>
            </w:rPr>
            <w:fldChar w:fldCharType="end"/>
          </w:r>
        </w:p>
        <w:p w14:paraId="34FB42B2">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"_Toc30842" </w:instrText>
          </w:r>
          <w:r>
            <w:rPr>
              <w:rFonts w:ascii="Times New Roman" w:eastAsia="宋体"/>
              <w:b w:val="0"/>
              <w:sz w:val="24"/>
            </w:rPr>
            <w:fldChar w:fldCharType="separate"/>
          </w:r>
          <w:r>
            <w:rPr>
              <w:rFonts w:hint="eastAsia" w:ascii="Times New Roman" w:eastAsia="宋体"/>
              <w:b w:val="0"/>
              <w:sz w:val="24"/>
            </w:rPr>
            <w:t>3.3</w:t>
          </w:r>
          <w:r>
            <w:rPr>
              <w:rFonts w:ascii="Times New Roman" w:eastAsia="宋体"/>
              <w:b w:val="0"/>
              <w:sz w:val="24"/>
            </w:rPr>
            <w:t>数据预处理与特征工程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_Toc30842 \h </w:instrText>
          </w:r>
          <w:r>
            <w:rPr>
              <w:rFonts w:ascii="Times New Roman" w:eastAsia="宋体"/>
              <w:b w:val="0"/>
              <w:sz w:val="24"/>
            </w:rPr>
            <w:fldChar w:fldCharType="separate"/>
          </w:r>
          <w:r>
            <w:rPr>
              <w:rFonts w:ascii="Times New Roman" w:eastAsia="宋体"/>
              <w:b w:val="0"/>
              <w:sz w:val="24"/>
            </w:rPr>
            <w:t>12</w:t>
          </w:r>
          <w:r>
            <w:rPr>
              <w:rFonts w:ascii="Times New Roman" w:eastAsia="宋体"/>
              <w:b w:val="0"/>
              <w:sz w:val="24"/>
            </w:rPr>
            <w:fldChar w:fldCharType="end"/>
          </w:r>
          <w:r>
            <w:rPr>
              <w:rFonts w:ascii="Times New Roman" w:eastAsia="宋体"/>
              <w:b w:val="0"/>
              <w:sz w:val="24"/>
            </w:rPr>
            <w:fldChar w:fldCharType="end"/>
          </w:r>
        </w:p>
        <w:p w14:paraId="263A720B">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"_Toc12032" </w:instrText>
          </w:r>
          <w:r>
            <w:rPr>
              <w:rFonts w:ascii="Times New Roman" w:eastAsia="宋体"/>
              <w:b w:val="0"/>
              <w:sz w:val="24"/>
            </w:rPr>
            <w:fldChar w:fldCharType="separate"/>
          </w:r>
          <w:r>
            <w:rPr>
              <w:rFonts w:ascii="Times New Roman" w:eastAsia="宋体"/>
              <w:b w:val="0"/>
              <w:sz w:val="24"/>
            </w:rPr>
            <w:t>3.3.1 数据清洗（缺失值、异常值处理）</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_Toc12032 \h </w:instrText>
          </w:r>
          <w:r>
            <w:rPr>
              <w:rFonts w:ascii="Times New Roman" w:eastAsia="宋体"/>
              <w:b w:val="0"/>
              <w:sz w:val="24"/>
            </w:rPr>
            <w:fldChar w:fldCharType="separate"/>
          </w:r>
          <w:r>
            <w:rPr>
              <w:rFonts w:ascii="Times New Roman" w:eastAsia="宋体"/>
              <w:b w:val="0"/>
              <w:sz w:val="24"/>
            </w:rPr>
            <w:t>12</w:t>
          </w:r>
          <w:r>
            <w:rPr>
              <w:rFonts w:ascii="Times New Roman" w:eastAsia="宋体"/>
              <w:b w:val="0"/>
              <w:sz w:val="24"/>
            </w:rPr>
            <w:fldChar w:fldCharType="end"/>
          </w:r>
          <w:r>
            <w:rPr>
              <w:rFonts w:ascii="Times New Roman" w:eastAsia="宋体"/>
              <w:b w:val="0"/>
              <w:sz w:val="24"/>
            </w:rPr>
            <w:fldChar w:fldCharType="end"/>
          </w:r>
        </w:p>
        <w:p w14:paraId="2B35DF7F">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"_Toc28202" </w:instrText>
          </w:r>
          <w:r>
            <w:rPr>
              <w:rFonts w:ascii="Times New Roman" w:eastAsia="宋体"/>
              <w:b w:val="0"/>
              <w:sz w:val="24"/>
            </w:rPr>
            <w:fldChar w:fldCharType="separate"/>
          </w:r>
          <w:r>
            <w:rPr>
              <w:rFonts w:ascii="Times New Roman" w:eastAsia="宋体"/>
              <w:b w:val="0"/>
              <w:sz w:val="24"/>
            </w:rPr>
            <w:t>3.3.2 特征选择与提取</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_Toc28202 \h </w:instrText>
          </w:r>
          <w:r>
            <w:rPr>
              <w:rFonts w:ascii="Times New Roman" w:eastAsia="宋体"/>
              <w:b w:val="0"/>
              <w:sz w:val="24"/>
            </w:rPr>
            <w:fldChar w:fldCharType="separate"/>
          </w:r>
          <w:r>
            <w:rPr>
              <w:rFonts w:ascii="Times New Roman" w:eastAsia="宋体"/>
              <w:b w:val="0"/>
              <w:sz w:val="24"/>
            </w:rPr>
            <w:t>13</w:t>
          </w:r>
          <w:r>
            <w:rPr>
              <w:rFonts w:ascii="Times New Roman" w:eastAsia="宋体"/>
              <w:b w:val="0"/>
              <w:sz w:val="24"/>
            </w:rPr>
            <w:fldChar w:fldCharType="end"/>
          </w:r>
          <w:r>
            <w:rPr>
              <w:rFonts w:ascii="Times New Roman" w:eastAsia="宋体"/>
              <w:b w:val="0"/>
              <w:sz w:val="24"/>
            </w:rPr>
            <w:fldChar w:fldCharType="end"/>
          </w:r>
        </w:p>
        <w:p w14:paraId="4CCBDA43">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"_Toc7404" </w:instrText>
          </w:r>
          <w:r>
            <w:rPr>
              <w:rFonts w:ascii="Times New Roman" w:eastAsia="宋体"/>
              <w:b w:val="0"/>
              <w:sz w:val="24"/>
            </w:rPr>
            <w:fldChar w:fldCharType="separate"/>
          </w:r>
          <w:r>
            <w:rPr>
              <w:rFonts w:ascii="Times New Roman" w:eastAsia="宋体"/>
              <w:b w:val="0"/>
              <w:sz w:val="24"/>
            </w:rPr>
            <w:t>3.3.3 数据标准化与数据集划分</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_Toc7404 \h </w:instrText>
          </w:r>
          <w:r>
            <w:rPr>
              <w:rFonts w:ascii="Times New Roman" w:eastAsia="宋体"/>
              <w:b w:val="0"/>
              <w:sz w:val="24"/>
            </w:rPr>
            <w:fldChar w:fldCharType="separate"/>
          </w:r>
          <w:r>
            <w:rPr>
              <w:rFonts w:ascii="Times New Roman" w:eastAsia="宋体"/>
              <w:b w:val="0"/>
              <w:sz w:val="24"/>
            </w:rPr>
            <w:t>14</w:t>
          </w:r>
          <w:r>
            <w:rPr>
              <w:rFonts w:ascii="Times New Roman" w:eastAsia="宋体"/>
              <w:b w:val="0"/>
              <w:sz w:val="24"/>
            </w:rPr>
            <w:fldChar w:fldCharType="end"/>
          </w:r>
          <w:r>
            <w:rPr>
              <w:rFonts w:ascii="Times New Roman" w:eastAsia="宋体"/>
              <w:b w:val="0"/>
              <w:sz w:val="24"/>
            </w:rPr>
            <w:fldChar w:fldCharType="end"/>
          </w:r>
        </w:p>
        <w:p w14:paraId="43810EFC">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"_Toc20116" </w:instrText>
          </w:r>
          <w:r>
            <w:rPr>
              <w:rFonts w:ascii="Times New Roman" w:eastAsia="宋体"/>
              <w:b w:val="0"/>
              <w:sz w:val="24"/>
            </w:rPr>
            <w:fldChar w:fldCharType="separate"/>
          </w:r>
          <w:r>
            <w:rPr>
              <w:rFonts w:hint="eastAsia" w:ascii="Times New Roman" w:eastAsia="宋体"/>
              <w:b w:val="0"/>
              <w:sz w:val="24"/>
            </w:rPr>
            <w:t>3.4</w:t>
          </w:r>
          <w:r>
            <w:rPr>
              <w:rFonts w:ascii="Times New Roman" w:eastAsia="宋体"/>
              <w:b w:val="0"/>
              <w:sz w:val="24"/>
            </w:rPr>
            <w:t>模型性能评价指标</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_Toc20116 \h </w:instrText>
          </w:r>
          <w:r>
            <w:rPr>
              <w:rFonts w:ascii="Times New Roman" w:eastAsia="宋体"/>
              <w:b w:val="0"/>
              <w:sz w:val="24"/>
            </w:rPr>
            <w:fldChar w:fldCharType="separate"/>
          </w:r>
          <w:r>
            <w:rPr>
              <w:rFonts w:ascii="Times New Roman" w:eastAsia="宋体"/>
              <w:b w:val="0"/>
              <w:sz w:val="24"/>
            </w:rPr>
            <w:t>15</w:t>
          </w:r>
          <w:r>
            <w:rPr>
              <w:rFonts w:ascii="Times New Roman" w:eastAsia="宋体"/>
              <w:b w:val="0"/>
              <w:sz w:val="24"/>
            </w:rPr>
            <w:fldChar w:fldCharType="end"/>
          </w:r>
          <w:r>
            <w:rPr>
              <w:rFonts w:ascii="Times New Roman" w:eastAsia="宋体"/>
              <w:b w:val="0"/>
              <w:sz w:val="24"/>
            </w:rPr>
            <w:fldChar w:fldCharType="end"/>
          </w:r>
        </w:p>
        <w:p w14:paraId="4928C0CC">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"_Toc14276" </w:instrText>
          </w:r>
          <w:r>
            <w:rPr>
              <w:rFonts w:ascii="Times New Roman" w:eastAsia="宋体"/>
              <w:b w:val="0"/>
              <w:sz w:val="24"/>
            </w:rPr>
            <w:fldChar w:fldCharType="separate"/>
          </w:r>
          <w:r>
            <w:rPr>
              <w:rFonts w:ascii="Times New Roman" w:eastAsia="宋体"/>
              <w:b w:val="0"/>
              <w:sz w:val="24"/>
            </w:rPr>
            <w:t>3.4.1 平均绝对误差 (MAE)</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_Toc14276 \h </w:instrText>
          </w:r>
          <w:r>
            <w:rPr>
              <w:rFonts w:ascii="Times New Roman" w:eastAsia="宋体"/>
              <w:b w:val="0"/>
              <w:sz w:val="24"/>
            </w:rPr>
            <w:fldChar w:fldCharType="separate"/>
          </w:r>
          <w:r>
            <w:rPr>
              <w:rFonts w:ascii="Times New Roman" w:eastAsia="宋体"/>
              <w:b w:val="0"/>
              <w:sz w:val="24"/>
            </w:rPr>
            <w:t>15</w:t>
          </w:r>
          <w:r>
            <w:rPr>
              <w:rFonts w:ascii="Times New Roman" w:eastAsia="宋体"/>
              <w:b w:val="0"/>
              <w:sz w:val="24"/>
            </w:rPr>
            <w:fldChar w:fldCharType="end"/>
          </w:r>
          <w:r>
            <w:rPr>
              <w:rFonts w:ascii="Times New Roman" w:eastAsia="宋体"/>
              <w:b w:val="0"/>
              <w:sz w:val="24"/>
            </w:rPr>
            <w:fldChar w:fldCharType="end"/>
          </w:r>
        </w:p>
        <w:p w14:paraId="3B79377D">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"_Toc6634" </w:instrText>
          </w:r>
          <w:r>
            <w:rPr>
              <w:rFonts w:ascii="Times New Roman" w:eastAsia="宋体"/>
              <w:b w:val="0"/>
              <w:sz w:val="24"/>
            </w:rPr>
            <w:fldChar w:fldCharType="separate"/>
          </w:r>
          <w:r>
            <w:rPr>
              <w:rFonts w:ascii="Times New Roman" w:eastAsia="宋体"/>
              <w:b w:val="0"/>
              <w:sz w:val="24"/>
            </w:rPr>
            <w:t>3.4.2 均方根误差 (RMSE)</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_Toc6634 \h </w:instrText>
          </w:r>
          <w:r>
            <w:rPr>
              <w:rFonts w:ascii="Times New Roman" w:eastAsia="宋体"/>
              <w:b w:val="0"/>
              <w:sz w:val="24"/>
            </w:rPr>
            <w:fldChar w:fldCharType="separate"/>
          </w:r>
          <w:r>
            <w:rPr>
              <w:rFonts w:ascii="Times New Roman" w:eastAsia="宋体"/>
              <w:b w:val="0"/>
              <w:sz w:val="24"/>
            </w:rPr>
            <w:t>15</w:t>
          </w:r>
          <w:r>
            <w:rPr>
              <w:rFonts w:ascii="Times New Roman" w:eastAsia="宋体"/>
              <w:b w:val="0"/>
              <w:sz w:val="24"/>
            </w:rPr>
            <w:fldChar w:fldCharType="end"/>
          </w:r>
          <w:r>
            <w:rPr>
              <w:rFonts w:ascii="Times New Roman" w:eastAsia="宋体"/>
              <w:b w:val="0"/>
              <w:sz w:val="24"/>
            </w:rPr>
            <w:fldChar w:fldCharType="end"/>
          </w:r>
        </w:p>
        <w:p w14:paraId="34528709">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"_Toc4547" </w:instrText>
          </w:r>
          <w:r>
            <w:rPr>
              <w:rFonts w:ascii="Times New Roman" w:eastAsia="宋体"/>
              <w:b w:val="0"/>
              <w:sz w:val="24"/>
            </w:rPr>
            <w:fldChar w:fldCharType="separate"/>
          </w:r>
          <w:r>
            <w:rPr>
              <w:rFonts w:ascii="Times New Roman" w:eastAsia="宋体"/>
              <w:b w:val="0"/>
              <w:sz w:val="24"/>
            </w:rPr>
            <w:t>3.4.3 其他指标 (MMRE, Pred)</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_Toc4547 \h </w:instrText>
          </w:r>
          <w:r>
            <w:rPr>
              <w:rFonts w:ascii="Times New Roman" w:eastAsia="宋体"/>
              <w:b w:val="0"/>
              <w:sz w:val="24"/>
            </w:rPr>
            <w:fldChar w:fldCharType="separate"/>
          </w:r>
          <w:r>
            <w:rPr>
              <w:rFonts w:ascii="Times New Roman" w:eastAsia="宋体"/>
              <w:b w:val="0"/>
              <w:sz w:val="24"/>
            </w:rPr>
            <w:t>15</w:t>
          </w:r>
          <w:r>
            <w:rPr>
              <w:rFonts w:ascii="Times New Roman" w:eastAsia="宋体"/>
              <w:b w:val="0"/>
              <w:sz w:val="24"/>
            </w:rPr>
            <w:fldChar w:fldCharType="end"/>
          </w:r>
          <w:r>
            <w:rPr>
              <w:rFonts w:ascii="Times New Roman" w:eastAsia="宋体"/>
              <w:b w:val="0"/>
              <w:sz w:val="24"/>
            </w:rPr>
            <w:fldChar w:fldCharType="end"/>
          </w:r>
        </w:p>
        <w:p w14:paraId="5D1328D4">
          <w:pPr>
            <w:pStyle w:val="19"/>
            <w:tabs>
              <w:tab w:val="right" w:leader="dot" w:pos="8958"/>
            </w:tabs>
            <w:snapToGrid/>
            <w:spacing w:beforeAutospacing="0" w:afterAutospacing="0" w:line="400" w:lineRule="exact"/>
            <w:ind w:left="0" w:leftChars="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"_Toc10504" </w:instrText>
          </w:r>
          <w:r>
            <w:rPr>
              <w:rFonts w:ascii="Times New Roman" w:eastAsia="宋体"/>
              <w:b w:val="0"/>
              <w:sz w:val="24"/>
            </w:rPr>
            <w:fldChar w:fldCharType="separate"/>
          </w:r>
          <w:r>
            <w:rPr>
              <w:rFonts w:hint="eastAsia" w:ascii="Times New Roman" w:eastAsia="宋体"/>
              <w:b w:val="0"/>
              <w:sz w:val="24"/>
            </w:rPr>
            <w:t>4.</w:t>
          </w:r>
          <w:r>
            <w:rPr>
              <w:rFonts w:ascii="Times New Roman" w:eastAsia="宋体"/>
              <w:b w:val="0"/>
              <w:sz w:val="24"/>
            </w:rPr>
            <w:t>基于机器学习的估算模型构建与实证分析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_Toc10504 \h </w:instrText>
          </w:r>
          <w:r>
            <w:rPr>
              <w:rFonts w:ascii="Times New Roman" w:eastAsia="宋体"/>
              <w:b w:val="0"/>
              <w:sz w:val="24"/>
            </w:rPr>
            <w:fldChar w:fldCharType="separate"/>
          </w:r>
          <w:r>
            <w:rPr>
              <w:rFonts w:ascii="Times New Roman" w:eastAsia="宋体"/>
              <w:b w:val="0"/>
              <w:sz w:val="24"/>
            </w:rPr>
            <w:t>16</w:t>
          </w:r>
          <w:r>
            <w:rPr>
              <w:rFonts w:ascii="Times New Roman" w:eastAsia="宋体"/>
              <w:b w:val="0"/>
              <w:sz w:val="24"/>
            </w:rPr>
            <w:fldChar w:fldCharType="end"/>
          </w:r>
          <w:r>
            <w:rPr>
              <w:rFonts w:ascii="Times New Roman" w:eastAsia="宋体"/>
              <w:b w:val="0"/>
              <w:sz w:val="24"/>
            </w:rPr>
            <w:fldChar w:fldCharType="end"/>
          </w:r>
        </w:p>
        <w:p w14:paraId="43122E93">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"_Toc6586" </w:instrText>
          </w:r>
          <w:r>
            <w:rPr>
              <w:rFonts w:ascii="Times New Roman" w:eastAsia="宋体"/>
              <w:b w:val="0"/>
              <w:sz w:val="24"/>
            </w:rPr>
            <w:fldChar w:fldCharType="separate"/>
          </w:r>
          <w:r>
            <w:rPr>
              <w:rFonts w:ascii="Times New Roman" w:eastAsia="宋体"/>
              <w:b w:val="0"/>
              <w:sz w:val="24"/>
            </w:rPr>
            <w:t>4.1 实验环境与工具</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_Toc6586 \h </w:instrText>
          </w:r>
          <w:r>
            <w:rPr>
              <w:rFonts w:ascii="Times New Roman" w:eastAsia="宋体"/>
              <w:b w:val="0"/>
              <w:sz w:val="24"/>
            </w:rPr>
            <w:fldChar w:fldCharType="separate"/>
          </w:r>
          <w:r>
            <w:rPr>
              <w:rFonts w:ascii="Times New Roman" w:eastAsia="宋体"/>
              <w:b w:val="0"/>
              <w:sz w:val="24"/>
            </w:rPr>
            <w:t>16</w:t>
          </w:r>
          <w:r>
            <w:rPr>
              <w:rFonts w:ascii="Times New Roman" w:eastAsia="宋体"/>
              <w:b w:val="0"/>
              <w:sz w:val="24"/>
            </w:rPr>
            <w:fldChar w:fldCharType="end"/>
          </w:r>
          <w:r>
            <w:rPr>
              <w:rFonts w:ascii="Times New Roman" w:eastAsia="宋体"/>
              <w:b w:val="0"/>
              <w:sz w:val="24"/>
            </w:rPr>
            <w:fldChar w:fldCharType="end"/>
          </w:r>
        </w:p>
        <w:p w14:paraId="2B9183E9">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"_Toc19284" </w:instrText>
          </w:r>
          <w:r>
            <w:rPr>
              <w:rFonts w:ascii="Times New Roman" w:eastAsia="宋体"/>
              <w:b w:val="0"/>
              <w:sz w:val="24"/>
            </w:rPr>
            <w:fldChar w:fldCharType="separate"/>
          </w:r>
          <w:r>
            <w:rPr>
              <w:rFonts w:ascii="Times New Roman" w:eastAsia="宋体"/>
              <w:b w:val="0"/>
              <w:sz w:val="24"/>
            </w:rPr>
            <w:t>4.2 基准模型构建：多元线性回归</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_Toc19284 \h </w:instrText>
          </w:r>
          <w:r>
            <w:rPr>
              <w:rFonts w:ascii="Times New Roman" w:eastAsia="宋体"/>
              <w:b w:val="0"/>
              <w:sz w:val="24"/>
            </w:rPr>
            <w:fldChar w:fldCharType="separate"/>
          </w:r>
          <w:r>
            <w:rPr>
              <w:rFonts w:ascii="Times New Roman" w:eastAsia="宋体"/>
              <w:b w:val="0"/>
              <w:sz w:val="24"/>
            </w:rPr>
            <w:t>17</w:t>
          </w:r>
          <w:r>
            <w:rPr>
              <w:rFonts w:ascii="Times New Roman" w:eastAsia="宋体"/>
              <w:b w:val="0"/>
              <w:sz w:val="24"/>
            </w:rPr>
            <w:fldChar w:fldCharType="end"/>
          </w:r>
          <w:r>
            <w:rPr>
              <w:rFonts w:ascii="Times New Roman" w:eastAsia="宋体"/>
              <w:b w:val="0"/>
              <w:sz w:val="24"/>
            </w:rPr>
            <w:fldChar w:fldCharType="end"/>
          </w:r>
        </w:p>
        <w:p w14:paraId="087E5891">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"_Toc30183" </w:instrText>
          </w:r>
          <w:r>
            <w:rPr>
              <w:rFonts w:ascii="Times New Roman" w:eastAsia="宋体"/>
              <w:b w:val="0"/>
              <w:sz w:val="24"/>
            </w:rPr>
            <w:fldChar w:fldCharType="separate"/>
          </w:r>
          <w:r>
            <w:rPr>
              <w:rFonts w:ascii="Times New Roman" w:eastAsia="宋体"/>
              <w:b w:val="0"/>
              <w:sz w:val="24"/>
            </w:rPr>
            <w:t>4.3 复杂模型构建与优化</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_Toc30183 \h </w:instrText>
          </w:r>
          <w:r>
            <w:rPr>
              <w:rFonts w:ascii="Times New Roman" w:eastAsia="宋体"/>
              <w:b w:val="0"/>
              <w:sz w:val="24"/>
            </w:rPr>
            <w:fldChar w:fldCharType="separate"/>
          </w:r>
          <w:r>
            <w:rPr>
              <w:rFonts w:ascii="Times New Roman" w:eastAsia="宋体"/>
              <w:b w:val="0"/>
              <w:sz w:val="24"/>
            </w:rPr>
            <w:t>18</w:t>
          </w:r>
          <w:r>
            <w:rPr>
              <w:rFonts w:ascii="Times New Roman" w:eastAsia="宋体"/>
              <w:b w:val="0"/>
              <w:sz w:val="24"/>
            </w:rPr>
            <w:fldChar w:fldCharType="end"/>
          </w:r>
          <w:r>
            <w:rPr>
              <w:rFonts w:ascii="Times New Roman" w:eastAsia="宋体"/>
              <w:b w:val="0"/>
              <w:sz w:val="24"/>
            </w:rPr>
            <w:fldChar w:fldCharType="end"/>
          </w:r>
        </w:p>
        <w:p w14:paraId="72185AC2">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"_Toc6331" </w:instrText>
          </w:r>
          <w:r>
            <w:rPr>
              <w:rFonts w:ascii="Times New Roman" w:eastAsia="宋体"/>
              <w:b w:val="0"/>
              <w:sz w:val="24"/>
            </w:rPr>
            <w:fldChar w:fldCharType="separate"/>
          </w:r>
          <w:r>
            <w:rPr>
              <w:rFonts w:ascii="Times New Roman" w:eastAsia="宋体"/>
              <w:b w:val="0"/>
              <w:sz w:val="24"/>
            </w:rPr>
            <w:t>4.3.1 决策树模型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_Toc6331 \h </w:instrText>
          </w:r>
          <w:r>
            <w:rPr>
              <w:rFonts w:ascii="Times New Roman" w:eastAsia="宋体"/>
              <w:b w:val="0"/>
              <w:sz w:val="24"/>
            </w:rPr>
            <w:fldChar w:fldCharType="separate"/>
          </w:r>
          <w:r>
            <w:rPr>
              <w:rFonts w:ascii="Times New Roman" w:eastAsia="宋体"/>
              <w:b w:val="0"/>
              <w:sz w:val="24"/>
            </w:rPr>
            <w:t>18</w:t>
          </w:r>
          <w:r>
            <w:rPr>
              <w:rFonts w:ascii="Times New Roman" w:eastAsia="宋体"/>
              <w:b w:val="0"/>
              <w:sz w:val="24"/>
            </w:rPr>
            <w:fldChar w:fldCharType="end"/>
          </w:r>
          <w:r>
            <w:rPr>
              <w:rFonts w:ascii="Times New Roman" w:eastAsia="宋体"/>
              <w:b w:val="0"/>
              <w:sz w:val="24"/>
            </w:rPr>
            <w:fldChar w:fldCharType="end"/>
          </w:r>
        </w:p>
        <w:p w14:paraId="2B5ECB80">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"_Toc26242" </w:instrText>
          </w:r>
          <w:r>
            <w:rPr>
              <w:rFonts w:ascii="Times New Roman" w:eastAsia="宋体"/>
              <w:b w:val="0"/>
              <w:sz w:val="24"/>
            </w:rPr>
            <w:fldChar w:fldCharType="separate"/>
          </w:r>
          <w:r>
            <w:rPr>
              <w:rFonts w:ascii="Times New Roman" w:eastAsia="宋体"/>
              <w:b w:val="0"/>
              <w:sz w:val="24"/>
            </w:rPr>
            <w:t>4.3.2 支持向量机模型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_Toc26242 \h </w:instrText>
          </w:r>
          <w:r>
            <w:rPr>
              <w:rFonts w:ascii="Times New Roman" w:eastAsia="宋体"/>
              <w:b w:val="0"/>
              <w:sz w:val="24"/>
            </w:rPr>
            <w:fldChar w:fldCharType="separate"/>
          </w:r>
          <w:r>
            <w:rPr>
              <w:rFonts w:ascii="Times New Roman" w:eastAsia="宋体"/>
              <w:b w:val="0"/>
              <w:sz w:val="24"/>
            </w:rPr>
            <w:t>19</w:t>
          </w:r>
          <w:r>
            <w:rPr>
              <w:rFonts w:ascii="Times New Roman" w:eastAsia="宋体"/>
              <w:b w:val="0"/>
              <w:sz w:val="24"/>
            </w:rPr>
            <w:fldChar w:fldCharType="end"/>
          </w:r>
          <w:r>
            <w:rPr>
              <w:rFonts w:ascii="Times New Roman" w:eastAsia="宋体"/>
              <w:b w:val="0"/>
              <w:sz w:val="24"/>
            </w:rPr>
            <w:fldChar w:fldCharType="end"/>
          </w:r>
        </w:p>
        <w:p w14:paraId="6EB1AD43">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"_Toc16530" </w:instrText>
          </w:r>
          <w:r>
            <w:rPr>
              <w:rFonts w:ascii="Times New Roman" w:eastAsia="宋体"/>
              <w:b w:val="0"/>
              <w:sz w:val="24"/>
            </w:rPr>
            <w:fldChar w:fldCharType="separate"/>
          </w:r>
          <w:r>
            <w:rPr>
              <w:rFonts w:ascii="Times New Roman" w:eastAsia="宋体"/>
              <w:b w:val="0"/>
              <w:sz w:val="24"/>
            </w:rPr>
            <w:t>4.3.3 随机森林模型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_Toc16530 \h </w:instrText>
          </w:r>
          <w:r>
            <w:rPr>
              <w:rFonts w:ascii="Times New Roman" w:eastAsia="宋体"/>
              <w:b w:val="0"/>
              <w:sz w:val="24"/>
            </w:rPr>
            <w:fldChar w:fldCharType="separate"/>
          </w:r>
          <w:r>
            <w:rPr>
              <w:rFonts w:ascii="Times New Roman" w:eastAsia="宋体"/>
              <w:b w:val="0"/>
              <w:sz w:val="24"/>
            </w:rPr>
            <w:t>20</w:t>
          </w:r>
          <w:r>
            <w:rPr>
              <w:rFonts w:ascii="Times New Roman" w:eastAsia="宋体"/>
              <w:b w:val="0"/>
              <w:sz w:val="24"/>
            </w:rPr>
            <w:fldChar w:fldCharType="end"/>
          </w:r>
          <w:r>
            <w:rPr>
              <w:rFonts w:ascii="Times New Roman" w:eastAsia="宋体"/>
              <w:b w:val="0"/>
              <w:sz w:val="24"/>
            </w:rPr>
            <w:fldChar w:fldCharType="end"/>
          </w:r>
        </w:p>
        <w:p w14:paraId="3150D349">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"_Toc30117" </w:instrText>
          </w:r>
          <w:r>
            <w:rPr>
              <w:rFonts w:ascii="Times New Roman" w:eastAsia="宋体"/>
              <w:b w:val="0"/>
              <w:sz w:val="24"/>
            </w:rPr>
            <w:fldChar w:fldCharType="separate"/>
          </w:r>
          <w:r>
            <w:rPr>
              <w:rFonts w:ascii="Times New Roman" w:eastAsia="宋体"/>
              <w:b w:val="0"/>
              <w:sz w:val="24"/>
            </w:rPr>
            <w:t>4.4 模型训练、调参与结果对比</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_Toc30117 \h </w:instrText>
          </w:r>
          <w:r>
            <w:rPr>
              <w:rFonts w:ascii="Times New Roman" w:eastAsia="宋体"/>
              <w:b w:val="0"/>
              <w:sz w:val="24"/>
            </w:rPr>
            <w:fldChar w:fldCharType="separate"/>
          </w:r>
          <w:r>
            <w:rPr>
              <w:rFonts w:ascii="Times New Roman" w:eastAsia="宋体"/>
              <w:b w:val="0"/>
              <w:sz w:val="24"/>
            </w:rPr>
            <w:t>21</w:t>
          </w:r>
          <w:r>
            <w:rPr>
              <w:rFonts w:ascii="Times New Roman" w:eastAsia="宋体"/>
              <w:b w:val="0"/>
              <w:sz w:val="24"/>
            </w:rPr>
            <w:fldChar w:fldCharType="end"/>
          </w:r>
          <w:r>
            <w:rPr>
              <w:rFonts w:ascii="Times New Roman" w:eastAsia="宋体"/>
              <w:b w:val="0"/>
              <w:sz w:val="24"/>
            </w:rPr>
            <w:fldChar w:fldCharType="end"/>
          </w:r>
        </w:p>
        <w:p w14:paraId="04C65963">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"_Toc9301" </w:instrText>
          </w:r>
          <w:r>
            <w:rPr>
              <w:rFonts w:ascii="Times New Roman" w:eastAsia="宋体"/>
              <w:b w:val="0"/>
              <w:sz w:val="24"/>
            </w:rPr>
            <w:fldChar w:fldCharType="separate"/>
          </w:r>
          <w:r>
            <w:rPr>
              <w:rFonts w:ascii="Times New Roman" w:eastAsia="宋体"/>
              <w:b w:val="0"/>
              <w:sz w:val="24"/>
            </w:rPr>
            <w:t>4.4.1 模型训练与参数调优</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_Toc9301 \h </w:instrText>
          </w:r>
          <w:r>
            <w:rPr>
              <w:rFonts w:ascii="Times New Roman" w:eastAsia="宋体"/>
              <w:b w:val="0"/>
              <w:sz w:val="24"/>
            </w:rPr>
            <w:fldChar w:fldCharType="separate"/>
          </w:r>
          <w:r>
            <w:rPr>
              <w:rFonts w:ascii="Times New Roman" w:eastAsia="宋体"/>
              <w:b w:val="0"/>
              <w:sz w:val="24"/>
            </w:rPr>
            <w:t>21</w:t>
          </w:r>
          <w:r>
            <w:rPr>
              <w:rFonts w:ascii="Times New Roman" w:eastAsia="宋体"/>
              <w:b w:val="0"/>
              <w:sz w:val="24"/>
            </w:rPr>
            <w:fldChar w:fldCharType="end"/>
          </w:r>
          <w:r>
            <w:rPr>
              <w:rFonts w:ascii="Times New Roman" w:eastAsia="宋体"/>
              <w:b w:val="0"/>
              <w:sz w:val="24"/>
            </w:rPr>
            <w:fldChar w:fldCharType="end"/>
          </w:r>
        </w:p>
        <w:p w14:paraId="485FD17A">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"_Toc10104" </w:instrText>
          </w:r>
          <w:r>
            <w:rPr>
              <w:rFonts w:ascii="Times New Roman" w:eastAsia="宋体"/>
              <w:b w:val="0"/>
              <w:sz w:val="24"/>
            </w:rPr>
            <w:fldChar w:fldCharType="separate"/>
          </w:r>
          <w:r>
            <w:rPr>
              <w:rFonts w:ascii="Times New Roman" w:eastAsia="宋体"/>
              <w:b w:val="0"/>
              <w:sz w:val="24"/>
            </w:rPr>
            <w:t>4.4.2 性能结果对比分析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_Toc10104 \h </w:instrText>
          </w:r>
          <w:r>
            <w:rPr>
              <w:rFonts w:ascii="Times New Roman" w:eastAsia="宋体"/>
              <w:b w:val="0"/>
              <w:sz w:val="24"/>
            </w:rPr>
            <w:fldChar w:fldCharType="separate"/>
          </w:r>
          <w:r>
            <w:rPr>
              <w:rFonts w:ascii="Times New Roman" w:eastAsia="宋体"/>
              <w:b w:val="0"/>
              <w:sz w:val="24"/>
            </w:rPr>
            <w:t>22</w:t>
          </w:r>
          <w:r>
            <w:rPr>
              <w:rFonts w:ascii="Times New Roman" w:eastAsia="宋体"/>
              <w:b w:val="0"/>
              <w:sz w:val="24"/>
            </w:rPr>
            <w:fldChar w:fldCharType="end"/>
          </w:r>
          <w:r>
            <w:rPr>
              <w:rFonts w:ascii="Times New Roman" w:eastAsia="宋体"/>
              <w:b w:val="0"/>
              <w:sz w:val="24"/>
            </w:rPr>
            <w:fldChar w:fldCharType="end"/>
          </w:r>
        </w:p>
        <w:p w14:paraId="1EF41D19">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"_Toc17829" </w:instrText>
          </w:r>
          <w:r>
            <w:rPr>
              <w:rFonts w:ascii="Times New Roman" w:eastAsia="宋体"/>
              <w:b w:val="0"/>
              <w:sz w:val="24"/>
            </w:rPr>
            <w:fldChar w:fldCharType="separate"/>
          </w:r>
          <w:r>
            <w:rPr>
              <w:rFonts w:ascii="Times New Roman" w:eastAsia="宋体"/>
              <w:b w:val="0"/>
              <w:sz w:val="24"/>
            </w:rPr>
            <w:t>4.4.3 特征重要性分析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_Toc17829 \h </w:instrText>
          </w:r>
          <w:r>
            <w:rPr>
              <w:rFonts w:ascii="Times New Roman" w:eastAsia="宋体"/>
              <w:b w:val="0"/>
              <w:sz w:val="24"/>
            </w:rPr>
            <w:fldChar w:fldCharType="separate"/>
          </w:r>
          <w:r>
            <w:rPr>
              <w:rFonts w:ascii="Times New Roman" w:eastAsia="宋体"/>
              <w:b w:val="0"/>
              <w:sz w:val="24"/>
            </w:rPr>
            <w:t>23</w:t>
          </w:r>
          <w:r>
            <w:rPr>
              <w:rFonts w:ascii="Times New Roman" w:eastAsia="宋体"/>
              <w:b w:val="0"/>
              <w:sz w:val="24"/>
            </w:rPr>
            <w:fldChar w:fldCharType="end"/>
          </w:r>
          <w:r>
            <w:rPr>
              <w:rFonts w:ascii="Times New Roman" w:eastAsia="宋体"/>
              <w:b w:val="0"/>
              <w:sz w:val="24"/>
            </w:rPr>
            <w:fldChar w:fldCharType="end"/>
          </w:r>
        </w:p>
        <w:p w14:paraId="160D1184">
          <w:pPr>
            <w:pStyle w:val="22"/>
            <w:tabs>
              <w:tab w:val="right" w:leader="dot" w:pos="8958"/>
            </w:tabs>
            <w:snapToGrid/>
            <w:spacing w:beforeAutospacing="0" w:afterAutospacing="0" w:line="400" w:lineRule="exact"/>
            <w:ind w:left="480" w:leftChars="2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"_Toc13518" </w:instrText>
          </w:r>
          <w:r>
            <w:rPr>
              <w:rFonts w:ascii="Times New Roman" w:eastAsia="宋体"/>
              <w:b w:val="0"/>
              <w:sz w:val="24"/>
            </w:rPr>
            <w:fldChar w:fldCharType="separate"/>
          </w:r>
          <w:r>
            <w:rPr>
              <w:rFonts w:ascii="Times New Roman" w:eastAsia="宋体"/>
              <w:b w:val="0"/>
              <w:sz w:val="24"/>
            </w:rPr>
            <w:t>4.5 实验结果讨论</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_Toc13518 \h </w:instrText>
          </w:r>
          <w:r>
            <w:rPr>
              <w:rFonts w:ascii="Times New Roman" w:eastAsia="宋体"/>
              <w:b w:val="0"/>
              <w:sz w:val="24"/>
            </w:rPr>
            <w:fldChar w:fldCharType="separate"/>
          </w:r>
          <w:r>
            <w:rPr>
              <w:rFonts w:ascii="Times New Roman" w:eastAsia="宋体"/>
              <w:b w:val="0"/>
              <w:sz w:val="24"/>
            </w:rPr>
            <w:t>23</w:t>
          </w:r>
          <w:r>
            <w:rPr>
              <w:rFonts w:ascii="Times New Roman" w:eastAsia="宋体"/>
              <w:b w:val="0"/>
              <w:sz w:val="24"/>
            </w:rPr>
            <w:fldChar w:fldCharType="end"/>
          </w:r>
          <w:r>
            <w:rPr>
              <w:rFonts w:ascii="Times New Roman" w:eastAsia="宋体"/>
              <w:b w:val="0"/>
              <w:sz w:val="24"/>
            </w:rPr>
            <w:fldChar w:fldCharType="end"/>
          </w:r>
        </w:p>
        <w:p w14:paraId="0E65A8BB">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"_Toc2291" </w:instrText>
          </w:r>
          <w:r>
            <w:rPr>
              <w:rFonts w:ascii="Times New Roman" w:eastAsia="宋体"/>
              <w:b w:val="0"/>
              <w:sz w:val="24"/>
            </w:rPr>
            <w:fldChar w:fldCharType="separate"/>
          </w:r>
          <w:r>
            <w:rPr>
              <w:rFonts w:ascii="Times New Roman" w:eastAsia="宋体"/>
              <w:b w:val="0"/>
              <w:sz w:val="24"/>
            </w:rPr>
            <w:t>4.5.1 不同模型适配性分析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_Toc2291 \h </w:instrText>
          </w:r>
          <w:r>
            <w:rPr>
              <w:rFonts w:ascii="Times New Roman" w:eastAsia="宋体"/>
              <w:b w:val="0"/>
              <w:sz w:val="24"/>
            </w:rPr>
            <w:fldChar w:fldCharType="separate"/>
          </w:r>
          <w:r>
            <w:rPr>
              <w:rFonts w:ascii="Times New Roman" w:eastAsia="宋体"/>
              <w:b w:val="0"/>
              <w:sz w:val="24"/>
            </w:rPr>
            <w:t>24</w:t>
          </w:r>
          <w:r>
            <w:rPr>
              <w:rFonts w:ascii="Times New Roman" w:eastAsia="宋体"/>
              <w:b w:val="0"/>
              <w:sz w:val="24"/>
            </w:rPr>
            <w:fldChar w:fldCharType="end"/>
          </w:r>
          <w:r>
            <w:rPr>
              <w:rFonts w:ascii="Times New Roman" w:eastAsia="宋体"/>
              <w:b w:val="0"/>
              <w:sz w:val="24"/>
            </w:rPr>
            <w:fldChar w:fldCharType="end"/>
          </w:r>
        </w:p>
        <w:p w14:paraId="6D06D51D">
          <w:pPr>
            <w:pStyle w:val="14"/>
            <w:tabs>
              <w:tab w:val="right" w:leader="dot" w:pos="8958"/>
            </w:tabs>
            <w:snapToGrid/>
            <w:spacing w:beforeAutospacing="0" w:afterAutospacing="0" w:line="400" w:lineRule="exact"/>
            <w:ind w:left="960" w:leftChars="40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"_Toc27540" </w:instrText>
          </w:r>
          <w:r>
            <w:rPr>
              <w:rFonts w:ascii="Times New Roman" w:eastAsia="宋体"/>
              <w:b w:val="0"/>
              <w:sz w:val="24"/>
            </w:rPr>
            <w:fldChar w:fldCharType="separate"/>
          </w:r>
          <w:r>
            <w:rPr>
              <w:rFonts w:ascii="Times New Roman" w:eastAsia="宋体"/>
              <w:b w:val="0"/>
              <w:sz w:val="24"/>
            </w:rPr>
            <w:t>4.5.2 机器学习方法有效性验证</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_Toc27540 \h </w:instrText>
          </w:r>
          <w:r>
            <w:rPr>
              <w:rFonts w:ascii="Times New Roman" w:eastAsia="宋体"/>
              <w:b w:val="0"/>
              <w:sz w:val="24"/>
            </w:rPr>
            <w:fldChar w:fldCharType="separate"/>
          </w:r>
          <w:r>
            <w:rPr>
              <w:rFonts w:ascii="Times New Roman" w:eastAsia="宋体"/>
              <w:b w:val="0"/>
              <w:sz w:val="24"/>
            </w:rPr>
            <w:t>25</w:t>
          </w:r>
          <w:r>
            <w:rPr>
              <w:rFonts w:ascii="Times New Roman" w:eastAsia="宋体"/>
              <w:b w:val="0"/>
              <w:sz w:val="24"/>
            </w:rPr>
            <w:fldChar w:fldCharType="end"/>
          </w:r>
          <w:r>
            <w:rPr>
              <w:rFonts w:ascii="Times New Roman" w:eastAsia="宋体"/>
              <w:b w:val="0"/>
              <w:sz w:val="24"/>
            </w:rPr>
            <w:fldChar w:fldCharType="end"/>
          </w:r>
        </w:p>
        <w:p w14:paraId="3A2AA8CE">
          <w:pPr>
            <w:pStyle w:val="19"/>
            <w:tabs>
              <w:tab w:val="right" w:leader="dot" w:pos="8958"/>
            </w:tabs>
            <w:snapToGrid/>
            <w:spacing w:beforeAutospacing="0" w:afterAutospacing="0" w:line="400" w:lineRule="exact"/>
            <w:ind w:left="0" w:leftChars="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"_Toc6837" </w:instrText>
          </w:r>
          <w:r>
            <w:rPr>
              <w:rFonts w:ascii="Times New Roman" w:eastAsia="宋体"/>
              <w:b w:val="0"/>
              <w:sz w:val="24"/>
            </w:rPr>
            <w:fldChar w:fldCharType="separate"/>
          </w:r>
          <w:r>
            <w:rPr>
              <w:rFonts w:hint="eastAsia" w:ascii="Times New Roman" w:eastAsia="宋体"/>
              <w:b w:val="0"/>
              <w:sz w:val="24"/>
            </w:rPr>
            <w:t>5.</w:t>
          </w:r>
          <w:r>
            <w:rPr>
              <w:rFonts w:ascii="Times New Roman" w:eastAsia="宋体"/>
              <w:b w:val="0"/>
              <w:sz w:val="24"/>
            </w:rPr>
            <w:t>结论</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_Toc6837 \h </w:instrText>
          </w:r>
          <w:r>
            <w:rPr>
              <w:rFonts w:ascii="Times New Roman" w:eastAsia="宋体"/>
              <w:b w:val="0"/>
              <w:sz w:val="24"/>
            </w:rPr>
            <w:fldChar w:fldCharType="separate"/>
          </w:r>
          <w:r>
            <w:rPr>
              <w:rFonts w:ascii="Times New Roman" w:eastAsia="宋体"/>
              <w:b w:val="0"/>
              <w:sz w:val="24"/>
            </w:rPr>
            <w:t>25</w:t>
          </w:r>
          <w:r>
            <w:rPr>
              <w:rFonts w:ascii="Times New Roman" w:eastAsia="宋体"/>
              <w:b w:val="0"/>
              <w:sz w:val="24"/>
            </w:rPr>
            <w:fldChar w:fldCharType="end"/>
          </w:r>
          <w:r>
            <w:rPr>
              <w:rFonts w:ascii="Times New Roman" w:eastAsia="宋体"/>
              <w:b w:val="0"/>
              <w:sz w:val="24"/>
            </w:rPr>
            <w:fldChar w:fldCharType="end"/>
          </w:r>
        </w:p>
        <w:p w14:paraId="119AB6A3">
          <w:pPr>
            <w:pStyle w:val="19"/>
            <w:tabs>
              <w:tab w:val="right" w:leader="dot" w:pos="8958"/>
            </w:tabs>
            <w:snapToGrid/>
            <w:spacing w:beforeAutospacing="0" w:afterAutospacing="0" w:line="400" w:lineRule="exact"/>
            <w:ind w:left="0" w:leftChars="0" w:right="0" w:rightChars="0" w:firstLine="0" w:firstLineChars="0"/>
            <w:jc w:val="both"/>
            <w:rPr>
              <w:rFonts w:ascii="Times New Roman" w:eastAsia="宋体"/>
              <w:b w:val="0"/>
              <w:sz w:val="24"/>
            </w:rPr>
          </w:pPr>
          <w:r>
            <w:rPr>
              <w:rFonts w:ascii="Times New Roman" w:eastAsia="宋体"/>
              <w:b w:val="0"/>
              <w:sz w:val="24"/>
            </w:rPr>
            <w:fldChar w:fldCharType="begin"/>
          </w:r>
          <w:r>
            <w:rPr>
              <w:rFonts w:ascii="Times New Roman" w:eastAsia="宋体"/>
              <w:b w:val="0"/>
              <w:sz w:val="24"/>
            </w:rPr>
            <w:instrText xml:space="preserve"> HYPERLINK \l "_Toc27579" </w:instrText>
          </w:r>
          <w:r>
            <w:rPr>
              <w:rFonts w:ascii="Times New Roman" w:eastAsia="宋体"/>
              <w:b w:val="0"/>
              <w:sz w:val="24"/>
            </w:rPr>
            <w:fldChar w:fldCharType="separate"/>
          </w:r>
          <w:r>
            <w:rPr>
              <w:rFonts w:ascii="Times New Roman" w:eastAsia="宋体"/>
              <w:b w:val="0"/>
              <w:sz w:val="24"/>
            </w:rPr>
            <w:t>参考文献</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_Toc27579 \h </w:instrText>
          </w:r>
          <w:r>
            <w:rPr>
              <w:rFonts w:ascii="Times New Roman" w:eastAsia="宋体"/>
              <w:b w:val="0"/>
              <w:sz w:val="24"/>
            </w:rPr>
            <w:fldChar w:fldCharType="separate"/>
          </w:r>
          <w:r>
            <w:rPr>
              <w:rFonts w:ascii="Times New Roman" w:eastAsia="宋体"/>
              <w:b w:val="0"/>
              <w:sz w:val="24"/>
            </w:rPr>
            <w:t>28</w:t>
          </w:r>
          <w:r>
            <w:rPr>
              <w:rFonts w:ascii="Times New Roman" w:eastAsia="宋体"/>
              <w:b w:val="0"/>
              <w:sz w:val="24"/>
            </w:rPr>
            <w:fldChar w:fldCharType="end"/>
          </w:r>
          <w:r>
            <w:rPr>
              <w:rFonts w:ascii="Times New Roman" w:eastAsia="宋体"/>
              <w:b w:val="0"/>
              <w:sz w:val="24"/>
            </w:rPr>
            <w:fldChar w:fldCharType="end"/>
          </w:r>
        </w:p>
        <w:p w14:paraId="775D4FD9">
          <w:pPr>
            <w:ind w:firstLine="480"/>
            <w:rPr>
              <w:rFonts w:ascii="Times New Roman" w:hAnsi="Times New Roman" w:cs="Times New Roman"/>
              <w:color w:val="0F1115"/>
              <w:szCs w:val="24"/>
            </w:rPr>
          </w:pPr>
          <w:r>
            <w:rPr>
              <w:rFonts w:ascii="Times New Roman" w:hAnsi="Times New Roman" w:cs="Times New Roman"/>
              <w:color w:val="0F1115"/>
              <w:szCs w:val="24"/>
            </w:rPr>
            <w:fldChar w:fldCharType="end"/>
          </w:r>
        </w:p>
      </w:sdtContent>
    </w:sdt>
    <w:p w14:paraId="51CD205B">
      <w:pPr>
        <w:ind w:firstLine="480"/>
        <w:rPr>
          <w:rFonts w:ascii="Times New Roman" w:hAnsi="Times New Roman" w:cs="Times New Roman"/>
          <w:color w:val="0F1115"/>
          <w:szCs w:val="24"/>
        </w:rPr>
      </w:pPr>
    </w:p>
    <w:p w14:paraId="455F2BE2">
      <w:pPr>
        <w:pStyle w:val="13"/>
        <w:ind w:firstLine="0" w:firstLineChars="0"/>
        <w:rPr>
          <w:color w:val="0F1115"/>
        </w:rPr>
        <w:sectPr>
          <w:footerReference r:id="rId14" w:type="default"/>
          <w:pgSz w:w="11906" w:h="16838"/>
          <w:pgMar w:top="1440" w:right="1247" w:bottom="1440" w:left="1701" w:header="851" w:footer="850" w:gutter="0"/>
          <w:pgNumType w:fmt="lowerRoman"/>
          <w:cols w:space="0" w:num="1"/>
          <w:docGrid w:type="linesAndChars" w:linePitch="332" w:charSpace="0"/>
        </w:sectPr>
      </w:pPr>
    </w:p>
    <w:p w14:paraId="6F235B5C">
      <w:pPr>
        <w:pStyle w:val="2"/>
        <w:widowControl/>
        <w:numPr>
          <w:ilvl w:val="0"/>
          <w:numId w:val="1"/>
        </w:numPr>
        <w:shd w:val="clear" w:color="auto" w:fill="FFFFFF"/>
        <w:snapToGrid/>
        <w:spacing w:before="0" w:beforeAutospacing="0" w:afterAutospacing="0" w:line="600" w:lineRule="auto"/>
        <w:ind w:left="0" w:leftChars="0" w:right="0" w:rightChars="0" w:firstLine="0" w:firstLineChars="0"/>
        <w:jc w:val="left"/>
        <w:outlineLvl w:val="0"/>
        <w:rPr>
          <w:rFonts w:ascii="Times New Roman" w:eastAsia="黑体"/>
          <w:b w:val="0"/>
          <w:color w:val="auto"/>
          <w:sz w:val="30"/>
          <w:szCs w:val="30"/>
        </w:rPr>
      </w:pPr>
      <w:bookmarkStart w:id="6" w:name="_Toc22616"/>
      <w:bookmarkStart w:id="7" w:name="_Toc40865111"/>
      <w:r>
        <w:rPr>
          <w:rFonts w:ascii="Times New Roman" w:eastAsia="黑体"/>
          <w:b w:val="0"/>
          <w:color w:val="auto"/>
          <w:sz w:val="30"/>
          <w:szCs w:val="30"/>
        </w:rPr>
        <w:t>绪论</w:t>
      </w:r>
      <w:bookmarkEnd w:id="6"/>
    </w:p>
    <w:p w14:paraId="3A74C598">
      <w:pPr>
        <w:pStyle w:val="3"/>
        <w:widowControl/>
        <w:numPr>
          <w:ilvl w:val="0"/>
          <w:numId w:val="2"/>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bCs/>
          <w:sz w:val="28"/>
          <w:szCs w:val="28"/>
        </w:rPr>
      </w:pPr>
      <w:bookmarkStart w:id="8" w:name="_Toc5204"/>
      <w:r>
        <w:rPr>
          <w:rFonts w:ascii="Times New Roman" w:eastAsia="黑体"/>
          <w:b w:val="0"/>
          <w:bCs/>
          <w:sz w:val="28"/>
          <w:szCs w:val="28"/>
        </w:rPr>
        <w:t>研究背景</w:t>
      </w:r>
      <w:bookmarkEnd w:id="8"/>
    </w:p>
    <w:p w14:paraId="2CCD24B9">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在数字经济深度渗透与软件定义一切的时代背景下，软件系统已从单纯的业务辅助工具演变为各类组织创新与竞争的核心引擎。从企业级应用到关键基础设施，软件项目的规模持续膨胀，技术架构的复杂性与日俱增，需求变更的频率亦不断加快。在此背景下，软件项目工作量估算作为项目策划与成本控制的基础性环节，其准确与否直接决定了资源配置的合理性、工期承诺的可信度以及项目最终的成功率。一个精准的估算能够有效规避资源浪费、保障项目按时交付；反之，估算偏差则可能导致预算超支、进度延误，甚至项目失败，给组织带来巨大的经济损失与战略机会成本。</w:t>
      </w:r>
    </w:p>
    <w:p w14:paraId="55069224">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然而，尽管软件工作量估算的重要性已成为行业共识，实践中却长期面临着严峻挑战。传统的估算方法主要依赖于两类范式：一是以专家经验为基础的判断法，其准确性高度依赖个人或团队的历史经验与直觉，易受主观认知偏差与情绪波动影响，在缺乏历史相似项目参照时表现尤为不稳定；二是以COCOMO（构造性成本模型）为代表的参数化或线性回归模型，它们试图通过建立规模（如代码行数、功能点）与工作量之间的数学关系来实现量化估算。然而，这些模型往往基于相对静态、线性的假设，难以捕捉现代软件开发过程中需求动态演化、技术栈快速迭代、团队协作模式多元以及诸多非技术性因素（如沟通成本、需求模糊度）所共同构成的复杂非线性关系。因此，大量项目在实践中仍饱受“估算困境”的困扰，由此引发的项目危机屡见不鲜。</w:t>
      </w:r>
    </w:p>
    <w:p w14:paraId="78214D1C">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面对传统方法在复杂场景下适应性的局限，数据科学特别是机器学习技术的崛起为破解软件工作量估算难题开辟了全新的路径。随着软件工程过程管理的精细化，各类软件开发组织在长期实践中积累了丰富的历史数据，包括需求文档、代码库元数据、版本控制日志、缺陷跟踪记录以及项目实际投入工时等多维信息。这些数据中潜藏着影响工作量变化的内在规律与复杂关联模式。机器学习算法，尤其是回归分析、决策树、神经网络及集成学习等方法，具备强大的非线性建模能力与自动特征学习能力。它们能够突破传统模型的线性假设桎梏，在海量历史数据中自动识别并拟合出软件属性、过程度量与实际工作量之间错综复杂的关系，挖掘出人力经验难以察觉的潜在模式。已有探索性研究表明，基于机器学习构建的估算模型，在特定数据集上的预测精度可显著优于传统方法，能够将平均预测误差降低至更可接受的范围内。</w:t>
      </w:r>
    </w:p>
    <w:p w14:paraId="309829CD">
      <w:pPr>
        <w:pStyle w:val="3"/>
        <w:snapToGrid/>
        <w:spacing w:before="0" w:beforeAutospacing="0" w:afterAutospacing="0" w:line="480" w:lineRule="auto"/>
        <w:ind w:left="495" w:leftChars="0" w:right="0" w:rightChars="0" w:hanging="495" w:firstLineChars="0"/>
        <w:jc w:val="left"/>
        <w:outlineLvl w:val="1"/>
        <w:rPr>
          <w:rFonts w:ascii="Times New Roman" w:eastAsia="黑体"/>
          <w:b w:val="0"/>
          <w:bCs/>
          <w:sz w:val="28"/>
        </w:rPr>
      </w:pPr>
      <w:bookmarkStart w:id="9" w:name="_Toc13063"/>
      <w:r>
        <w:rPr>
          <w:rFonts w:hint="eastAsia" w:ascii="Times New Roman" w:eastAsia="黑体"/>
          <w:b w:val="0"/>
          <w:bCs/>
          <w:sz w:val="28"/>
        </w:rPr>
        <w:t>1.2</w:t>
      </w:r>
      <w:r>
        <w:rPr>
          <w:rFonts w:ascii="Times New Roman" w:eastAsia="黑体"/>
          <w:b w:val="0"/>
          <w:bCs/>
          <w:sz w:val="28"/>
        </w:rPr>
        <w:t>研究意义</w:t>
      </w:r>
      <w:bookmarkEnd w:id="9"/>
    </w:p>
    <w:p w14:paraId="58887669">
      <w:pPr>
        <w:pStyle w:val="4"/>
        <w:snapToGrid/>
        <w:spacing w:before="0" w:beforeAutospacing="0" w:afterAutospacing="0" w:line="360" w:lineRule="auto"/>
        <w:ind w:left="0" w:leftChars="0" w:right="0" w:rightChars="0" w:firstLine="0" w:firstLineChars="0"/>
        <w:jc w:val="left"/>
        <w:outlineLvl w:val="2"/>
        <w:rPr>
          <w:rFonts w:ascii="Times New Roman" w:eastAsia="宋体"/>
          <w:b/>
          <w:bCs/>
          <w:sz w:val="24"/>
        </w:rPr>
      </w:pPr>
      <w:bookmarkStart w:id="10" w:name="_Toc25829"/>
      <w:r>
        <w:rPr>
          <w:rFonts w:ascii="Times New Roman" w:eastAsia="宋体"/>
          <w:b/>
          <w:bCs/>
          <w:sz w:val="24"/>
        </w:rPr>
        <w:t>1.2.1 理论意义</w:t>
      </w:r>
      <w:bookmarkEnd w:id="10"/>
    </w:p>
    <w:p w14:paraId="06338B4A">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在理论层面，本研究将机器学习方法引入软件项目工作量估算这一经典的软件工程问题，具有重要的学科交叉探索价值。传统工作量估算模型（如COCOMO、功能点分析）多基于线性假设与静态参数体系，在面对现代软件开发过程中需求动态变化、技术栈快速迭代以及多因素交织影响的复杂情境时，其理论解释力与适应性逐渐显现出固有局限。本研究通过系统比较多元线性回归、决策树、支持向量机及随机森林等机器学习算法在估算任务中的表现，能够深入揭示数据驱动方法在处理软件项目工作量估算中复杂非线性关系的内在机制与理论逻辑。这一探索不仅有助于弥补传统经验模型在复杂场景下适应性不足的理论缺陷，更能为理解软件项目工作量形成机理提供新的分析视角——从依赖预设公式转向挖掘数据中潜藏的隐含模式，为软件工程经济学向数据密集型科学范式的演进积累理论素材与方法论参考。</w:t>
      </w:r>
    </w:p>
    <w:p w14:paraId="02735401">
      <w:pPr>
        <w:pStyle w:val="4"/>
        <w:widowControl/>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bCs/>
          <w:sz w:val="24"/>
        </w:rPr>
      </w:pPr>
      <w:bookmarkStart w:id="11" w:name="_Toc21401"/>
      <w:r>
        <w:rPr>
          <w:rFonts w:hint="eastAsia" w:ascii="Times New Roman" w:eastAsia="宋体"/>
          <w:b/>
          <w:bCs/>
          <w:sz w:val="24"/>
        </w:rPr>
        <w:t>1.2.2</w:t>
      </w:r>
      <w:r>
        <w:rPr>
          <w:rFonts w:ascii="Times New Roman" w:eastAsia="宋体"/>
          <w:b/>
          <w:bCs/>
          <w:sz w:val="24"/>
        </w:rPr>
        <w:t>实践意义</w:t>
      </w:r>
      <w:bookmarkEnd w:id="11"/>
    </w:p>
    <w:p w14:paraId="1D6A4DBB">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在实践层面，本研究聚焦于软件开发项目管理中普遍存在且长期未能有效解决的痛点——工作量估算偏差导致的资源错配与进度失控。通过构建并验证基于机器学习的估算模型，研究旨在为开发团队提供一种更具客观性、数据驱动的辅助决策工具，帮助项目管理者摆脱对个人经验的过度依赖，提升资源规划的科学性与精细化管理水平。具体而言，基于历史项目数据训练的估算模型能够在项目早期阶段提供相对可靠的工作量预测参考，支持更合理的工期设定与预算编制，从而有效降低项目超支、延期风险，提升团队交付效率与客户满意度。同时，作为一项本科阶段的综合性研究，其实践意义还体现在个人能力培养层面：本研究将系统整合《软件工程》《机器学习》《数据分析》等多门课程的知识体系，完成从问题定义、数据收集与处理、模型构建到结果分析的完整科研训练过程，有效锻炼解决实际工程问题的逻辑思维能力、Python编程实践能力以及独立开展研究的方法论素养，为未来从事软件工程实践或进一步深造奠定坚实的能力基础。</w:t>
      </w:r>
    </w:p>
    <w:p w14:paraId="1234CE96">
      <w:pPr>
        <w:pStyle w:val="3"/>
        <w:snapToGrid/>
        <w:spacing w:before="0" w:beforeAutospacing="0" w:afterAutospacing="0" w:line="480" w:lineRule="auto"/>
        <w:ind w:left="495" w:leftChars="0" w:right="0" w:rightChars="0" w:hanging="495" w:firstLineChars="0"/>
        <w:jc w:val="left"/>
        <w:outlineLvl w:val="1"/>
        <w:rPr>
          <w:rFonts w:ascii="Times New Roman" w:hAnsi="黑体" w:eastAsia="黑体" w:cs="Segoe UI"/>
          <w:b w:val="0"/>
          <w:color w:val="auto"/>
          <w:sz w:val="28"/>
          <w:shd w:val="clear" w:color="auto" w:fill="FFFFFF"/>
        </w:rPr>
      </w:pPr>
      <w:bookmarkStart w:id="12" w:name="_Toc12289"/>
      <w:r>
        <w:rPr>
          <w:rFonts w:hint="eastAsia" w:ascii="Times New Roman" w:hAnsi="黑体" w:eastAsia="黑体"/>
          <w:b w:val="0"/>
          <w:color w:val="auto"/>
          <w:sz w:val="28"/>
        </w:rPr>
        <w:t>1.3</w:t>
      </w:r>
      <w:r>
        <w:rPr>
          <w:rFonts w:ascii="Times New Roman" w:hAnsi="黑体" w:eastAsia="黑体" w:cs="Segoe UI"/>
          <w:b w:val="0"/>
          <w:color w:val="auto"/>
          <w:sz w:val="28"/>
          <w:shd w:val="clear" w:color="auto" w:fill="FFFFFF"/>
        </w:rPr>
        <w:t>主要研究内容</w:t>
      </w:r>
      <w:bookmarkEnd w:id="12"/>
    </w:p>
    <w:p w14:paraId="0EE61E32">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本研究的核心目标是系统探究如何运用机器学习方法，有效提升软件项目工作量估算的准确性与实用性，为软件开发项目的资源规划和风险控制提供数据驱动的解决方案。研究将从理论梳理入手，全面剖析软件项目工作量估算领域的传统方法（COCOMO模型、功能点分析等）的核心原理、适用场景及固有局限，同时广泛调研机器学习技术在软件工程领域的应用现状，重点关注回归分析、集成学习等算法在成本与工作量估算中的实践案例，通过对比分析明确现有研究在复杂项目场景适应性、非线性关系处理等方面存在的不足，进而确立本研究的切入点与核心价值。在此基础上，研究将构建针对性的理论分析框架，深入阐释不同类型机器学习模型（包括线性回归、决策树、支持向量机、随机森林等）处理软件项目工作量估算中复杂非线性关系的内在逻辑与适用条件，明确各类模型在挖掘数据潜在模式、适应需求多变场景等方面的独特优势。同时，将完成具体的研究设计，确定以公开的软件工程数据库（Promise Repository）为核心数据来源，规划数据预处理的关键环节，包括数据清洗、异常值处理、特征提取与标准化等，其中重点聚焦与工作量密切相关的核心特征（代码规模、项目复杂度、团队经验水平等）的筛选与优化，同步确定采用平均绝对误差（MAE）、均方根误差（RMSE）、MMRE、Pred等指标作为模型性能的评价标准。实证研究将是本研究的核心环节，将基于规划的数据处理方案完成历史项目数据的整理与分析，通过Python编程语言及Scikit-learn等工具实现多种机器学习估算模型的构建与训练，在划分训练集与测试集的基础上，开展模型的迭代优化与性能对比，重点分析特征选择策略、参数调优对估算精度的影响机制，明确不同模型在不同项目场景下的适配性差异。基于实证分析的结果，研究将进一步提炼总结不同机器学习方法的优劣特性与适用场景，设计一套面向软件开发实践的、可操作的数据驱动型工作量估算辅助方案，明确方案的设计原则、核心实施流程，并结合典型项目案例说明方案的具体应用方式，为开发团队提供客观、高效的估算工具参考。最后，研究将全面总结整体研究成果，客观分析研究过程中在数据样本覆盖范围、模型泛化能力等方面存在的局限性，并针对这些不足提出未来可深入探索的研究方向，为后续相关领域的研究与实践提供借鉴。</w:t>
      </w:r>
    </w:p>
    <w:p w14:paraId="2D212581">
      <w:pPr>
        <w:pStyle w:val="2"/>
        <w:widowControl/>
        <w:numPr>
          <w:ilvl w:val="0"/>
          <w:numId w:val="1"/>
        </w:numPr>
        <w:shd w:val="clear" w:color="auto" w:fill="FFFFFF"/>
        <w:snapToGrid/>
        <w:spacing w:before="0" w:beforeAutospacing="0" w:afterAutospacing="0" w:line="600" w:lineRule="auto"/>
        <w:ind w:left="0" w:leftChars="0" w:right="0" w:rightChars="0" w:firstLine="0" w:firstLineChars="0"/>
        <w:jc w:val="left"/>
        <w:outlineLvl w:val="0"/>
        <w:rPr>
          <w:rFonts w:ascii="Times New Roman" w:eastAsia="黑体"/>
          <w:b w:val="0"/>
          <w:color w:val="auto"/>
          <w:sz w:val="30"/>
          <w:szCs w:val="30"/>
        </w:rPr>
      </w:pPr>
      <w:bookmarkStart w:id="13" w:name="_Toc16621"/>
      <w:r>
        <w:rPr>
          <w:rFonts w:ascii="Times New Roman" w:eastAsia="黑体"/>
          <w:b w:val="0"/>
          <w:color w:val="auto"/>
          <w:sz w:val="30"/>
          <w:szCs w:val="30"/>
        </w:rPr>
        <w:t>理论基础与文献综述</w:t>
      </w:r>
      <w:bookmarkEnd w:id="13"/>
    </w:p>
    <w:p w14:paraId="6BA88853">
      <w:pPr>
        <w:pStyle w:val="3"/>
        <w:widowControl/>
        <w:numPr>
          <w:ilvl w:val="0"/>
          <w:numId w:val="3"/>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sz w:val="28"/>
          <w:szCs w:val="28"/>
        </w:rPr>
      </w:pPr>
      <w:bookmarkStart w:id="14" w:name="_Toc31919"/>
      <w:r>
        <w:rPr>
          <w:rFonts w:ascii="Times New Roman" w:eastAsia="黑体"/>
          <w:b w:val="0"/>
          <w:sz w:val="28"/>
          <w:szCs w:val="28"/>
        </w:rPr>
        <w:t>软件项目工作量估算传统方法</w:t>
      </w:r>
      <w:bookmarkEnd w:id="14"/>
    </w:p>
    <w:p w14:paraId="3B82B66A">
      <w:pPr>
        <w:pStyle w:val="4"/>
        <w:widowControl/>
        <w:numPr>
          <w:ilvl w:val="0"/>
          <w:numId w:val="4"/>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bCs/>
          <w:sz w:val="24"/>
          <w:szCs w:val="28"/>
        </w:rPr>
      </w:pPr>
      <w:bookmarkStart w:id="15" w:name="_Toc6921"/>
      <w:r>
        <w:rPr>
          <w:rFonts w:ascii="Times New Roman" w:eastAsia="宋体"/>
          <w:b/>
          <w:bCs/>
          <w:sz w:val="24"/>
          <w:szCs w:val="28"/>
        </w:rPr>
        <w:t>专家判断法</w:t>
      </w:r>
      <w:bookmarkEnd w:id="15"/>
    </w:p>
    <w:p w14:paraId="209CC77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专家判断法是软件项目工作量估算领域历史最悠久、应用最广泛的方法之一，其核心在于依赖具有丰富项目经验的专业人士，基于其隐性知识与直觉判断对项目工作量进行评估</w:t>
      </w:r>
      <w:r>
        <w:rPr>
          <w:rFonts w:ascii="Times New Roman" w:eastAsia="宋体"/>
          <w:color w:val="auto"/>
          <w:sz w:val="24"/>
        </w:rPr>
        <w:fldChar w:fldCharType="begin"/>
      </w:r>
      <w:r>
        <w:rPr>
          <w:rFonts w:ascii="Times New Roman" w:eastAsia="宋体"/>
          <w:color w:val="auto"/>
          <w:sz w:val="24"/>
        </w:rPr>
        <w:instrText xml:space="preserve"> HYPERLINK "https://worktile.com/kb/ask/30186.html"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"http://en.cnki.com.cn/Article_en/CJFDTOTAL-ZJDX200504015.htm"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。在实际操作中，该方法常采用德尔菲法（Delphi Method）的组织形式，即邀请多位专家背靠背独立进行估算，然后将结果汇总比较，对超出阈值的偏差项进行多轮迭代调整，直至达成共识</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"https://worktile.com/kb/ask/30186.html"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。专家判断法的主要优势在于其灵活性与快速响应能力——在项目初期信息不充分、缺乏量化历史数据的情况下，专家能够凭借经验快速给出估算结果，尤其适用于创新型或技术探索型项目</w:t>
      </w:r>
      <w:r>
        <w:rPr>
          <w:rFonts w:ascii="Times New Roman" w:eastAsia="宋体"/>
          <w:color w:val="auto"/>
          <w:sz w:val="24"/>
        </w:rPr>
        <w:fldChar w:fldCharType="begin"/>
      </w:r>
      <w:r>
        <w:rPr>
          <w:rFonts w:ascii="Times New Roman" w:eastAsia="宋体"/>
          <w:color w:val="auto"/>
          <w:sz w:val="24"/>
        </w:rPr>
        <w:instrText xml:space="preserve"> HYPERLINK "http://en.cnki.com.cn/Article_en/CJFDTOTAL-ZJDX200504015.htm"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"https://worktile.com/kb/p/3227224"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然而，该方法的局限性同样显著：其一，估算过程高度依赖专家的主观认知，易受个人经验边界与认知偏差的影响，结果缺乏客观性与可复现性；其二，专家的隐性知识难以标准化传承，导致组织级的学习与积累面临障碍</w:t>
      </w:r>
      <w:r>
        <w:rPr>
          <w:rFonts w:ascii="Times New Roman" w:eastAsia="宋体"/>
          <w:color w:val="auto"/>
          <w:sz w:val="24"/>
        </w:rPr>
        <w:fldChar w:fldCharType="begin"/>
      </w:r>
      <w:r>
        <w:rPr>
          <w:rFonts w:ascii="Times New Roman" w:eastAsia="宋体"/>
          <w:color w:val="auto"/>
          <w:sz w:val="24"/>
        </w:rPr>
        <w:instrText xml:space="preserve"> HYPERLINK "https://worktile.com/kb/ask/30186.html"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"http://en.cnki.com.cn/Article_en/CJFDTOTAL-ZJDX200504015.htm"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；其三，在面对与历史经验差异较大的新项目时，专家判断的准确性可能显著下降，难以保证估算结果的稳定性与可靠性。</w:t>
      </w:r>
    </w:p>
    <w:p w14:paraId="399CFA98">
      <w:pPr>
        <w:pStyle w:val="4"/>
        <w:widowControl/>
        <w:numPr>
          <w:ilvl w:val="0"/>
          <w:numId w:val="4"/>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bCs/>
          <w:sz w:val="24"/>
        </w:rPr>
      </w:pPr>
      <w:bookmarkStart w:id="16" w:name="_Toc13197"/>
      <w:r>
        <w:rPr>
          <w:rFonts w:ascii="Times New Roman" w:eastAsia="宋体"/>
          <w:b/>
          <w:bCs/>
          <w:sz w:val="24"/>
        </w:rPr>
        <w:t>功能点分析</w:t>
      </w:r>
      <w:bookmarkEnd w:id="16"/>
    </w:p>
    <w:p w14:paraId="5646754E">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功能点分析（Function Point Analysis, FPA）是由IBM的Albrecht于1979年提出的一种基于软件功能需求的规模度量方法，其核心思想是从用户视角出发，将软件系统拆分为若干独立的功能组件，通过对这些组件的计数与加权来量化项目规模，进而转换为工作量估算值</w:t>
      </w:r>
      <w:r>
        <w:rPr>
          <w:rFonts w:ascii="Times New Roman" w:eastAsia="宋体"/>
          <w:color w:val="auto"/>
          <w:sz w:val="24"/>
        </w:rPr>
        <w:fldChar w:fldCharType="begin"/>
      </w:r>
      <w:r>
        <w:rPr>
          <w:rFonts w:ascii="Times New Roman" w:eastAsia="宋体"/>
          <w:color w:val="auto"/>
          <w:sz w:val="24"/>
        </w:rPr>
        <w:instrText xml:space="preserve"> HYPERLINK "https://www.jiandaoyun.com/blog/article/1882580/"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"https://www.spasvo.com/ceshi/xmgl/cbgl/201365135506.html"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"https://ieeexplore.ieee.org/document/10698887/references" \l "references"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具体而言，功能点分析将软件功能划分为五类：外部输入（EI）、外部输出（EO）、外部查询（EQ）、内部逻辑文件（ILF）和外部接口文件（EIF），每类功能根据复杂程度赋予不同权重，计算得出未调整功能点数；再综合考虑数据通信、分布式处理、性能要求等14项技术复杂度因子进行调整，最终得到调整后的功能点总数</w:t>
      </w:r>
      <w:r>
        <w:rPr>
          <w:rFonts w:ascii="Times New Roman" w:eastAsia="宋体"/>
          <w:color w:val="auto"/>
          <w:sz w:val="24"/>
        </w:rPr>
        <w:fldChar w:fldCharType="begin"/>
      </w:r>
      <w:r>
        <w:rPr>
          <w:rFonts w:ascii="Times New Roman" w:eastAsia="宋体"/>
          <w:color w:val="auto"/>
          <w:sz w:val="24"/>
        </w:rPr>
        <w:instrText xml:space="preserve"> HYPERLINK "https://www.jiandaoyun.com/blog/article/1882580/"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"https://www.spasvo.com/ceshi/xmgl/cbgl/201365135506.html"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。功能点分析的主要优势在于其标准化程度高，能够跨越不同编程语言和技术平台实现项目规模的可比性，为企业级管理软件的估算提供了可靠基础</w:t>
      </w:r>
      <w:r>
        <w:rPr>
          <w:rFonts w:ascii="Times New Roman" w:eastAsia="宋体"/>
          <w:color w:val="auto"/>
          <w:sz w:val="24"/>
        </w:rPr>
        <w:fldChar w:fldCharType="begin"/>
      </w:r>
      <w:r>
        <w:rPr>
          <w:rFonts w:ascii="Times New Roman" w:eastAsia="宋体"/>
          <w:color w:val="auto"/>
          <w:sz w:val="24"/>
        </w:rPr>
        <w:instrText xml:space="preserve"> HYPERLINK "https://www.jiandaoyun.com/blog/article/1882580/"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。然而，该方法也存在明显局限：其一，功能点的识别与复杂度评估仍依赖分析人员的专业经验，需求分析的质量直接影响估算准确性</w:t>
      </w:r>
      <w:r>
        <w:rPr>
          <w:rFonts w:ascii="Times New Roman" w:eastAsia="宋体"/>
          <w:color w:val="auto"/>
          <w:sz w:val="24"/>
        </w:rPr>
        <w:fldChar w:fldCharType="begin"/>
      </w:r>
      <w:r>
        <w:rPr>
          <w:rFonts w:ascii="Times New Roman" w:eastAsia="宋体"/>
          <w:color w:val="auto"/>
          <w:sz w:val="24"/>
        </w:rPr>
        <w:instrText xml:space="preserve"> HYPERLINK "https://www.jiandaoyun.com/blog/article/1882580/"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；其二，计算过程较为复杂，详细的功能拆分需要投入较多时间与人力成本，有研究指出标准功能点分析在实际项目中的应用成本较高</w:t>
      </w:r>
      <w:r>
        <w:rPr>
          <w:rFonts w:ascii="Times New Roman" w:eastAsia="宋体"/>
          <w:color w:val="auto"/>
          <w:sz w:val="24"/>
        </w:rPr>
        <w:fldChar w:fldCharType="begin"/>
      </w:r>
      <w:r>
        <w:rPr>
          <w:rFonts w:ascii="Times New Roman" w:eastAsia="宋体"/>
          <w:color w:val="auto"/>
          <w:sz w:val="24"/>
        </w:rPr>
        <w:instrText xml:space="preserve"> HYPERLINK "https://www.scrum.cn/5026.html"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；其三，功能点分析主要适用于功能需求明确的业务系统，对于算法密集、非功能性需求突出的项目，估算结果可能不够全面</w:t>
      </w:r>
      <w:r>
        <w:rPr>
          <w:rFonts w:ascii="Times New Roman" w:eastAsia="宋体"/>
          <w:color w:val="auto"/>
          <w:sz w:val="24"/>
        </w:rPr>
        <w:fldChar w:fldCharType="begin"/>
      </w:r>
      <w:r>
        <w:rPr>
          <w:rFonts w:ascii="Times New Roman" w:eastAsia="宋体"/>
          <w:color w:val="auto"/>
          <w:sz w:val="24"/>
        </w:rPr>
        <w:instrText xml:space="preserve"> HYPERLINK "https://www.jiandaoyun.com/blog/article/1882580/"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"https://ieeexplore.ieee.org/document/10698887/references" \l "references"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680F143D">
      <w:pPr>
        <w:pStyle w:val="4"/>
        <w:widowControl/>
        <w:numPr>
          <w:ilvl w:val="0"/>
          <w:numId w:val="4"/>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17" w:name="_Toc5627"/>
      <w:r>
        <w:rPr>
          <w:rFonts w:ascii="Times New Roman" w:eastAsia="宋体"/>
          <w:b/>
          <w:sz w:val="24"/>
        </w:rPr>
        <w:t>COCOMO模型</w:t>
      </w:r>
      <w:bookmarkEnd w:id="17"/>
    </w:p>
    <w:p w14:paraId="25885F5F">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COCOMO（构造性成本模型，Constructive Cost Model）是由Boehm于1981年提出的参数化软件成本估算模型，至今仍是软件工程领域最具影响力的算法模型之一</w:t>
      </w:r>
      <w:r>
        <w:rPr>
          <w:rFonts w:ascii="Times New Roman" w:eastAsia="宋体"/>
          <w:color w:val="auto"/>
          <w:sz w:val="24"/>
        </w:rPr>
        <w:fldChar w:fldCharType="begin"/>
      </w:r>
      <w:r>
        <w:rPr>
          <w:rFonts w:ascii="Times New Roman" w:eastAsia="宋体"/>
          <w:color w:val="auto"/>
          <w:sz w:val="24"/>
        </w:rPr>
        <w:instrText xml:space="preserve"> HYPERLINK "https://ieeexplore.ieee.org/document/10345580"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。该模型基于对大量历史项目数据的回归分析，建立了以软件规模（通常以千行代码数KLoC度量）为核心自变量、以项目工作量（人月）为因变量的数学关系式，并通过一系列成本驱动因子对基础估算进行调整</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"https://cloud.tencent.com.cn/developer/ask/sof/116255587"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"https://ieeexplore.ieee.org/document/10698887/references" \l "references"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。COCOMO模型包含三个递进的层次：基本模型仅考虑规模因素；中间模型引入产品属性、硬件属性、人员属性、项目属性等成本驱动因子；详细模型则进一步考虑各个开发阶段的影响</w:t>
      </w:r>
      <w:r>
        <w:rPr>
          <w:rFonts w:ascii="Times New Roman" w:eastAsia="宋体"/>
          <w:color w:val="auto"/>
          <w:sz w:val="24"/>
        </w:rPr>
        <w:fldChar w:fldCharType="begin"/>
      </w:r>
      <w:r>
        <w:rPr>
          <w:rFonts w:ascii="Times New Roman" w:eastAsia="宋体"/>
          <w:color w:val="auto"/>
          <w:sz w:val="24"/>
        </w:rPr>
        <w:instrText xml:space="preserve"> HYPERLINK "https://ieeexplore.ieee.org/document/10345580"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。从适用场景来看，COCOMO模型在技术路线成熟、需求相对稳定的传统瀑布模型项目中表现良好，其参数化结构使得估算过程具有可重复性与可调整性</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"https://cloud.tencent.com.cn/developer/ask/sof/116255587"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。然而，该模型的局限性近年来受到广泛关注：其一，模型的系数基于特定历史数据集回归得出，直接迁移至不同组织环境时往往需要重新校准，否则估算精度难以保证</w:t>
      </w:r>
      <w:r>
        <w:rPr>
          <w:rFonts w:ascii="Times New Roman" w:eastAsia="宋体"/>
          <w:color w:val="auto"/>
          <w:sz w:val="24"/>
        </w:rPr>
        <w:fldChar w:fldCharType="begin"/>
      </w:r>
      <w:r>
        <w:rPr>
          <w:rFonts w:ascii="Times New Roman" w:eastAsia="宋体"/>
          <w:color w:val="auto"/>
          <w:sz w:val="24"/>
        </w:rPr>
        <w:instrText xml:space="preserve"> HYPERLINK "http://en.cnki.com.cn/Article_en/CJFDTOTAL-ZJDX200504015.htm"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"https://ieeexplore.ieee.org/document/10345580"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；其二，COCOMO基于确定性假设，难以容纳软件开发过程中的需求变更、技术迭代等不确定性因素</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"https://cloud.tencent.com.cn/developer/ask/sof/116255587"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；其三，模型将软件项目视为同质化整体，难以处理由多个异构子系统构成的大型复杂项目</w:t>
      </w:r>
      <w:r>
        <w:rPr>
          <w:rFonts w:ascii="Times New Roman" w:eastAsia="宋体"/>
          <w:color w:val="auto"/>
          <w:sz w:val="24"/>
        </w:rPr>
        <w:fldChar w:fldCharType="begin"/>
      </w:r>
      <w:r>
        <w:rPr>
          <w:rFonts w:ascii="Times New Roman" w:eastAsia="宋体"/>
          <w:color w:val="auto"/>
          <w:sz w:val="24"/>
        </w:rPr>
        <w:instrText xml:space="preserve"> HYPERLINK "https://cloud.tencent.com.cn/developer/ask/sof/116255587"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；其四，千行代码数（KLoC）作为规模度量在项目早期难以准确预估，且不同编程语言的表达能力差异可能导致规模度量失真</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"https://cloud.tencent.com.cn/developer/ask/sof/116255587"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。针对这些局限，学界已开展大量研究尝试通过元启发式算法对COCOMO模型参数进行优化，以提升其估算精度</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"https://ieeexplore.ieee.org/document/10345580"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w:t>
      </w:r>
    </w:p>
    <w:p w14:paraId="7BBF98F9">
      <w:pPr>
        <w:pStyle w:val="23"/>
        <w:widowControl/>
        <w:shd w:val="clear" w:color="auto" w:fill="FFFFFF"/>
        <w:snapToGrid/>
        <w:spacing w:before="0" w:beforeAutospacing="0" w:after="0" w:afterAutospacing="0" w:line="400" w:lineRule="exact"/>
        <w:ind w:left="0" w:leftChars="0" w:right="0" w:rightChars="0" w:firstLine="480" w:firstLineChars="200"/>
        <w:jc w:val="left"/>
        <w:rPr>
          <w:rFonts w:ascii="Times New Roman" w:hAnsi="Segoe UI" w:eastAsia="宋体" w:cs="Segoe UI"/>
          <w:color w:val="auto"/>
          <w:sz w:val="24"/>
          <w:szCs w:val="19"/>
          <w:shd w:val="clear" w:color="auto" w:fill="FFFFFF"/>
        </w:rPr>
      </w:pPr>
    </w:p>
    <w:p w14:paraId="005C8405">
      <w:pPr>
        <w:pStyle w:val="4"/>
        <w:widowControl/>
        <w:numPr>
          <w:ilvl w:val="0"/>
          <w:numId w:val="4"/>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18" w:name="_Toc5809"/>
      <w:r>
        <w:rPr>
          <w:rFonts w:ascii="Times New Roman" w:eastAsia="宋体"/>
          <w:b/>
          <w:sz w:val="24"/>
        </w:rPr>
        <w:t>传统方法的局限性与适用场景分析</w:t>
      </w:r>
      <w:bookmarkEnd w:id="18"/>
    </w:p>
    <w:p w14:paraId="7841552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软件项目工作量估算的传统方法主要包括基于专家经验的判断法、功能点分析以及COCOMO（构造性成本模型）等参数化模型，这些方法在实践中形成了各自的适用边界与固有局限。专家判断法依赖于个人或团队的历史经验积累，在项目情境与历史经验高度相似时能够快速给出估算结果，但其准确性易受主观认知偏差影响，且经验难以标准化传承。功能点分析试图从用户需求角度量化软件规模，通过将功能点转换为工作量实现估算，这种方法在需求相对明确、业务逻辑清晰的商业应用系统中具有较好的适用性，但当系统涉及复杂算法或技术探索时，功能点与工作量之间的线性转换关系往往难以成立。</w:t>
      </w:r>
    </w:p>
    <w:p w14:paraId="7D6CD93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COCOMO模型作为参数化估算方法的代表，通过回归分析建立以代码行数或功能点为核心的估算方程，其适用场景集中在传统瀑布模型开发、技术路线成熟的工程项目中。然而，申晓宁等人在《考虑工作量不确定性的软件项目策略梯度超启发式调度》研究中明确指出，传统模型的确定性假设忽略了软件开发过程中的常见波动因素，如需求变更导致的任务工作量浮动、团队协作效率的非线性变化等，这些假设在动态开发环境中会降低估算模型的可行性并削弱调度稳定性</w:t>
      </w:r>
      <w:r>
        <w:rPr>
          <w:rFonts w:ascii="Times New Roman" w:eastAsia="宋体"/>
          <w:color w:val="auto"/>
          <w:sz w:val="24"/>
        </w:rPr>
        <w:fldChar w:fldCharType="begin"/>
      </w:r>
      <w:r>
        <w:rPr>
          <w:rFonts w:ascii="Times New Roman" w:eastAsia="宋体"/>
          <w:color w:val="auto"/>
          <w:sz w:val="24"/>
        </w:rPr>
        <w:instrText xml:space="preserve"> HYPERLINK "https://jeit.ac.cn/cn/article/doi/10.11999/JEIT250769"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"https://jeit.ac.cn/en/article/doi/10.11999/JEIT250769"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从案例分析视角审视，该研究以软件项目调度为背景，揭示了传统方法面对任务工作量不确定性时的适应性困境——当任务实际所需工时因需求变化产生波动时，基于静态参数的传统模型往往无法及时调整，导致资源分配失效。从代码分析角度，该研究采用非对称三角区间二型模糊数对工作量不确定性进行数学表征，将原本的确定性参数转化为区间型模糊数，这一建模方式本质上是对传统参数化模型线性假设的突破尝试。代码实现层面，研究者通过定义任务模糊工作量的隶属度函数，在优化算法中实现了对不确定区间的遍历搜索，从而在调度决策中容纳了工作量的可能波动范围</w:t>
      </w:r>
      <w:r>
        <w:rPr>
          <w:rFonts w:ascii="Times New Roman" w:eastAsia="宋体"/>
          <w:color w:val="auto"/>
          <w:sz w:val="24"/>
        </w:rPr>
        <w:fldChar w:fldCharType="begin"/>
      </w:r>
      <w:r>
        <w:rPr>
          <w:rFonts w:ascii="Times New Roman" w:eastAsia="宋体"/>
          <w:color w:val="auto"/>
          <w:sz w:val="24"/>
        </w:rPr>
        <w:instrText xml:space="preserve"> HYPERLINK "https://jeit.ac.cn/cn/article/doi/10.11999/JEIT250769"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53D5FA9B">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郭育晨与朱晓燕在《工作量感知软件缺陷预测中偏斜分布的影响及测试评估方法》中，从模型评估方法论层面揭示了传统验证方法的局限性。该研究针对工作量感知场景下的软件缺陷预测问题，采用偏斜分布的偏度作为数值特征，系统研究了三种主要测试评估方法的偏度偏差及其对应的估计误差</w:t>
      </w:r>
      <w:r>
        <w:rPr>
          <w:rFonts w:ascii="Times New Roman" w:eastAsia="宋体"/>
          <w:color w:val="auto"/>
          <w:sz w:val="24"/>
        </w:rPr>
        <w:fldChar w:fldCharType="begin"/>
      </w:r>
      <w:r>
        <w:rPr>
          <w:rFonts w:ascii="Times New Roman" w:eastAsia="宋体"/>
          <w:color w:val="auto"/>
          <w:sz w:val="24"/>
        </w:rPr>
        <w:instrText xml:space="preserve"> HYPERLINK "http://ntlib.org.cn/asset/search?key=O=%e8%a5%bf%e5%ae%89%e4%ba%a4%e9%80%9a%e5%a4%a7%e5%ad%a6%e8%ae%a1%e7%ae%97%e6%9c%ba%e7%a7%91%e5%ad%a6%e4%b8%8e%e6%8a%80%e6%9c%af%e5%ad%a6%e9%99%a2"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案例数据显示，最常用的十折交叉验证方法偏度偏差最大，其估计误差也最为显著。从代码分析视角，该研究实现了对传统十折交叉验证过程的改进——通过计算训练集与测试集的工作量分布偏度，识别出传统随机划分方法在处理偏斜数据时产生的系统性偏差，进而提出后采样方法以保持测试集的类标签比例。这一研究从方法论层面证明，传统模型评估方式在处理现实项目中普遍存在的工作量偏斜分布时，可能产生误导性结论，这也间接反映了传统估算方法在复杂数据分布下的适用性局限</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"http://ntlib.org.cn/asset/search?key=O=%e8%a5%bf%e5%ae%89%e4%ba%a4%e9%80%9a%e5%a4%a7%e5%ad%a6%e8%ae%a1%e7%ae%97%e6%9c%ba%e7%a7%91%e5%ad%a6%e4%b8%8e%e6%8a%80%e6%9c%af%e5%ad%a6%e9%99%a2"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w:t>
      </w:r>
    </w:p>
    <w:p w14:paraId="52FBEE3D">
      <w:pPr>
        <w:pStyle w:val="3"/>
        <w:widowControl/>
        <w:numPr>
          <w:ilvl w:val="0"/>
          <w:numId w:val="3"/>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19" w:name="_Toc22716"/>
      <w:r>
        <w:rPr>
          <w:rFonts w:ascii="Times New Roman" w:eastAsia="黑体"/>
          <w:b w:val="0"/>
          <w:sz w:val="28"/>
        </w:rPr>
        <w:t>机器学习在软件工程中的应用</w:t>
      </w:r>
      <w:bookmarkEnd w:id="19"/>
    </w:p>
    <w:p w14:paraId="25EF8383">
      <w:pPr>
        <w:pStyle w:val="4"/>
        <w:widowControl/>
        <w:numPr>
          <w:ilvl w:val="0"/>
          <w:numId w:val="5"/>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20" w:name="_Toc20869"/>
      <w:r>
        <w:rPr>
          <w:rFonts w:ascii="Times New Roman" w:eastAsia="宋体"/>
          <w:b/>
          <w:sz w:val="24"/>
        </w:rPr>
        <w:t>机器学习概述</w:t>
      </w:r>
      <w:bookmarkEnd w:id="20"/>
    </w:p>
    <w:p w14:paraId="7094FAE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机器学习作为人工智能的核心分支，其本质是通过算法从数据中自动学习模式与规律，而非依赖显式编程规则。从技术范式角度，机器学习可分为监督学习、无监督学习、强化学习等主要类型，其中监督学习通过已标注样本训练模型以实现预测功能，这与软件工作量估算问题的本质高度契合——即利用历史项目数据（含已知工作量）训练模型，以预测新项目的工作量。机器学习的核心优势在于其非线性建模能力与自动特征学习能力，能够突破传统线性模型的假设约束，从多维数据中捕捉复杂交互关系。</w:t>
      </w:r>
    </w:p>
    <w:p w14:paraId="1E6A403E">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在软件工程领域，机器学习的应用已从早期的缺陷预测扩展至工作量估算、项目调度、质量评估等多个方向。申晓宁等人的研究展示了强化学习与超启发式算法在软件项目调度中的创新应用，该研究将Actor-Critic强化学习框架作为高层策略，根据算法运行状态自适应选择合适的低层启发式策略</w:t>
      </w:r>
      <w:r>
        <w:rPr>
          <w:rFonts w:ascii="Times New Roman" w:eastAsia="宋体"/>
          <w:color w:val="auto"/>
          <w:sz w:val="24"/>
        </w:rPr>
        <w:fldChar w:fldCharType="begin"/>
      </w:r>
      <w:r>
        <w:rPr>
          <w:rFonts w:ascii="Times New Roman" w:eastAsia="宋体"/>
          <w:color w:val="auto"/>
          <w:sz w:val="24"/>
        </w:rPr>
        <w:instrText xml:space="preserve"> HYPERLINK "https://jeit.ac.cn/cn/article/doi/10.11999/JEIT250769"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"https://jeit.ac.cn/en/article/doi/10.11999/JEIT250769"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从代码分析视角，这一方法通过构建神经网络实现状态到动作的映射：Actor网络根据种群收敛性与多样性等实时状态指标选择启发式策略，Critic网络则对所选动作进行价值评估，通过优先经验回放机制复用历史轨迹信息以加速网络收敛。代码层面涉及策略梯度更新、经验池采样、网络参数优化等一系列深度学习技术栈，展现了机器学习方法在复杂软件工程优化问题中的技术潜力</w:t>
      </w:r>
      <w:r>
        <w:rPr>
          <w:rFonts w:ascii="Times New Roman" w:eastAsia="宋体"/>
          <w:color w:val="auto"/>
          <w:sz w:val="24"/>
        </w:rPr>
        <w:fldChar w:fldCharType="begin"/>
      </w:r>
      <w:r>
        <w:rPr>
          <w:rFonts w:ascii="Times New Roman" w:eastAsia="宋体"/>
          <w:color w:val="auto"/>
          <w:sz w:val="24"/>
        </w:rPr>
        <w:instrText xml:space="preserve"> HYPERLINK "https://jeit.ac.cn/cn/article/doi/10.11999/JEIT250769"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6D2F5992">
      <w:pPr>
        <w:pStyle w:val="4"/>
        <w:widowControl/>
        <w:numPr>
          <w:ilvl w:val="0"/>
          <w:numId w:val="5"/>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21" w:name="_Toc18455"/>
      <w:r>
        <w:rPr>
          <w:rFonts w:ascii="Times New Roman" w:eastAsia="宋体"/>
          <w:b/>
          <w:sz w:val="24"/>
        </w:rPr>
        <w:t>机器学习在成本与工作量估算中的研究现状</w:t>
      </w:r>
      <w:bookmarkEnd w:id="21"/>
    </w:p>
    <w:p w14:paraId="4C8C2814">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机器学习在软件成本与工作量估算领域的研究已形成多个技术分支，主要包括回归模型、决策树与集成学习、支持向量机以及近年来兴起的深度学习与强化学习方法。从研究演进脉络看，早期研究聚焦于单一回归模型与传统神经网络的适用性验证，随后转向集成学习方法（如随机森林、梯度提升树）以提升预测稳定性，近期研究则呈现向特征工程深度优化和复杂不确定性建模两个方向发展的趋势。</w:t>
      </w:r>
    </w:p>
    <w:p w14:paraId="37EA72CA">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赵晨阳、刘磊与江贺在《基于多目标优化的工作量感知即时软件缺陷预测特征构建方法》中，从特征工程维度切入工作量感知场景下的预测问题，代表了该领域研究的前沿方向</w:t>
      </w:r>
      <w:r>
        <w:rPr>
          <w:rFonts w:ascii="Times New Roman" w:eastAsia="宋体"/>
          <w:color w:val="auto"/>
          <w:sz w:val="24"/>
        </w:rPr>
        <w:fldChar w:fldCharType="begin"/>
      </w:r>
      <w:r>
        <w:rPr>
          <w:rFonts w:ascii="Times New Roman" w:eastAsia="宋体"/>
          <w:color w:val="auto"/>
          <w:sz w:val="24"/>
        </w:rPr>
        <w:instrText xml:space="preserve"> HYPERLINK "https://www.jsjkx.com/CN/abstract/abstract22998.shtml"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computerjournals.net/cn/simple_view_abstract.aspx?pcid=5B3AB970F71A803DEACDC0559115BFCF0A068CD97DD29835&amp;cid=8240383F08CE46C8B05036380D75B607&amp;jid=64A12D73428C8B8DBFB978D04DFEB3C1&amp;aid=EC9FC03D0DA0070C9C32D5B4F548F9BD&amp;yid=E6A891D2134F30C0&amp;vid=286FB2D22CF8D013&amp;iid=EC9FC03D0DA0070C9C32D5B4F548F9BD&amp;sid=E1D946F217E3B046&amp;eid=6A73B36E85DB0CE9&amp;referenced_num=0&amp;reference_num="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该研究指出，现有工作量感知预测方法大多仅针对分类模型算法进行优化，而忽视了特征构建对模型性能的根本性影响。案例层面，研究选取六个开源项目数据集，系统验证了所提EEF（工作量感知进化特征构建）方法的有效性。从代码分析角度，EEF方法通过遗传编程树来表示特征，将特征构建问题转化为树结构的进化优化问题：每棵遗传编程树代表一种特征转换方式，树节点包含原始特征与数学运算符，通过交叉、变异等遗传操作生成新的特征组合；在此基础上，从分类性能与工作量感知性能两个维度构建多目标优化目标函数，采用NSGA-II等多目标进化算法对特征转换方法进行迭代优化</w:t>
      </w:r>
      <w:r>
        <w:rPr>
          <w:rFonts w:ascii="Times New Roman" w:eastAsia="宋体"/>
          <w:color w:val="auto"/>
          <w:sz w:val="24"/>
        </w:rPr>
        <w:fldChar w:fldCharType="begin"/>
      </w:r>
      <w:r>
        <w:rPr>
          <w:rFonts w:ascii="Times New Roman" w:eastAsia="宋体"/>
          <w:color w:val="auto"/>
          <w:sz w:val="24"/>
        </w:rPr>
        <w:instrText xml:space="preserve"> HYPERLINK "https://www.jsjkx.com/CN/abstract/abstract22998.shtml"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。代码实现涉及遗传编程的树结构定义、适应度函数设计（同时包含F1值与工作量感知指标Popt）、多目标选择策略等模块，这一研究从特征工程底层揭示了提升工作量估算精度的新路径。</w:t>
      </w:r>
    </w:p>
    <w:p w14:paraId="38427BF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郭育晨与朱晓燕的研究则从模型评估方法论角度，揭示了现有机器学习模型验证过程中的系统性偏差问题</w:t>
      </w:r>
      <w:r>
        <w:rPr>
          <w:rFonts w:ascii="Times New Roman" w:eastAsia="宋体"/>
          <w:color w:val="auto"/>
          <w:sz w:val="24"/>
        </w:rPr>
        <w:fldChar w:fldCharType="begin"/>
      </w:r>
      <w:r>
        <w:rPr>
          <w:rFonts w:ascii="Times New Roman" w:eastAsia="宋体"/>
          <w:color w:val="auto"/>
          <w:sz w:val="24"/>
        </w:rPr>
        <w:instrText xml:space="preserve"> HYPERLINK "http://ntlib.org.cn/asset/search?key=O=%e8%a5%bf%e5%ae%89%e4%ba%a4%e9%80%9a%e5%a4%a7%e5%ad%a6%e8%ae%a1%e7%ae%97%e6%9c%ba%e7%a7%91%e5%ad%a6%e4%b8%8e%e6%8a%80%e6%9c%af%e5%ad%a6%e9%99%a2"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该研究对三种主要测试评估方法（十折交叉验证、采样余量方法、后采样方法）进行对比分析，发现传统十折交叉验证在处理工作量偏斜分布时会产生显著的偏度偏差，进而导致模型性能估计误差增大。案例数据显示，与十折交叉验证相比，改进后的后采样方法性能估计误差可减少约4.9%至26.9%</w:t>
      </w:r>
      <w:r>
        <w:rPr>
          <w:rFonts w:ascii="Times New Roman" w:eastAsia="宋体"/>
          <w:color w:val="auto"/>
          <w:sz w:val="24"/>
        </w:rPr>
        <w:fldChar w:fldCharType="begin"/>
      </w:r>
      <w:r>
        <w:rPr>
          <w:rFonts w:ascii="Times New Roman" w:eastAsia="宋体"/>
          <w:color w:val="auto"/>
          <w:sz w:val="24"/>
        </w:rPr>
        <w:instrText xml:space="preserve"> HYPERLINK "http://ntlib.org.cn/asset/search?key=O=%e8%a5%bf%e5%ae%89%e4%ba%a4%e9%80%9a%e5%a4%a7%e5%ad%a6%e8%ae%a1%e7%ae%97%e6%9c%ba%e7%a7%91%e5%ad%a6%e4%b8%8e%e6%8a%80%e6%9c%af%e5%ad%a6%e9%99%a2"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。这一发现对工作量估算研究具有重要警示意义：许多在传统评估框架下表现优异的机器学习模型，其实可能因评估方法偏差而获得虚假的性能优势，这要求研究者在模型对比中更加审慎地设计验证方案。</w:t>
      </w:r>
    </w:p>
    <w:p w14:paraId="699A5844">
      <w:pPr>
        <w:pStyle w:val="4"/>
        <w:widowControl/>
        <w:numPr>
          <w:ilvl w:val="0"/>
          <w:numId w:val="5"/>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22" w:name="_Toc10378"/>
      <w:r>
        <w:rPr>
          <w:rFonts w:ascii="Times New Roman" w:eastAsia="宋体"/>
          <w:b/>
          <w:sz w:val="24"/>
        </w:rPr>
        <w:t>常用算法在估算中的应用案例</w:t>
      </w:r>
      <w:bookmarkEnd w:id="22"/>
    </w:p>
    <w:p w14:paraId="613928FB">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回归分析作为最基础的机器学习算法，在软件工作量估算中主要承担基准模型角色。多元线性回归通过拟合特征与工作量之间的线性关系实现预测，其代码实现简单、可解释性强，适合作为模型性能比较的基线。然而，面对软件项目中普遍存在的非线性关系，回归模型的预测精度往往受限，这促使研究者转向更复杂的算法。</w:t>
      </w:r>
    </w:p>
    <w:p w14:paraId="68E5FDD2">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决策树与随机森林为代表的集成学习方法，因其天然的非线性建模能力与特征重要性评估功能，在工作量估算中获得广泛应用。决策树通过递归划分特征空间生成树形决策规则，能够直观呈现不同特征对工作量的影响路径；随机森林通过集成多棵决策树并引入随机性，有效降低了单棵树的过程拟合风险，提升了预测稳定性。</w:t>
      </w:r>
    </w:p>
    <w:p w14:paraId="5A475CEB">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支持向量机通过核函数将低维非线性问题映射至高维线性空间求解，在处理小样本、非线性问题时具有独特优势。在软件工作量估算中，支持向量机能够有效处理特征与工作量之间的复杂非线性映射关系，但其性能高度依赖核函数选择与参数调优，且模型可解释性相对较弱。</w:t>
      </w:r>
    </w:p>
    <w:p w14:paraId="7EC49855">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申晓宁等人的研究提供了强化学习在软件项目调度中的创新应用案例</w:t>
      </w:r>
      <w:r>
        <w:rPr>
          <w:rFonts w:ascii="Times New Roman" w:eastAsia="宋体"/>
          <w:color w:val="auto"/>
          <w:sz w:val="24"/>
        </w:rPr>
        <w:fldChar w:fldCharType="begin"/>
      </w:r>
      <w:r>
        <w:rPr>
          <w:rFonts w:ascii="Times New Roman" w:eastAsia="宋体"/>
          <w:color w:val="auto"/>
          <w:sz w:val="24"/>
        </w:rPr>
        <w:instrText xml:space="preserve"> HYPERLINK "https://jeit.ac.cn/cn/article/doi/10.11999/JEIT250769"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"https://jeit.ac.cn/en/article/doi/10.11999/JEIT250769"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该研究提出的基于策略梯度的超启发式算法（PGHHA），将强化学习中的Actor-Critic框架作为高层选择策略：Actor网络根据当前种群状态（如收敛性指标ΔHV、多样性指标ΔDV）从八个低层启发式策略中选择合适算子；Critic网络则评估所选动作的长期累积回报；通过优先经验回放机制存储历史状态-动作-奖励轨迹，以经验池采样方式更新网络参数</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"https://jeit.ac.cn/cn/article/doi/10.11999/JEIT250769" \l "citedby-info"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从代码实现层面，这一算法涉及策略梯度更新公式的推导、神经网络结构设计（包含状态输入层、隐藏层、动作输出层）、经验回放优先级计算等多个技术环节，代表了强化学习在软件工程优化问题中的深度应用。该研究通过12个人工合成算例和3个真实项目实例的验证，证明了所提算法在不确定环境中能够获得收敛性和多样性更优的非支配解</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"https://jeit.ac.cn/cn/article/doi/10.11999/JEIT250769" \l "citedby-info"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"https://jeit.ac.cn/en/article/doi/10.11999/JEIT250769"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5714E379">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赵晨阳等人的研究则提供了进化算法（遗传编程）在特征构建中的应用案例</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"https://www.jsjkx.com/CN/abstract/abstract22998.shtml"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computerjournals.net/cn/simple_view_abstract.aspx?pcid=5B3AB970F71A803DEACDC0559115BFCF0A068CD97DD29835&amp;cid=8240383F08CE46C8B05036380D75B607&amp;jid=64A12D73428C8B8DBFB978D04DFEB3C1&amp;aid=EC9FC03D0DA0070C9C32D5B4F548F9BD&amp;yid=E6A891D2134F30C0&amp;vid=286FB2D22CF8D013&amp;iid=EC9FC03D0DA0070C9C32D5B4F548F9BD&amp;sid=E1D946F217E3B046&amp;eid=6A73B36E85DB0CE9&amp;referenced_num=0&amp;reference_num="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该研究的核心创新在于将特征构建转化为进化优化问题，通过遗传编程树结构实现特征的组合变换。代码层面，每棵遗传编程树由内部节点（运算符）和叶子节点（原始特征）构成，进化过程包括：初始化种群（随机生成树结构）、适应度评估（基于分类性能与工作量感知性能的多目标评价）、选择操作（锦标赛选择）、交叉操作（交换子树）、变异操作（替换子树节点）。研究在六个开源数据集上验证了EEF方法的有效性，结果显示该方法不仅能够提升原始模型在工作量感知场景下的性能，而且基于单一模型构建的特征同样能够提升其他类型模型的预测效果，体现了特征工程方法的泛化价值</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"https://www.jsjkx.com/CN/abstract/abstract22998.shtml"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w:t>
      </w:r>
    </w:p>
    <w:p w14:paraId="576776B1">
      <w:pPr>
        <w:pStyle w:val="3"/>
        <w:widowControl/>
        <w:numPr>
          <w:ilvl w:val="0"/>
          <w:numId w:val="3"/>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23" w:name="_Toc17894"/>
      <w:r>
        <w:rPr>
          <w:rFonts w:ascii="Times New Roman" w:eastAsia="黑体"/>
          <w:b w:val="0"/>
          <w:sz w:val="28"/>
        </w:rPr>
        <w:t>研究评述与本研究的切入点</w:t>
      </w:r>
      <w:bookmarkEnd w:id="23"/>
    </w:p>
    <w:p w14:paraId="3741470F">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综合上述文献分析，软件工作量估算领域的研究呈现出从传统参数化模型向数据驱动模型演进的整体趋势，但现有研究仍存在若干亟待突破的瓶颈。</w:t>
      </w:r>
    </w:p>
    <w:p w14:paraId="5E4FCD5C">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从理论层面审视，传统方法如COCOMO模型和功能点分析受限于线性假设与静态参数体系，在需求动态变化、技术快速迭代的现代软件开发环境中适应性不足。申晓宁等人的研究揭示，工作量不确定性是软件项目的本质特征，传统方法的确定性假设难以容纳这种内在波动性</w:t>
      </w:r>
      <w:r>
        <w:rPr>
          <w:rFonts w:ascii="Times New Roman" w:eastAsia="宋体"/>
          <w:color w:val="auto"/>
          <w:sz w:val="24"/>
        </w:rPr>
        <w:fldChar w:fldCharType="begin"/>
      </w:r>
      <w:r>
        <w:rPr>
          <w:rFonts w:ascii="Times New Roman" w:eastAsia="宋体"/>
          <w:color w:val="auto"/>
          <w:sz w:val="24"/>
        </w:rPr>
        <w:instrText xml:space="preserve"> HYPERLINK "https://jeit.ac.cn/cn/article/doi/10.11999/JEIT250769"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。从方法论层面，现有机器学习研究主要集中在算法层面的优化——郭育晨等人的研究揭示了模型评估方法的偏差问题</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"http://ntlib.org.cn/asset/search?key=O=%e8%a5%bf%e5%ae%89%e4%ba%a4%e9%80%9a%e5%a4%a7%e5%ad%a6%e8%ae%a1%e7%ae%97%e6%9c%ba%e7%a7%91%e5%ad%a6%e4%b8%8e%e6%8a%80%e6%9c%af%e5%ad%a6%e9%99%a2"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，赵晨阳等人的研究则从特征工程维度拓展了优化空间</w:t>
      </w:r>
      <w:r>
        <w:rPr>
          <w:rFonts w:ascii="Times New Roman" w:eastAsia="宋体"/>
          <w:color w:val="auto"/>
          <w:sz w:val="24"/>
        </w:rPr>
        <w:fldChar w:fldCharType="begin"/>
      </w:r>
      <w:r>
        <w:rPr>
          <w:rFonts w:ascii="Times New Roman" w:eastAsia="宋体"/>
          <w:color w:val="auto"/>
          <w:sz w:val="24"/>
        </w:rPr>
        <w:instrText xml:space="preserve"> HYPERLINK "https://www.jsjkx.com/CN/abstract/abstract22998.shtml"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。然而，这些研究多聚焦于单一技术环节的改进，缺乏从数据预处理、特征工程、模型构建到评估验证的完整方法论整合。</w:t>
      </w:r>
    </w:p>
    <w:p w14:paraId="36862421">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从实证研究层面，现有文献在数据来源上多依赖公开数据集，如赵晨阳等人使用六个开源项目数据</w:t>
      </w:r>
      <w:r>
        <w:rPr>
          <w:rFonts w:ascii="Times New Roman" w:eastAsia="宋体"/>
          <w:color w:val="auto"/>
          <w:sz w:val="24"/>
        </w:rPr>
        <w:fldChar w:fldCharType="begin"/>
      </w:r>
      <w:r>
        <w:rPr>
          <w:rFonts w:ascii="Times New Roman" w:eastAsia="宋体"/>
          <w:color w:val="auto"/>
          <w:sz w:val="24"/>
        </w:rPr>
        <w:instrText xml:space="preserve"> HYPERLINK "https://www.jsjkx.com/CN/abstract/abstract22998.shtml"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，申晓宁等人结合人工合成算例与真实项目实例</w:t>
      </w:r>
      <w:r>
        <w:rPr>
          <w:rFonts w:ascii="Times New Roman" w:eastAsia="宋体"/>
          <w:color w:val="auto"/>
          <w:sz w:val="24"/>
        </w:rPr>
        <w:fldChar w:fldCharType="begin"/>
      </w:r>
      <w:r>
        <w:rPr>
          <w:rFonts w:ascii="Times New Roman" w:eastAsia="宋体"/>
          <w:color w:val="auto"/>
          <w:sz w:val="24"/>
        </w:rPr>
        <w:instrText xml:space="preserve"> HYPERLINK "https://jeit.ac.cn/cn/article/doi/10.11999/JEIT250769" \l "citedby-info"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但不同研究的实验设置、评价指标、数据预处理方式存在差异，导致研究结论的可比性与可迁移性受限。特别是在特征选择方面，已有研究虽关注到特征构建的重要性，但尚未形成面向工作量估算场景的系统性特征筛选框架。</w:t>
      </w:r>
    </w:p>
    <w:p w14:paraId="5324DA6E">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基于上述评述，本研究确定以下切入点：第一，以公开的Promise Repository为核心数据源，建立标准化的数据预处理流程，确保研究的可复现性；第二，系统比较多元线性回归、决策树、随机森林、支持向量机等多类算法在同一数据集上的表现，规避单一算法或评估方法的偏差风险；第三，在特征工程环节，借鉴赵晨阳等人研究的启发</w:t>
      </w:r>
      <w:r>
        <w:rPr>
          <w:rFonts w:ascii="Times New Roman" w:eastAsia="宋体"/>
          <w:color w:val="auto"/>
          <w:sz w:val="24"/>
        </w:rPr>
        <w:fldChar w:fldCharType="begin"/>
      </w:r>
      <w:r>
        <w:rPr>
          <w:rFonts w:ascii="Times New Roman" w:eastAsia="宋体"/>
          <w:color w:val="auto"/>
          <w:sz w:val="24"/>
        </w:rPr>
        <w:instrText xml:space="preserve"> HYPERLINK "https://www.jsjkx.com/CN/abstract/abstract22998.shtml"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，深入分析不同特征组合对估算精度的影响机制；第四，在模型评估环节，采纳郭育晨等人的研究发现</w:t>
      </w:r>
      <w:r>
        <w:rPr>
          <w:rFonts w:ascii="Times New Roman" w:eastAsia="宋体"/>
          <w:color w:val="auto"/>
          <w:sz w:val="24"/>
        </w:rPr>
        <w:fldChar w:fldCharType="begin"/>
      </w:r>
      <w:r>
        <w:rPr>
          <w:rFonts w:ascii="Times New Roman" w:eastAsia="宋体"/>
          <w:color w:val="auto"/>
          <w:sz w:val="24"/>
        </w:rPr>
        <w:instrText xml:space="preserve"> HYPERLINK "http://ntlib.org.cn/asset/search?key=O=%e8%a5%bf%e5%ae%89%e4%ba%a4%e9%80%9a%e5%a4%a7%e5%ad%a6%e8%ae%a1%e7%ae%97%e6%9c%ba%e7%a7%91%e5%ad%a6%e4%b8%8e%e6%8a%80%e6%9c%af%e5%ad%a6%e9%99%a2"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采用多种评估指标（MAE、RMSE、MMRE、Pred）并关注评估方法对结果的潜在影响，确保结论的稳健性。通过上述设计，本研究旨在为机器学习在软件工作量估算中的应用提供兼具理论深度与实践参考价值的系统探索。</w:t>
      </w:r>
    </w:p>
    <w:p w14:paraId="47DCA300">
      <w:pPr>
        <w:pStyle w:val="2"/>
        <w:snapToGrid/>
        <w:spacing w:before="0" w:beforeAutospacing="0" w:afterAutospacing="0" w:line="600" w:lineRule="auto"/>
        <w:ind w:left="0" w:leftChars="0" w:right="0" w:rightChars="0" w:firstLine="0" w:firstLineChars="0"/>
        <w:jc w:val="left"/>
        <w:outlineLvl w:val="0"/>
        <w:rPr>
          <w:rFonts w:ascii="Times New Roman" w:eastAsia="黑体"/>
          <w:b w:val="0"/>
          <w:color w:val="auto"/>
          <w:sz w:val="30"/>
        </w:rPr>
      </w:pPr>
      <w:bookmarkStart w:id="24" w:name="_Toc20517"/>
      <w:r>
        <w:rPr>
          <w:rFonts w:hint="eastAsia" w:ascii="Times New Roman" w:eastAsia="黑体"/>
          <w:b w:val="0"/>
          <w:color w:val="auto"/>
          <w:sz w:val="30"/>
        </w:rPr>
        <w:t>3.</w:t>
      </w:r>
      <w:r>
        <w:rPr>
          <w:rFonts w:ascii="Times New Roman" w:eastAsia="黑体"/>
          <w:b w:val="0"/>
          <w:color w:val="auto"/>
          <w:sz w:val="30"/>
        </w:rPr>
        <w:t>研究设计与数据准备</w:t>
      </w:r>
      <w:bookmarkEnd w:id="24"/>
    </w:p>
    <w:p w14:paraId="76660632">
      <w:pPr>
        <w:pStyle w:val="3"/>
        <w:snapToGrid/>
        <w:spacing w:before="0" w:beforeAutospacing="0" w:afterAutospacing="0" w:line="480" w:lineRule="auto"/>
        <w:ind w:left="495" w:leftChars="0" w:right="0" w:rightChars="0" w:hanging="495" w:firstLineChars="0"/>
        <w:jc w:val="left"/>
        <w:outlineLvl w:val="1"/>
        <w:rPr>
          <w:rFonts w:ascii="Times New Roman" w:eastAsia="黑体"/>
          <w:b w:val="0"/>
          <w:color w:val="auto"/>
          <w:sz w:val="28"/>
        </w:rPr>
      </w:pPr>
      <w:bookmarkStart w:id="25" w:name="_Toc28453"/>
      <w:r>
        <w:rPr>
          <w:rStyle w:val="29"/>
          <w:rFonts w:ascii="Times New Roman" w:hAnsi="Segoe UI" w:eastAsia="黑体" w:cs="Segoe UI"/>
          <w:b w:val="0"/>
          <w:bCs/>
          <w:color w:val="auto"/>
          <w:sz w:val="28"/>
          <w:szCs w:val="19"/>
          <w:shd w:val="clear" w:color="auto" w:fill="FFFFFF"/>
        </w:rPr>
        <w:t>3.1 研究框架与技术路线</w:t>
      </w:r>
      <w:bookmarkEnd w:id="25"/>
    </w:p>
    <w:p w14:paraId="4308AC24">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本研究遵循“理论铺垫—数据准备—模型构建—实证验证—成果输出”的逻辑主线，构建系统化的研究框架。在理论铺垫阶段，通过文献研究梳理传统估算方法的核心原理与局限，总结机器学习在软件工作量估算领域的研究现状，明确各类算法的适用场景与技术优势。在数据准备阶段，以公开的Promise Repository为核心数据源，完成数据采集、清洗、特征工程与数据集划分，形成适用于模型训练的标准数据集。在模型构建阶段，基于Python编程语言及Scikit-learn等机器学习库，实现多元线性回归、决策树、随机森林、支持向量机等多类估算模型的搭建，明确各模型的核心参数设置范围。在实证验证阶段，将数据集划分为训练集与测试集，通过网格搜索与交叉验证进行模型参数调优，采用平均绝对误差（MAE）、均方根误差（RMSE）、MMRE、Pred等指标对各模型性能进行定量评估与对比分析，探究特征选择策略与参数调优对估算精度的影响机制。在成果输出阶段，基于实证分析结果提炼不同机器学习方法的优劣特性与适用场景，设计面向软件开发实践的数据驱动型工作量估算辅助方案，并总结研究结论与未来展望。</w:t>
      </w:r>
    </w:p>
    <w:tbl>
      <w:tblPr>
        <w:tblStyle w:val="26"/>
        <w:tblW w:w="9150" w:type="dxa"/>
        <w:jc w:val="center"/>
        <w:tblLayout w:type="autofit"/>
        <w:tblCellMar>
          <w:top w:w="15" w:type="dxa"/>
          <w:left w:w="15" w:type="dxa"/>
          <w:bottom w:w="15" w:type="dxa"/>
          <w:right w:w="15" w:type="dxa"/>
        </w:tblCellMar>
      </w:tblPr>
      <w:tblGrid>
        <w:gridCol w:w="978"/>
        <w:gridCol w:w="2331"/>
        <w:gridCol w:w="3697"/>
        <w:gridCol w:w="2144"/>
      </w:tblGrid>
      <w:tr w14:paraId="77A9C74E">
        <w:tblPrEx>
          <w:tblCellMar>
            <w:top w:w="15" w:type="dxa"/>
            <w:left w:w="15" w:type="dxa"/>
            <w:bottom w:w="15" w:type="dxa"/>
            <w:right w:w="15" w:type="dxa"/>
          </w:tblCellMar>
        </w:tblPrEx>
        <w:trPr>
          <w:tblHeader/>
          <w:jc w:val="center"/>
        </w:trPr>
        <w:tc>
          <w:tcPr>
            <w:tcW w:w="979" w:type="dxa"/>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3EC0C435">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研究阶段</w:t>
            </w:r>
          </w:p>
        </w:tc>
        <w:tc>
          <w:tcPr>
            <w:tcW w:w="2331"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04340B0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核心任务</w:t>
            </w:r>
          </w:p>
        </w:tc>
        <w:tc>
          <w:tcPr>
            <w:tcW w:w="3697"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5B9718D4">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关键方法与技术</w:t>
            </w:r>
          </w:p>
        </w:tc>
        <w:tc>
          <w:tcPr>
            <w:tcW w:w="2144"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4EA05355">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预期产出</w:t>
            </w:r>
          </w:p>
        </w:tc>
      </w:tr>
      <w:tr w14:paraId="319DCCDB">
        <w:tblPrEx>
          <w:tblCellMar>
            <w:top w:w="15" w:type="dxa"/>
            <w:left w:w="15" w:type="dxa"/>
            <w:bottom w:w="15" w:type="dxa"/>
            <w:right w:w="15" w:type="dxa"/>
          </w:tblCellMar>
        </w:tblPrEx>
        <w:trPr>
          <w:jc w:val="center"/>
        </w:trPr>
        <w:tc>
          <w:tcPr>
            <w:tcW w:w="979" w:type="dxa"/>
            <w:tcBorders>
              <w:top w:val="single" w:color="auto" w:sz="4" w:space="0"/>
              <w:left w:val="nil"/>
              <w:bottom w:val="nil"/>
              <w:right w:val="nil"/>
            </w:tcBorders>
            <w:shd w:val="clear" w:color="auto" w:fill="auto"/>
            <w:tcMar>
              <w:top w:w="120" w:type="dxa"/>
              <w:left w:w="-1" w:type="dxa"/>
              <w:bottom w:w="120" w:type="dxa"/>
              <w:right w:w="192" w:type="dxa"/>
            </w:tcMar>
            <w:vAlign w:val="center"/>
          </w:tcPr>
          <w:p w14:paraId="474FFCF6">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理论铺垫</w:t>
            </w:r>
          </w:p>
        </w:tc>
        <w:tc>
          <w:tcPr>
            <w:tcW w:w="2331"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2A84C7F">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梳理传统方法与机器学习研究现状</w:t>
            </w:r>
          </w:p>
        </w:tc>
        <w:tc>
          <w:tcPr>
            <w:tcW w:w="3697"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D8B89E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文献研究、归纳对比</w:t>
            </w:r>
          </w:p>
        </w:tc>
        <w:tc>
          <w:tcPr>
            <w:tcW w:w="2144"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1D35BCE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理论分析框架、研究切入点</w:t>
            </w:r>
          </w:p>
        </w:tc>
      </w:tr>
      <w:tr w14:paraId="50645298">
        <w:tblPrEx>
          <w:tblCellMar>
            <w:top w:w="15" w:type="dxa"/>
            <w:left w:w="15" w:type="dxa"/>
            <w:bottom w:w="15" w:type="dxa"/>
            <w:right w:w="15" w:type="dxa"/>
          </w:tblCellMar>
        </w:tblPrEx>
        <w:trPr>
          <w:jc w:val="center"/>
        </w:trPr>
        <w:tc>
          <w:tcPr>
            <w:tcW w:w="979" w:type="dxa"/>
            <w:tcBorders>
              <w:top w:val="nil"/>
              <w:left w:val="nil"/>
              <w:bottom w:val="nil"/>
              <w:right w:val="nil"/>
            </w:tcBorders>
            <w:shd w:val="clear" w:color="auto" w:fill="auto"/>
            <w:tcMar>
              <w:top w:w="120" w:type="dxa"/>
              <w:left w:w="-1" w:type="dxa"/>
              <w:bottom w:w="120" w:type="dxa"/>
              <w:right w:w="192" w:type="dxa"/>
            </w:tcMar>
            <w:vAlign w:val="center"/>
          </w:tcPr>
          <w:p w14:paraId="0DC8B19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数据准备</w:t>
            </w:r>
          </w:p>
        </w:tc>
        <w:tc>
          <w:tcPr>
            <w:tcW w:w="2331" w:type="dxa"/>
            <w:tcBorders>
              <w:top w:val="nil"/>
              <w:left w:val="nil"/>
              <w:bottom w:val="nil"/>
              <w:right w:val="nil"/>
            </w:tcBorders>
            <w:shd w:val="clear" w:color="auto" w:fill="auto"/>
            <w:tcMar>
              <w:top w:w="120" w:type="dxa"/>
              <w:left w:w="192" w:type="dxa"/>
              <w:bottom w:w="120" w:type="dxa"/>
              <w:right w:w="192" w:type="dxa"/>
            </w:tcMar>
            <w:vAlign w:val="center"/>
          </w:tcPr>
          <w:p w14:paraId="6751EB5C">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数据采集、清洗、特征工程</w:t>
            </w:r>
          </w:p>
        </w:tc>
        <w:tc>
          <w:tcPr>
            <w:tcW w:w="3697" w:type="dxa"/>
            <w:tcBorders>
              <w:top w:val="nil"/>
              <w:left w:val="nil"/>
              <w:bottom w:val="nil"/>
              <w:right w:val="nil"/>
            </w:tcBorders>
            <w:shd w:val="clear" w:color="auto" w:fill="auto"/>
            <w:tcMar>
              <w:top w:w="120" w:type="dxa"/>
              <w:left w:w="192" w:type="dxa"/>
              <w:bottom w:w="120" w:type="dxa"/>
              <w:right w:w="192" w:type="dxa"/>
            </w:tcMar>
            <w:vAlign w:val="center"/>
          </w:tcPr>
          <w:p w14:paraId="4CBF0BC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Promise Repository、Pandas、特征选择</w:t>
            </w:r>
          </w:p>
        </w:tc>
        <w:tc>
          <w:tcPr>
            <w:tcW w:w="2144" w:type="dxa"/>
            <w:tcBorders>
              <w:top w:val="nil"/>
              <w:left w:val="nil"/>
              <w:bottom w:val="nil"/>
              <w:right w:val="nil"/>
            </w:tcBorders>
            <w:shd w:val="clear" w:color="auto" w:fill="auto"/>
            <w:tcMar>
              <w:top w:w="120" w:type="dxa"/>
              <w:left w:w="192" w:type="dxa"/>
              <w:bottom w:w="120" w:type="dxa"/>
              <w:right w:w="-1" w:type="dxa"/>
            </w:tcMar>
            <w:vAlign w:val="center"/>
          </w:tcPr>
          <w:p w14:paraId="5833A59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标准化数据集</w:t>
            </w:r>
          </w:p>
        </w:tc>
      </w:tr>
      <w:tr w14:paraId="3094D323">
        <w:tblPrEx>
          <w:tblCellMar>
            <w:top w:w="15" w:type="dxa"/>
            <w:left w:w="15" w:type="dxa"/>
            <w:bottom w:w="15" w:type="dxa"/>
            <w:right w:w="15" w:type="dxa"/>
          </w:tblCellMar>
        </w:tblPrEx>
        <w:trPr>
          <w:jc w:val="center"/>
        </w:trPr>
        <w:tc>
          <w:tcPr>
            <w:tcW w:w="979" w:type="dxa"/>
            <w:tcBorders>
              <w:top w:val="nil"/>
              <w:left w:val="nil"/>
              <w:bottom w:val="nil"/>
              <w:right w:val="nil"/>
            </w:tcBorders>
            <w:shd w:val="clear" w:color="auto" w:fill="auto"/>
            <w:tcMar>
              <w:top w:w="120" w:type="dxa"/>
              <w:left w:w="-1" w:type="dxa"/>
              <w:bottom w:w="120" w:type="dxa"/>
              <w:right w:w="192" w:type="dxa"/>
            </w:tcMar>
            <w:vAlign w:val="center"/>
          </w:tcPr>
          <w:p w14:paraId="33C168A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模型构建</w:t>
            </w:r>
          </w:p>
        </w:tc>
        <w:tc>
          <w:tcPr>
            <w:tcW w:w="2331" w:type="dxa"/>
            <w:tcBorders>
              <w:top w:val="nil"/>
              <w:left w:val="nil"/>
              <w:bottom w:val="nil"/>
              <w:right w:val="nil"/>
            </w:tcBorders>
            <w:shd w:val="clear" w:color="auto" w:fill="auto"/>
            <w:tcMar>
              <w:top w:w="120" w:type="dxa"/>
              <w:left w:w="192" w:type="dxa"/>
              <w:bottom w:w="120" w:type="dxa"/>
              <w:right w:w="192" w:type="dxa"/>
            </w:tcMar>
            <w:vAlign w:val="center"/>
          </w:tcPr>
          <w:p w14:paraId="1DD8F44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实现多类估算模型</w:t>
            </w:r>
          </w:p>
        </w:tc>
        <w:tc>
          <w:tcPr>
            <w:tcW w:w="3697" w:type="dxa"/>
            <w:tcBorders>
              <w:top w:val="nil"/>
              <w:left w:val="nil"/>
              <w:bottom w:val="nil"/>
              <w:right w:val="nil"/>
            </w:tcBorders>
            <w:shd w:val="clear" w:color="auto" w:fill="auto"/>
            <w:tcMar>
              <w:top w:w="120" w:type="dxa"/>
              <w:left w:w="192" w:type="dxa"/>
              <w:bottom w:w="120" w:type="dxa"/>
              <w:right w:w="192" w:type="dxa"/>
            </w:tcMar>
            <w:vAlign w:val="center"/>
          </w:tcPr>
          <w:p w14:paraId="271F722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Python、Scikit-learn、回归/决策树/随机森林/SVM</w:t>
            </w:r>
          </w:p>
        </w:tc>
        <w:tc>
          <w:tcPr>
            <w:tcW w:w="2144" w:type="dxa"/>
            <w:tcBorders>
              <w:top w:val="nil"/>
              <w:left w:val="nil"/>
              <w:bottom w:val="nil"/>
              <w:right w:val="nil"/>
            </w:tcBorders>
            <w:shd w:val="clear" w:color="auto" w:fill="auto"/>
            <w:tcMar>
              <w:top w:w="120" w:type="dxa"/>
              <w:left w:w="192" w:type="dxa"/>
              <w:bottom w:w="120" w:type="dxa"/>
              <w:right w:w="-1" w:type="dxa"/>
            </w:tcMar>
            <w:vAlign w:val="center"/>
          </w:tcPr>
          <w:p w14:paraId="7C6B046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可训练的模型实例</w:t>
            </w:r>
          </w:p>
        </w:tc>
      </w:tr>
      <w:tr w14:paraId="122CCB29">
        <w:tblPrEx>
          <w:tblCellMar>
            <w:top w:w="15" w:type="dxa"/>
            <w:left w:w="15" w:type="dxa"/>
            <w:bottom w:w="15" w:type="dxa"/>
            <w:right w:w="15" w:type="dxa"/>
          </w:tblCellMar>
        </w:tblPrEx>
        <w:trPr>
          <w:jc w:val="center"/>
        </w:trPr>
        <w:tc>
          <w:tcPr>
            <w:tcW w:w="979" w:type="dxa"/>
            <w:tcBorders>
              <w:top w:val="nil"/>
              <w:left w:val="nil"/>
              <w:bottom w:val="nil"/>
              <w:right w:val="nil"/>
            </w:tcBorders>
            <w:shd w:val="clear" w:color="auto" w:fill="auto"/>
            <w:tcMar>
              <w:top w:w="120" w:type="dxa"/>
              <w:left w:w="-1" w:type="dxa"/>
              <w:bottom w:w="120" w:type="dxa"/>
              <w:right w:w="192" w:type="dxa"/>
            </w:tcMar>
            <w:vAlign w:val="center"/>
          </w:tcPr>
          <w:p w14:paraId="5874B8F6">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实证验证</w:t>
            </w:r>
          </w:p>
        </w:tc>
        <w:tc>
          <w:tcPr>
            <w:tcW w:w="2331" w:type="dxa"/>
            <w:tcBorders>
              <w:top w:val="nil"/>
              <w:left w:val="nil"/>
              <w:bottom w:val="nil"/>
              <w:right w:val="nil"/>
            </w:tcBorders>
            <w:shd w:val="clear" w:color="auto" w:fill="auto"/>
            <w:tcMar>
              <w:top w:w="120" w:type="dxa"/>
              <w:left w:w="192" w:type="dxa"/>
              <w:bottom w:w="120" w:type="dxa"/>
              <w:right w:w="192" w:type="dxa"/>
            </w:tcMar>
            <w:vAlign w:val="center"/>
          </w:tcPr>
          <w:p w14:paraId="10E887A4">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模型训练、调优、性能对比</w:t>
            </w:r>
          </w:p>
        </w:tc>
        <w:tc>
          <w:tcPr>
            <w:tcW w:w="3697" w:type="dxa"/>
            <w:tcBorders>
              <w:top w:val="nil"/>
              <w:left w:val="nil"/>
              <w:bottom w:val="nil"/>
              <w:right w:val="nil"/>
            </w:tcBorders>
            <w:shd w:val="clear" w:color="auto" w:fill="auto"/>
            <w:tcMar>
              <w:top w:w="120" w:type="dxa"/>
              <w:left w:w="192" w:type="dxa"/>
              <w:bottom w:w="120" w:type="dxa"/>
              <w:right w:w="192" w:type="dxa"/>
            </w:tcMar>
            <w:vAlign w:val="center"/>
          </w:tcPr>
          <w:p w14:paraId="43A862F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网格搜索、交叉验证、MAE/RMSE/MMRE/Pred</w:t>
            </w:r>
          </w:p>
        </w:tc>
        <w:tc>
          <w:tcPr>
            <w:tcW w:w="2144" w:type="dxa"/>
            <w:tcBorders>
              <w:top w:val="nil"/>
              <w:left w:val="nil"/>
              <w:bottom w:val="nil"/>
              <w:right w:val="nil"/>
            </w:tcBorders>
            <w:shd w:val="clear" w:color="auto" w:fill="auto"/>
            <w:tcMar>
              <w:top w:w="120" w:type="dxa"/>
              <w:left w:w="192" w:type="dxa"/>
              <w:bottom w:w="120" w:type="dxa"/>
              <w:right w:w="-1" w:type="dxa"/>
            </w:tcMar>
            <w:vAlign w:val="center"/>
          </w:tcPr>
          <w:p w14:paraId="2DEA5788">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模型性能评估报告、最优模型方案</w:t>
            </w:r>
          </w:p>
        </w:tc>
      </w:tr>
      <w:tr w14:paraId="60E7E32D">
        <w:tblPrEx>
          <w:tblCellMar>
            <w:top w:w="15" w:type="dxa"/>
            <w:left w:w="15" w:type="dxa"/>
            <w:bottom w:w="15" w:type="dxa"/>
            <w:right w:w="15" w:type="dxa"/>
          </w:tblCellMar>
        </w:tblPrEx>
        <w:trPr>
          <w:jc w:val="center"/>
        </w:trPr>
        <w:tc>
          <w:tcPr>
            <w:tcW w:w="979"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5B7A93B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成果输出</w:t>
            </w:r>
          </w:p>
        </w:tc>
        <w:tc>
          <w:tcPr>
            <w:tcW w:w="2331"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08810F86">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方案设计与研究总结</w:t>
            </w:r>
          </w:p>
        </w:tc>
        <w:tc>
          <w:tcPr>
            <w:tcW w:w="3697"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5A3D44D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案例应用、归纳总结</w:t>
            </w:r>
          </w:p>
        </w:tc>
        <w:tc>
          <w:tcPr>
            <w:tcW w:w="2144"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7B860E84">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工作量估算辅助方案、论文</w:t>
            </w:r>
          </w:p>
        </w:tc>
      </w:tr>
    </w:tbl>
    <w:p w14:paraId="3B030DB0">
      <w:pPr>
        <w:pStyle w:val="3"/>
        <w:widowControl/>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26" w:name="_Toc27360"/>
      <w:r>
        <w:rPr>
          <w:rFonts w:hint="eastAsia" w:ascii="Times New Roman" w:eastAsia="黑体"/>
          <w:b w:val="0"/>
          <w:sz w:val="28"/>
        </w:rPr>
        <w:t>3.2</w:t>
      </w:r>
      <w:r>
        <w:rPr>
          <w:rFonts w:ascii="Times New Roman" w:eastAsia="黑体"/>
          <w:b w:val="0"/>
          <w:sz w:val="28"/>
        </w:rPr>
        <w:t>数据来源与采集</w:t>
      </w:r>
      <w:bookmarkEnd w:id="26"/>
    </w:p>
    <w:p w14:paraId="7F30F8B1">
      <w:pPr>
        <w:pStyle w:val="4"/>
        <w:widowControl/>
        <w:numPr>
          <w:ilvl w:val="0"/>
          <w:numId w:val="6"/>
        </w:numPr>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27" w:name="_Toc30632"/>
      <w:r>
        <w:rPr>
          <w:rFonts w:ascii="Times New Roman" w:eastAsia="宋体"/>
          <w:b/>
          <w:sz w:val="24"/>
        </w:rPr>
        <w:t>Promise Repository简介</w:t>
      </w:r>
      <w:bookmarkEnd w:id="27"/>
    </w:p>
    <w:p w14:paraId="14C1A3C0">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Promise Repository（预测模型软件工程库）是由加拿大国家研究委员会联合多所高校共同维护的公开软件工程数据集仓库，是软件工程数据挖掘领域最具权威性和影响力的数据源之一。该仓库收录了来自全球学术界与工业界的数百个软件项目数据，涵盖软件工作量估算、缺陷预测、维护成本评估等多个研究方向。Promise Repository的核心优势在于其数据的标准化与可复现性——所有数据集均采用统一的格式发布，并附有详细的属性说明与引用规范，为研究者开展跨研究对比提供了坚实基础。在软件工作量估算领域，Promise Repository收录了包括COCOMO、NASA、Desharnais等多个经典数据集，这些数据集已在大量研究中被验证和使用，为本研究提供了可靠的数据基础与横向对比的参考依据。</w:t>
      </w:r>
    </w:p>
    <w:tbl>
      <w:tblPr>
        <w:tblStyle w:val="26"/>
        <w:tblW w:w="9150" w:type="dxa"/>
        <w:jc w:val="center"/>
        <w:tblLayout w:type="autofit"/>
        <w:tblCellMar>
          <w:top w:w="15" w:type="dxa"/>
          <w:left w:w="15" w:type="dxa"/>
          <w:bottom w:w="15" w:type="dxa"/>
          <w:right w:w="15" w:type="dxa"/>
        </w:tblCellMar>
      </w:tblPr>
      <w:tblGrid>
        <w:gridCol w:w="1146"/>
        <w:gridCol w:w="1188"/>
        <w:gridCol w:w="2324"/>
        <w:gridCol w:w="2675"/>
        <w:gridCol w:w="1817"/>
      </w:tblGrid>
      <w:tr w14:paraId="1C0E3D00">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63B3C38E">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数据集名称</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02621161">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数据规模</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07417435">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主要属性</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513D10C">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应用场景</w:t>
            </w:r>
          </w:p>
        </w:tc>
        <w:tc>
          <w:tcPr>
            <w:tcW w:w="1820"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447A83F">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相关研究</w:t>
            </w:r>
          </w:p>
        </w:tc>
      </w:tr>
      <w:tr w14:paraId="51908F9E">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6946E0BF">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COCOMO</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5F28DE9E">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63个项目</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3DF14E6E">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规模、模式、成本驱动因子</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D5AB58A">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传统COCOMO模型校准与验证</w:t>
            </w:r>
          </w:p>
        </w:tc>
        <w:tc>
          <w:tcPr>
            <w:tcW w:w="1820"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4BF35855">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参数化估算、回归分析</w:t>
            </w:r>
          </w:p>
        </w:tc>
      </w:tr>
      <w:tr w14:paraId="21777A12">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31E278F7">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NASA</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8476A08">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93个项目</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6BB87A1">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规模、缺陷数、工作量</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34EF359">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航天软件项目工作量预测</w:t>
            </w:r>
          </w:p>
        </w:tc>
        <w:tc>
          <w:tcPr>
            <w:tcW w:w="1820" w:type="dxa"/>
            <w:tcBorders>
              <w:top w:val="nil"/>
              <w:left w:val="nil"/>
              <w:bottom w:val="nil"/>
              <w:right w:val="nil"/>
            </w:tcBorders>
            <w:shd w:val="clear" w:color="auto" w:fill="auto"/>
            <w:tcMar>
              <w:top w:w="120" w:type="dxa"/>
              <w:left w:w="192" w:type="dxa"/>
              <w:bottom w:w="120" w:type="dxa"/>
              <w:right w:w="-1" w:type="dxa"/>
            </w:tcMar>
            <w:vAlign w:val="center"/>
          </w:tcPr>
          <w:p w14:paraId="26DA583A">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机器学习模型对比</w:t>
            </w:r>
          </w:p>
        </w:tc>
      </w:tr>
      <w:tr w14:paraId="01A4DEF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7F92C593">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Desharnais</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CB28BB8">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81个项目</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8A6DA4D">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功能点、团队经验、工作量</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4118840">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商业软件开发项目估算</w:t>
            </w:r>
          </w:p>
        </w:tc>
        <w:tc>
          <w:tcPr>
            <w:tcW w:w="1820" w:type="dxa"/>
            <w:tcBorders>
              <w:top w:val="nil"/>
              <w:left w:val="nil"/>
              <w:bottom w:val="nil"/>
              <w:right w:val="nil"/>
            </w:tcBorders>
            <w:shd w:val="clear" w:color="auto" w:fill="auto"/>
            <w:tcMar>
              <w:top w:w="120" w:type="dxa"/>
              <w:left w:w="192" w:type="dxa"/>
              <w:bottom w:w="120" w:type="dxa"/>
              <w:right w:w="-1" w:type="dxa"/>
            </w:tcMar>
            <w:vAlign w:val="center"/>
          </w:tcPr>
          <w:p w14:paraId="4FA4D5A4">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回归分析、特征工程</w:t>
            </w:r>
          </w:p>
        </w:tc>
      </w:tr>
      <w:tr w14:paraId="396519F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2D0AF3F7">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Maxwell</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183E07BA">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62个项目</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1EBB2401">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规模、复杂度、开发环境</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C6109C1">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银行系统项目工作量预测</w:t>
            </w:r>
          </w:p>
        </w:tc>
        <w:tc>
          <w:tcPr>
            <w:tcW w:w="1820" w:type="dxa"/>
            <w:tcBorders>
              <w:top w:val="nil"/>
              <w:left w:val="nil"/>
              <w:bottom w:val="nil"/>
              <w:right w:val="nil"/>
            </w:tcBorders>
            <w:shd w:val="clear" w:color="auto" w:fill="auto"/>
            <w:tcMar>
              <w:top w:w="120" w:type="dxa"/>
              <w:left w:w="192" w:type="dxa"/>
              <w:bottom w:w="120" w:type="dxa"/>
              <w:right w:w="-1" w:type="dxa"/>
            </w:tcMar>
            <w:vAlign w:val="center"/>
          </w:tcPr>
          <w:p w14:paraId="01BFE29C">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分类与回归模型</w:t>
            </w:r>
          </w:p>
        </w:tc>
      </w:tr>
      <w:tr w14:paraId="21C39B56">
        <w:tblPrEx>
          <w:tblCellMar>
            <w:top w:w="15" w:type="dxa"/>
            <w:left w:w="15" w:type="dxa"/>
            <w:bottom w:w="15" w:type="dxa"/>
            <w:right w:w="15" w:type="dxa"/>
          </w:tblCellMar>
        </w:tblPrEx>
        <w:trPr>
          <w:jc w:val="center"/>
        </w:trPr>
        <w:tc>
          <w:tcPr>
            <w:tcW w:w="1131"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76A18C54">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Kitchenham</w:t>
            </w:r>
          </w:p>
        </w:tc>
        <w:tc>
          <w:tcPr>
            <w:tcW w:w="1190"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E917425">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145个项目</w:t>
            </w:r>
          </w:p>
        </w:tc>
        <w:tc>
          <w:tcPr>
            <w:tcW w:w="2329"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1D216C36">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规模、语言类型、工作量</w:t>
            </w:r>
          </w:p>
        </w:tc>
        <w:tc>
          <w:tcPr>
            <w:tcW w:w="2680"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6411302">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跨组织项目估算研究</w:t>
            </w:r>
          </w:p>
        </w:tc>
        <w:tc>
          <w:tcPr>
            <w:tcW w:w="1820"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298300D4">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元分析、模型泛化能力</w:t>
            </w:r>
          </w:p>
        </w:tc>
      </w:tr>
    </w:tbl>
    <w:p w14:paraId="682AEF4E">
      <w:pPr>
        <w:pStyle w:val="4"/>
        <w:widowControl/>
        <w:numPr>
          <w:ilvl w:val="0"/>
          <w:numId w:val="6"/>
        </w:numPr>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28" w:name="_Toc29395"/>
      <w:r>
        <w:rPr>
          <w:rFonts w:ascii="Times New Roman" w:eastAsia="宋体"/>
          <w:b/>
          <w:sz w:val="24"/>
        </w:rPr>
        <w:t>数据采集范围与属性说明</w:t>
      </w:r>
      <w:bookmarkEnd w:id="28"/>
    </w:p>
    <w:p w14:paraId="522B84F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本研究以Promise Repository中的多个经典数据集为核心数据来源，综合考虑数据完整性、属性丰富度与研究适配性，重点采集COCOMO、NASA、Desharnais三个数据集，形成涵盖不同类型软件项目的研究样本库。COCOMO数据集包含63个历史项目的规模数据（以千行代码数KLoC度量）、开发模式（有机型、半分离型、嵌入型）及15项成本驱动因子，适用于传统参数化模型的基准对比。NASA数据集收录了93个航天软件项目的详细数据，包括代码规模、缺陷密度、开发工作量等核心属性，代表了高可靠性要求领域的项目特征。Desharnais数据集包含81个商业软件开发项目，提供了功能点计数、团队规模、开发环境、经验水平及实际工作量等多维属性，适用于探究特征组合对估算精度的影响。</w:t>
      </w:r>
    </w:p>
    <w:p w14:paraId="6A98B45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从属性维度来看，本研究重点关注三类核心特征：规模度量（包括代码行数、功能点计数、对象点数等）、复杂度指标（包括算法复杂度、数据复杂度、接口复杂度等）以及环境因素（包括团队经验、开发工具、过程成熟度等）。工作量目标变量统一采用人月或人时作为计量单位，确保不同项目之间的可比性。在数据采集过程中，将剔除属性缺失严重的数据条目，对数据格式进行标准化处理，并记录各数据集的原始分布特征，为后续数据预处理提供依据。</w:t>
      </w:r>
    </w:p>
    <w:tbl>
      <w:tblPr>
        <w:tblStyle w:val="26"/>
        <w:tblW w:w="9150" w:type="dxa"/>
        <w:jc w:val="center"/>
        <w:tblLayout w:type="autofit"/>
        <w:tblCellMar>
          <w:top w:w="15" w:type="dxa"/>
          <w:left w:w="15" w:type="dxa"/>
          <w:bottom w:w="15" w:type="dxa"/>
          <w:right w:w="15" w:type="dxa"/>
        </w:tblCellMar>
      </w:tblPr>
      <w:tblGrid>
        <w:gridCol w:w="1159"/>
        <w:gridCol w:w="2094"/>
        <w:gridCol w:w="2872"/>
        <w:gridCol w:w="1146"/>
        <w:gridCol w:w="1879"/>
      </w:tblGrid>
      <w:tr w14:paraId="798FB377">
        <w:tblPrEx>
          <w:tblCellMar>
            <w:top w:w="15" w:type="dxa"/>
            <w:left w:w="15" w:type="dxa"/>
            <w:bottom w:w="15" w:type="dxa"/>
            <w:right w:w="15" w:type="dxa"/>
          </w:tblCellMar>
        </w:tblPrEx>
        <w:trPr>
          <w:tblHeader/>
          <w:jc w:val="center"/>
        </w:trPr>
        <w:tc>
          <w:tcPr>
            <w:tcW w:w="1159" w:type="dxa"/>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7F4B9225">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属性类别</w:t>
            </w:r>
          </w:p>
        </w:tc>
        <w:tc>
          <w:tcPr>
            <w:tcW w:w="2094"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1329127">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属性名称</w:t>
            </w:r>
          </w:p>
        </w:tc>
        <w:tc>
          <w:tcPr>
            <w:tcW w:w="2872"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5BF73472">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属性描述</w:t>
            </w:r>
          </w:p>
        </w:tc>
        <w:tc>
          <w:tcPr>
            <w:tcW w:w="1146"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5A3EADB">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数据类型</w:t>
            </w:r>
          </w:p>
        </w:tc>
        <w:tc>
          <w:tcPr>
            <w:tcW w:w="1878"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6C75AD8C">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来源数据集</w:t>
            </w:r>
          </w:p>
        </w:tc>
      </w:tr>
      <w:tr w14:paraId="35DA2911">
        <w:tblPrEx>
          <w:tblCellMar>
            <w:top w:w="15" w:type="dxa"/>
            <w:left w:w="15" w:type="dxa"/>
            <w:bottom w:w="15" w:type="dxa"/>
            <w:right w:w="15" w:type="dxa"/>
          </w:tblCellMar>
        </w:tblPrEx>
        <w:trPr>
          <w:jc w:val="center"/>
        </w:trPr>
        <w:tc>
          <w:tcPr>
            <w:tcW w:w="1159" w:type="dxa"/>
            <w:tcBorders>
              <w:top w:val="single" w:color="auto" w:sz="4" w:space="0"/>
              <w:left w:val="nil"/>
              <w:bottom w:val="nil"/>
              <w:right w:val="nil"/>
            </w:tcBorders>
            <w:shd w:val="clear" w:color="auto" w:fill="auto"/>
            <w:tcMar>
              <w:top w:w="120" w:type="dxa"/>
              <w:left w:w="-1" w:type="dxa"/>
              <w:bottom w:w="120" w:type="dxa"/>
              <w:right w:w="192" w:type="dxa"/>
            </w:tcMar>
            <w:vAlign w:val="center"/>
          </w:tcPr>
          <w:p w14:paraId="18E4D3BE">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规模度量</w:t>
            </w:r>
          </w:p>
        </w:tc>
        <w:tc>
          <w:tcPr>
            <w:tcW w:w="2094"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1D9BEF13">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KLoC</w:t>
            </w:r>
          </w:p>
        </w:tc>
        <w:tc>
          <w:tcPr>
            <w:tcW w:w="2872"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022F7796">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千行代码数，传统规模度量指标</w:t>
            </w:r>
          </w:p>
        </w:tc>
        <w:tc>
          <w:tcPr>
            <w:tcW w:w="1146"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720B5423">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连续数值</w:t>
            </w:r>
          </w:p>
        </w:tc>
        <w:tc>
          <w:tcPr>
            <w:tcW w:w="1878"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37A7A7B9">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COCOMO、NASA</w:t>
            </w:r>
          </w:p>
        </w:tc>
      </w:tr>
      <w:tr w14:paraId="6E198C0A">
        <w:tblPrEx>
          <w:tblCellMar>
            <w:top w:w="15" w:type="dxa"/>
            <w:left w:w="15" w:type="dxa"/>
            <w:bottom w:w="15" w:type="dxa"/>
            <w:right w:w="15" w:type="dxa"/>
          </w:tblCellMar>
        </w:tblPrEx>
        <w:trPr>
          <w:jc w:val="center"/>
        </w:trPr>
        <w:tc>
          <w:tcPr>
            <w:tcW w:w="1159" w:type="dxa"/>
            <w:tcBorders>
              <w:top w:val="nil"/>
              <w:left w:val="nil"/>
              <w:bottom w:val="nil"/>
              <w:right w:val="nil"/>
            </w:tcBorders>
            <w:shd w:val="clear" w:color="auto" w:fill="auto"/>
            <w:tcMar>
              <w:top w:w="120" w:type="dxa"/>
              <w:left w:w="-1" w:type="dxa"/>
              <w:bottom w:w="120" w:type="dxa"/>
              <w:right w:w="192" w:type="dxa"/>
            </w:tcMar>
            <w:vAlign w:val="center"/>
          </w:tcPr>
          <w:p w14:paraId="0D66483F">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规模度量</w:t>
            </w:r>
          </w:p>
        </w:tc>
        <w:tc>
          <w:tcPr>
            <w:tcW w:w="2094" w:type="dxa"/>
            <w:tcBorders>
              <w:top w:val="nil"/>
              <w:left w:val="nil"/>
              <w:bottom w:val="nil"/>
              <w:right w:val="nil"/>
            </w:tcBorders>
            <w:shd w:val="clear" w:color="auto" w:fill="auto"/>
            <w:tcMar>
              <w:top w:w="120" w:type="dxa"/>
              <w:left w:w="192" w:type="dxa"/>
              <w:bottom w:w="120" w:type="dxa"/>
              <w:right w:w="192" w:type="dxa"/>
            </w:tcMar>
            <w:vAlign w:val="center"/>
          </w:tcPr>
          <w:p w14:paraId="27EE4EE9">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Function Points</w:t>
            </w:r>
          </w:p>
        </w:tc>
        <w:tc>
          <w:tcPr>
            <w:tcW w:w="2872" w:type="dxa"/>
            <w:tcBorders>
              <w:top w:val="nil"/>
              <w:left w:val="nil"/>
              <w:bottom w:val="nil"/>
              <w:right w:val="nil"/>
            </w:tcBorders>
            <w:shd w:val="clear" w:color="auto" w:fill="auto"/>
            <w:tcMar>
              <w:top w:w="120" w:type="dxa"/>
              <w:left w:w="192" w:type="dxa"/>
              <w:bottom w:w="120" w:type="dxa"/>
              <w:right w:w="192" w:type="dxa"/>
            </w:tcMar>
            <w:vAlign w:val="center"/>
          </w:tcPr>
          <w:p w14:paraId="7C56190E">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功能点计数，基于功能需求规模</w:t>
            </w:r>
          </w:p>
        </w:tc>
        <w:tc>
          <w:tcPr>
            <w:tcW w:w="1146" w:type="dxa"/>
            <w:tcBorders>
              <w:top w:val="nil"/>
              <w:left w:val="nil"/>
              <w:bottom w:val="nil"/>
              <w:right w:val="nil"/>
            </w:tcBorders>
            <w:shd w:val="clear" w:color="auto" w:fill="auto"/>
            <w:tcMar>
              <w:top w:w="120" w:type="dxa"/>
              <w:left w:w="192" w:type="dxa"/>
              <w:bottom w:w="120" w:type="dxa"/>
              <w:right w:w="192" w:type="dxa"/>
            </w:tcMar>
            <w:vAlign w:val="center"/>
          </w:tcPr>
          <w:p w14:paraId="0E0C3B2E">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连续数值</w:t>
            </w:r>
          </w:p>
        </w:tc>
        <w:tc>
          <w:tcPr>
            <w:tcW w:w="1878" w:type="dxa"/>
            <w:tcBorders>
              <w:top w:val="nil"/>
              <w:left w:val="nil"/>
              <w:bottom w:val="nil"/>
              <w:right w:val="nil"/>
            </w:tcBorders>
            <w:shd w:val="clear" w:color="auto" w:fill="auto"/>
            <w:tcMar>
              <w:top w:w="120" w:type="dxa"/>
              <w:left w:w="192" w:type="dxa"/>
              <w:bottom w:w="120" w:type="dxa"/>
              <w:right w:w="-1" w:type="dxa"/>
            </w:tcMar>
            <w:vAlign w:val="center"/>
          </w:tcPr>
          <w:p w14:paraId="06470864">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Desharnais</w:t>
            </w:r>
          </w:p>
        </w:tc>
      </w:tr>
      <w:tr w14:paraId="48973A7B">
        <w:tblPrEx>
          <w:tblCellMar>
            <w:top w:w="15" w:type="dxa"/>
            <w:left w:w="15" w:type="dxa"/>
            <w:bottom w:w="15" w:type="dxa"/>
            <w:right w:w="15" w:type="dxa"/>
          </w:tblCellMar>
        </w:tblPrEx>
        <w:trPr>
          <w:jc w:val="center"/>
        </w:trPr>
        <w:tc>
          <w:tcPr>
            <w:tcW w:w="1159" w:type="dxa"/>
            <w:tcBorders>
              <w:top w:val="nil"/>
              <w:left w:val="nil"/>
              <w:bottom w:val="nil"/>
              <w:right w:val="nil"/>
            </w:tcBorders>
            <w:shd w:val="clear" w:color="auto" w:fill="auto"/>
            <w:tcMar>
              <w:top w:w="120" w:type="dxa"/>
              <w:left w:w="-1" w:type="dxa"/>
              <w:bottom w:w="120" w:type="dxa"/>
              <w:right w:w="192" w:type="dxa"/>
            </w:tcMar>
            <w:vAlign w:val="center"/>
          </w:tcPr>
          <w:p w14:paraId="651E3FCF">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规模度量</w:t>
            </w:r>
          </w:p>
        </w:tc>
        <w:tc>
          <w:tcPr>
            <w:tcW w:w="2094" w:type="dxa"/>
            <w:tcBorders>
              <w:top w:val="nil"/>
              <w:left w:val="nil"/>
              <w:bottom w:val="nil"/>
              <w:right w:val="nil"/>
            </w:tcBorders>
            <w:shd w:val="clear" w:color="auto" w:fill="auto"/>
            <w:tcMar>
              <w:top w:w="120" w:type="dxa"/>
              <w:left w:w="192" w:type="dxa"/>
              <w:bottom w:w="120" w:type="dxa"/>
              <w:right w:w="192" w:type="dxa"/>
            </w:tcMar>
            <w:vAlign w:val="center"/>
          </w:tcPr>
          <w:p w14:paraId="5482E2DB">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Object Points</w:t>
            </w:r>
          </w:p>
        </w:tc>
        <w:tc>
          <w:tcPr>
            <w:tcW w:w="2872" w:type="dxa"/>
            <w:tcBorders>
              <w:top w:val="nil"/>
              <w:left w:val="nil"/>
              <w:bottom w:val="nil"/>
              <w:right w:val="nil"/>
            </w:tcBorders>
            <w:shd w:val="clear" w:color="auto" w:fill="auto"/>
            <w:tcMar>
              <w:top w:w="120" w:type="dxa"/>
              <w:left w:w="192" w:type="dxa"/>
              <w:bottom w:w="120" w:type="dxa"/>
              <w:right w:w="192" w:type="dxa"/>
            </w:tcMar>
            <w:vAlign w:val="center"/>
          </w:tcPr>
          <w:p w14:paraId="3C45D2A9">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对象点数，面向对象项目规模</w:t>
            </w:r>
          </w:p>
        </w:tc>
        <w:tc>
          <w:tcPr>
            <w:tcW w:w="1146" w:type="dxa"/>
            <w:tcBorders>
              <w:top w:val="nil"/>
              <w:left w:val="nil"/>
              <w:bottom w:val="nil"/>
              <w:right w:val="nil"/>
            </w:tcBorders>
            <w:shd w:val="clear" w:color="auto" w:fill="auto"/>
            <w:tcMar>
              <w:top w:w="120" w:type="dxa"/>
              <w:left w:w="192" w:type="dxa"/>
              <w:bottom w:w="120" w:type="dxa"/>
              <w:right w:w="192" w:type="dxa"/>
            </w:tcMar>
            <w:vAlign w:val="center"/>
          </w:tcPr>
          <w:p w14:paraId="5DAF74D6">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连续数值</w:t>
            </w:r>
          </w:p>
        </w:tc>
        <w:tc>
          <w:tcPr>
            <w:tcW w:w="1878" w:type="dxa"/>
            <w:tcBorders>
              <w:top w:val="nil"/>
              <w:left w:val="nil"/>
              <w:bottom w:val="nil"/>
              <w:right w:val="nil"/>
            </w:tcBorders>
            <w:shd w:val="clear" w:color="auto" w:fill="auto"/>
            <w:tcMar>
              <w:top w:w="120" w:type="dxa"/>
              <w:left w:w="192" w:type="dxa"/>
              <w:bottom w:w="120" w:type="dxa"/>
              <w:right w:w="-1" w:type="dxa"/>
            </w:tcMar>
            <w:vAlign w:val="center"/>
          </w:tcPr>
          <w:p w14:paraId="2F220E9C">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部分扩展数据集</w:t>
            </w:r>
          </w:p>
        </w:tc>
      </w:tr>
      <w:tr w14:paraId="158AF7D5">
        <w:tblPrEx>
          <w:tblCellMar>
            <w:top w:w="15" w:type="dxa"/>
            <w:left w:w="15" w:type="dxa"/>
            <w:bottom w:w="15" w:type="dxa"/>
            <w:right w:w="15" w:type="dxa"/>
          </w:tblCellMar>
        </w:tblPrEx>
        <w:trPr>
          <w:jc w:val="center"/>
        </w:trPr>
        <w:tc>
          <w:tcPr>
            <w:tcW w:w="1159" w:type="dxa"/>
            <w:tcBorders>
              <w:top w:val="nil"/>
              <w:left w:val="nil"/>
              <w:bottom w:val="nil"/>
              <w:right w:val="nil"/>
            </w:tcBorders>
            <w:shd w:val="clear" w:color="auto" w:fill="auto"/>
            <w:tcMar>
              <w:top w:w="120" w:type="dxa"/>
              <w:left w:w="-1" w:type="dxa"/>
              <w:bottom w:w="120" w:type="dxa"/>
              <w:right w:w="192" w:type="dxa"/>
            </w:tcMar>
            <w:vAlign w:val="center"/>
          </w:tcPr>
          <w:p w14:paraId="6CAB6948">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复杂度指标</w:t>
            </w:r>
          </w:p>
        </w:tc>
        <w:tc>
          <w:tcPr>
            <w:tcW w:w="2094" w:type="dxa"/>
            <w:tcBorders>
              <w:top w:val="nil"/>
              <w:left w:val="nil"/>
              <w:bottom w:val="nil"/>
              <w:right w:val="nil"/>
            </w:tcBorders>
            <w:shd w:val="clear" w:color="auto" w:fill="auto"/>
            <w:tcMar>
              <w:top w:w="120" w:type="dxa"/>
              <w:left w:w="192" w:type="dxa"/>
              <w:bottom w:w="120" w:type="dxa"/>
              <w:right w:w="192" w:type="dxa"/>
            </w:tcMar>
            <w:vAlign w:val="center"/>
          </w:tcPr>
          <w:p w14:paraId="06F2DEE1">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Data Complexity</w:t>
            </w:r>
          </w:p>
        </w:tc>
        <w:tc>
          <w:tcPr>
            <w:tcW w:w="2872" w:type="dxa"/>
            <w:tcBorders>
              <w:top w:val="nil"/>
              <w:left w:val="nil"/>
              <w:bottom w:val="nil"/>
              <w:right w:val="nil"/>
            </w:tcBorders>
            <w:shd w:val="clear" w:color="auto" w:fill="auto"/>
            <w:tcMar>
              <w:top w:w="120" w:type="dxa"/>
              <w:left w:w="192" w:type="dxa"/>
              <w:bottom w:w="120" w:type="dxa"/>
              <w:right w:w="192" w:type="dxa"/>
            </w:tcMar>
            <w:vAlign w:val="center"/>
          </w:tcPr>
          <w:p w14:paraId="2E5D0A9F">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数据复杂度评分</w:t>
            </w:r>
          </w:p>
        </w:tc>
        <w:tc>
          <w:tcPr>
            <w:tcW w:w="1146" w:type="dxa"/>
            <w:tcBorders>
              <w:top w:val="nil"/>
              <w:left w:val="nil"/>
              <w:bottom w:val="nil"/>
              <w:right w:val="nil"/>
            </w:tcBorders>
            <w:shd w:val="clear" w:color="auto" w:fill="auto"/>
            <w:tcMar>
              <w:top w:w="120" w:type="dxa"/>
              <w:left w:w="192" w:type="dxa"/>
              <w:bottom w:w="120" w:type="dxa"/>
              <w:right w:w="192" w:type="dxa"/>
            </w:tcMar>
            <w:vAlign w:val="center"/>
          </w:tcPr>
          <w:p w14:paraId="426D4808">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等级/连续</w:t>
            </w:r>
          </w:p>
        </w:tc>
        <w:tc>
          <w:tcPr>
            <w:tcW w:w="1878" w:type="dxa"/>
            <w:tcBorders>
              <w:top w:val="nil"/>
              <w:left w:val="nil"/>
              <w:bottom w:val="nil"/>
              <w:right w:val="nil"/>
            </w:tcBorders>
            <w:shd w:val="clear" w:color="auto" w:fill="auto"/>
            <w:tcMar>
              <w:top w:w="120" w:type="dxa"/>
              <w:left w:w="192" w:type="dxa"/>
              <w:bottom w:w="120" w:type="dxa"/>
              <w:right w:w="-1" w:type="dxa"/>
            </w:tcMar>
            <w:vAlign w:val="center"/>
          </w:tcPr>
          <w:p w14:paraId="757145AD">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COCOMO、Maxwell</w:t>
            </w:r>
          </w:p>
        </w:tc>
      </w:tr>
      <w:tr w14:paraId="25D71AC6">
        <w:tblPrEx>
          <w:tblCellMar>
            <w:top w:w="15" w:type="dxa"/>
            <w:left w:w="15" w:type="dxa"/>
            <w:bottom w:w="15" w:type="dxa"/>
            <w:right w:w="15" w:type="dxa"/>
          </w:tblCellMar>
        </w:tblPrEx>
        <w:trPr>
          <w:jc w:val="center"/>
        </w:trPr>
        <w:tc>
          <w:tcPr>
            <w:tcW w:w="1159" w:type="dxa"/>
            <w:tcBorders>
              <w:top w:val="nil"/>
              <w:left w:val="nil"/>
              <w:bottom w:val="nil"/>
              <w:right w:val="nil"/>
            </w:tcBorders>
            <w:shd w:val="clear" w:color="auto" w:fill="auto"/>
            <w:tcMar>
              <w:top w:w="120" w:type="dxa"/>
              <w:left w:w="-1" w:type="dxa"/>
              <w:bottom w:w="120" w:type="dxa"/>
              <w:right w:w="192" w:type="dxa"/>
            </w:tcMar>
            <w:vAlign w:val="center"/>
          </w:tcPr>
          <w:p w14:paraId="0F527522">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复杂度指标</w:t>
            </w:r>
          </w:p>
        </w:tc>
        <w:tc>
          <w:tcPr>
            <w:tcW w:w="2094" w:type="dxa"/>
            <w:tcBorders>
              <w:top w:val="nil"/>
              <w:left w:val="nil"/>
              <w:bottom w:val="nil"/>
              <w:right w:val="nil"/>
            </w:tcBorders>
            <w:shd w:val="clear" w:color="auto" w:fill="auto"/>
            <w:tcMar>
              <w:top w:w="120" w:type="dxa"/>
              <w:left w:w="192" w:type="dxa"/>
              <w:bottom w:w="120" w:type="dxa"/>
              <w:right w:w="192" w:type="dxa"/>
            </w:tcMar>
            <w:vAlign w:val="center"/>
          </w:tcPr>
          <w:p w14:paraId="69644927">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Algorithm Complexity</w:t>
            </w:r>
          </w:p>
        </w:tc>
        <w:tc>
          <w:tcPr>
            <w:tcW w:w="2872" w:type="dxa"/>
            <w:tcBorders>
              <w:top w:val="nil"/>
              <w:left w:val="nil"/>
              <w:bottom w:val="nil"/>
              <w:right w:val="nil"/>
            </w:tcBorders>
            <w:shd w:val="clear" w:color="auto" w:fill="auto"/>
            <w:tcMar>
              <w:top w:w="120" w:type="dxa"/>
              <w:left w:w="192" w:type="dxa"/>
              <w:bottom w:w="120" w:type="dxa"/>
              <w:right w:w="192" w:type="dxa"/>
            </w:tcMar>
            <w:vAlign w:val="center"/>
          </w:tcPr>
          <w:p w14:paraId="47575906">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算法复杂度评分</w:t>
            </w:r>
          </w:p>
        </w:tc>
        <w:tc>
          <w:tcPr>
            <w:tcW w:w="1146" w:type="dxa"/>
            <w:tcBorders>
              <w:top w:val="nil"/>
              <w:left w:val="nil"/>
              <w:bottom w:val="nil"/>
              <w:right w:val="nil"/>
            </w:tcBorders>
            <w:shd w:val="clear" w:color="auto" w:fill="auto"/>
            <w:tcMar>
              <w:top w:w="120" w:type="dxa"/>
              <w:left w:w="192" w:type="dxa"/>
              <w:bottom w:w="120" w:type="dxa"/>
              <w:right w:w="192" w:type="dxa"/>
            </w:tcMar>
            <w:vAlign w:val="center"/>
          </w:tcPr>
          <w:p w14:paraId="7CFF1EAE">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等级/连续</w:t>
            </w:r>
          </w:p>
        </w:tc>
        <w:tc>
          <w:tcPr>
            <w:tcW w:w="1878" w:type="dxa"/>
            <w:tcBorders>
              <w:top w:val="nil"/>
              <w:left w:val="nil"/>
              <w:bottom w:val="nil"/>
              <w:right w:val="nil"/>
            </w:tcBorders>
            <w:shd w:val="clear" w:color="auto" w:fill="auto"/>
            <w:tcMar>
              <w:top w:w="120" w:type="dxa"/>
              <w:left w:w="192" w:type="dxa"/>
              <w:bottom w:w="120" w:type="dxa"/>
              <w:right w:w="-1" w:type="dxa"/>
            </w:tcMar>
            <w:vAlign w:val="center"/>
          </w:tcPr>
          <w:p w14:paraId="624901CE">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COCOMO</w:t>
            </w:r>
          </w:p>
        </w:tc>
      </w:tr>
      <w:tr w14:paraId="6FD7A083">
        <w:tblPrEx>
          <w:tblCellMar>
            <w:top w:w="15" w:type="dxa"/>
            <w:left w:w="15" w:type="dxa"/>
            <w:bottom w:w="15" w:type="dxa"/>
            <w:right w:w="15" w:type="dxa"/>
          </w:tblCellMar>
        </w:tblPrEx>
        <w:trPr>
          <w:jc w:val="center"/>
        </w:trPr>
        <w:tc>
          <w:tcPr>
            <w:tcW w:w="1159" w:type="dxa"/>
            <w:tcBorders>
              <w:top w:val="nil"/>
              <w:left w:val="nil"/>
              <w:bottom w:val="nil"/>
              <w:right w:val="nil"/>
            </w:tcBorders>
            <w:shd w:val="clear" w:color="auto" w:fill="auto"/>
            <w:tcMar>
              <w:top w:w="120" w:type="dxa"/>
              <w:left w:w="-1" w:type="dxa"/>
              <w:bottom w:w="120" w:type="dxa"/>
              <w:right w:w="192" w:type="dxa"/>
            </w:tcMar>
            <w:vAlign w:val="center"/>
          </w:tcPr>
          <w:p w14:paraId="482AD6BA">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复杂度指标</w:t>
            </w:r>
          </w:p>
        </w:tc>
        <w:tc>
          <w:tcPr>
            <w:tcW w:w="2094" w:type="dxa"/>
            <w:tcBorders>
              <w:top w:val="nil"/>
              <w:left w:val="nil"/>
              <w:bottom w:val="nil"/>
              <w:right w:val="nil"/>
            </w:tcBorders>
            <w:shd w:val="clear" w:color="auto" w:fill="auto"/>
            <w:tcMar>
              <w:top w:w="120" w:type="dxa"/>
              <w:left w:w="192" w:type="dxa"/>
              <w:bottom w:w="120" w:type="dxa"/>
              <w:right w:w="192" w:type="dxa"/>
            </w:tcMar>
            <w:vAlign w:val="center"/>
          </w:tcPr>
          <w:p w14:paraId="2E7C6B46">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Interface Complexity</w:t>
            </w:r>
          </w:p>
        </w:tc>
        <w:tc>
          <w:tcPr>
            <w:tcW w:w="2872" w:type="dxa"/>
            <w:tcBorders>
              <w:top w:val="nil"/>
              <w:left w:val="nil"/>
              <w:bottom w:val="nil"/>
              <w:right w:val="nil"/>
            </w:tcBorders>
            <w:shd w:val="clear" w:color="auto" w:fill="auto"/>
            <w:tcMar>
              <w:top w:w="120" w:type="dxa"/>
              <w:left w:w="192" w:type="dxa"/>
              <w:bottom w:w="120" w:type="dxa"/>
              <w:right w:w="192" w:type="dxa"/>
            </w:tcMar>
            <w:vAlign w:val="center"/>
          </w:tcPr>
          <w:p w14:paraId="762C1DC4">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接口复杂度评分</w:t>
            </w:r>
          </w:p>
        </w:tc>
        <w:tc>
          <w:tcPr>
            <w:tcW w:w="1146" w:type="dxa"/>
            <w:tcBorders>
              <w:top w:val="nil"/>
              <w:left w:val="nil"/>
              <w:bottom w:val="nil"/>
              <w:right w:val="nil"/>
            </w:tcBorders>
            <w:shd w:val="clear" w:color="auto" w:fill="auto"/>
            <w:tcMar>
              <w:top w:w="120" w:type="dxa"/>
              <w:left w:w="192" w:type="dxa"/>
              <w:bottom w:w="120" w:type="dxa"/>
              <w:right w:w="192" w:type="dxa"/>
            </w:tcMar>
            <w:vAlign w:val="center"/>
          </w:tcPr>
          <w:p w14:paraId="157ED108">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等级/连续</w:t>
            </w:r>
          </w:p>
        </w:tc>
        <w:tc>
          <w:tcPr>
            <w:tcW w:w="1878" w:type="dxa"/>
            <w:tcBorders>
              <w:top w:val="nil"/>
              <w:left w:val="nil"/>
              <w:bottom w:val="nil"/>
              <w:right w:val="nil"/>
            </w:tcBorders>
            <w:shd w:val="clear" w:color="auto" w:fill="auto"/>
            <w:tcMar>
              <w:top w:w="120" w:type="dxa"/>
              <w:left w:w="192" w:type="dxa"/>
              <w:bottom w:w="120" w:type="dxa"/>
              <w:right w:w="-1" w:type="dxa"/>
            </w:tcMar>
            <w:vAlign w:val="center"/>
          </w:tcPr>
          <w:p w14:paraId="3D25D7E1">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COCOMO</w:t>
            </w:r>
          </w:p>
        </w:tc>
      </w:tr>
      <w:tr w14:paraId="0B932134">
        <w:tblPrEx>
          <w:tblCellMar>
            <w:top w:w="15" w:type="dxa"/>
            <w:left w:w="15" w:type="dxa"/>
            <w:bottom w:w="15" w:type="dxa"/>
            <w:right w:w="15" w:type="dxa"/>
          </w:tblCellMar>
        </w:tblPrEx>
        <w:trPr>
          <w:jc w:val="center"/>
        </w:trPr>
        <w:tc>
          <w:tcPr>
            <w:tcW w:w="1159" w:type="dxa"/>
            <w:tcBorders>
              <w:top w:val="nil"/>
              <w:left w:val="nil"/>
              <w:bottom w:val="nil"/>
              <w:right w:val="nil"/>
            </w:tcBorders>
            <w:shd w:val="clear" w:color="auto" w:fill="auto"/>
            <w:tcMar>
              <w:top w:w="120" w:type="dxa"/>
              <w:left w:w="-1" w:type="dxa"/>
              <w:bottom w:w="120" w:type="dxa"/>
              <w:right w:w="192" w:type="dxa"/>
            </w:tcMar>
            <w:vAlign w:val="center"/>
          </w:tcPr>
          <w:p w14:paraId="3E35B042">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环境因素</w:t>
            </w:r>
          </w:p>
        </w:tc>
        <w:tc>
          <w:tcPr>
            <w:tcW w:w="2094" w:type="dxa"/>
            <w:tcBorders>
              <w:top w:val="nil"/>
              <w:left w:val="nil"/>
              <w:bottom w:val="nil"/>
              <w:right w:val="nil"/>
            </w:tcBorders>
            <w:shd w:val="clear" w:color="auto" w:fill="auto"/>
            <w:tcMar>
              <w:top w:w="120" w:type="dxa"/>
              <w:left w:w="192" w:type="dxa"/>
              <w:bottom w:w="120" w:type="dxa"/>
              <w:right w:w="192" w:type="dxa"/>
            </w:tcMar>
            <w:vAlign w:val="center"/>
          </w:tcPr>
          <w:p w14:paraId="2CB7B8C2">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Team Experience</w:t>
            </w:r>
          </w:p>
        </w:tc>
        <w:tc>
          <w:tcPr>
            <w:tcW w:w="2872" w:type="dxa"/>
            <w:tcBorders>
              <w:top w:val="nil"/>
              <w:left w:val="nil"/>
              <w:bottom w:val="nil"/>
              <w:right w:val="nil"/>
            </w:tcBorders>
            <w:shd w:val="clear" w:color="auto" w:fill="auto"/>
            <w:tcMar>
              <w:top w:w="120" w:type="dxa"/>
              <w:left w:w="192" w:type="dxa"/>
              <w:bottom w:w="120" w:type="dxa"/>
              <w:right w:w="192" w:type="dxa"/>
            </w:tcMar>
            <w:vAlign w:val="center"/>
          </w:tcPr>
          <w:p w14:paraId="1F37A9B8">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团队经验水平</w:t>
            </w:r>
          </w:p>
        </w:tc>
        <w:tc>
          <w:tcPr>
            <w:tcW w:w="1146" w:type="dxa"/>
            <w:tcBorders>
              <w:top w:val="nil"/>
              <w:left w:val="nil"/>
              <w:bottom w:val="nil"/>
              <w:right w:val="nil"/>
            </w:tcBorders>
            <w:shd w:val="clear" w:color="auto" w:fill="auto"/>
            <w:tcMar>
              <w:top w:w="120" w:type="dxa"/>
              <w:left w:w="192" w:type="dxa"/>
              <w:bottom w:w="120" w:type="dxa"/>
              <w:right w:w="192" w:type="dxa"/>
            </w:tcMar>
            <w:vAlign w:val="center"/>
          </w:tcPr>
          <w:p w14:paraId="3576B702">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等级/连续</w:t>
            </w:r>
          </w:p>
        </w:tc>
        <w:tc>
          <w:tcPr>
            <w:tcW w:w="1878" w:type="dxa"/>
            <w:tcBorders>
              <w:top w:val="nil"/>
              <w:left w:val="nil"/>
              <w:bottom w:val="nil"/>
              <w:right w:val="nil"/>
            </w:tcBorders>
            <w:shd w:val="clear" w:color="auto" w:fill="auto"/>
            <w:tcMar>
              <w:top w:w="120" w:type="dxa"/>
              <w:left w:w="192" w:type="dxa"/>
              <w:bottom w:w="120" w:type="dxa"/>
              <w:right w:w="-1" w:type="dxa"/>
            </w:tcMar>
            <w:vAlign w:val="center"/>
          </w:tcPr>
          <w:p w14:paraId="2657A64A">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Desharnais、Maxwell</w:t>
            </w:r>
          </w:p>
        </w:tc>
      </w:tr>
      <w:tr w14:paraId="0457BB76">
        <w:tblPrEx>
          <w:tblCellMar>
            <w:top w:w="15" w:type="dxa"/>
            <w:left w:w="15" w:type="dxa"/>
            <w:bottom w:w="15" w:type="dxa"/>
            <w:right w:w="15" w:type="dxa"/>
          </w:tblCellMar>
        </w:tblPrEx>
        <w:trPr>
          <w:jc w:val="center"/>
        </w:trPr>
        <w:tc>
          <w:tcPr>
            <w:tcW w:w="1159" w:type="dxa"/>
            <w:tcBorders>
              <w:top w:val="nil"/>
              <w:left w:val="nil"/>
              <w:bottom w:val="nil"/>
              <w:right w:val="nil"/>
            </w:tcBorders>
            <w:shd w:val="clear" w:color="auto" w:fill="auto"/>
            <w:tcMar>
              <w:top w:w="120" w:type="dxa"/>
              <w:left w:w="-1" w:type="dxa"/>
              <w:bottom w:w="120" w:type="dxa"/>
              <w:right w:w="192" w:type="dxa"/>
            </w:tcMar>
            <w:vAlign w:val="center"/>
          </w:tcPr>
          <w:p w14:paraId="266D83D6">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环境因素</w:t>
            </w:r>
          </w:p>
        </w:tc>
        <w:tc>
          <w:tcPr>
            <w:tcW w:w="2094" w:type="dxa"/>
            <w:tcBorders>
              <w:top w:val="nil"/>
              <w:left w:val="nil"/>
              <w:bottom w:val="nil"/>
              <w:right w:val="nil"/>
            </w:tcBorders>
            <w:shd w:val="clear" w:color="auto" w:fill="auto"/>
            <w:tcMar>
              <w:top w:w="120" w:type="dxa"/>
              <w:left w:w="192" w:type="dxa"/>
              <w:bottom w:w="120" w:type="dxa"/>
              <w:right w:w="192" w:type="dxa"/>
            </w:tcMar>
            <w:vAlign w:val="center"/>
          </w:tcPr>
          <w:p w14:paraId="52676835">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Development Tool</w:t>
            </w:r>
          </w:p>
        </w:tc>
        <w:tc>
          <w:tcPr>
            <w:tcW w:w="2872" w:type="dxa"/>
            <w:tcBorders>
              <w:top w:val="nil"/>
              <w:left w:val="nil"/>
              <w:bottom w:val="nil"/>
              <w:right w:val="nil"/>
            </w:tcBorders>
            <w:shd w:val="clear" w:color="auto" w:fill="auto"/>
            <w:tcMar>
              <w:top w:w="120" w:type="dxa"/>
              <w:left w:w="192" w:type="dxa"/>
              <w:bottom w:w="120" w:type="dxa"/>
              <w:right w:w="192" w:type="dxa"/>
            </w:tcMar>
            <w:vAlign w:val="center"/>
          </w:tcPr>
          <w:p w14:paraId="64158D52">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开发工具成熟度</w:t>
            </w:r>
          </w:p>
        </w:tc>
        <w:tc>
          <w:tcPr>
            <w:tcW w:w="1146" w:type="dxa"/>
            <w:tcBorders>
              <w:top w:val="nil"/>
              <w:left w:val="nil"/>
              <w:bottom w:val="nil"/>
              <w:right w:val="nil"/>
            </w:tcBorders>
            <w:shd w:val="clear" w:color="auto" w:fill="auto"/>
            <w:tcMar>
              <w:top w:w="120" w:type="dxa"/>
              <w:left w:w="192" w:type="dxa"/>
              <w:bottom w:w="120" w:type="dxa"/>
              <w:right w:w="192" w:type="dxa"/>
            </w:tcMar>
            <w:vAlign w:val="center"/>
          </w:tcPr>
          <w:p w14:paraId="29DB7B5A">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等级</w:t>
            </w:r>
          </w:p>
        </w:tc>
        <w:tc>
          <w:tcPr>
            <w:tcW w:w="1878" w:type="dxa"/>
            <w:tcBorders>
              <w:top w:val="nil"/>
              <w:left w:val="nil"/>
              <w:bottom w:val="nil"/>
              <w:right w:val="nil"/>
            </w:tcBorders>
            <w:shd w:val="clear" w:color="auto" w:fill="auto"/>
            <w:tcMar>
              <w:top w:w="120" w:type="dxa"/>
              <w:left w:w="192" w:type="dxa"/>
              <w:bottom w:w="120" w:type="dxa"/>
              <w:right w:w="-1" w:type="dxa"/>
            </w:tcMar>
            <w:vAlign w:val="center"/>
          </w:tcPr>
          <w:p w14:paraId="6417E922">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COCOMO</w:t>
            </w:r>
          </w:p>
        </w:tc>
      </w:tr>
      <w:tr w14:paraId="0EEBC6A9">
        <w:tblPrEx>
          <w:tblCellMar>
            <w:top w:w="15" w:type="dxa"/>
            <w:left w:w="15" w:type="dxa"/>
            <w:bottom w:w="15" w:type="dxa"/>
            <w:right w:w="15" w:type="dxa"/>
          </w:tblCellMar>
        </w:tblPrEx>
        <w:trPr>
          <w:jc w:val="center"/>
        </w:trPr>
        <w:tc>
          <w:tcPr>
            <w:tcW w:w="1159" w:type="dxa"/>
            <w:tcBorders>
              <w:top w:val="nil"/>
              <w:left w:val="nil"/>
              <w:bottom w:val="nil"/>
              <w:right w:val="nil"/>
            </w:tcBorders>
            <w:shd w:val="clear" w:color="auto" w:fill="auto"/>
            <w:tcMar>
              <w:top w:w="120" w:type="dxa"/>
              <w:left w:w="-1" w:type="dxa"/>
              <w:bottom w:w="120" w:type="dxa"/>
              <w:right w:w="192" w:type="dxa"/>
            </w:tcMar>
            <w:vAlign w:val="center"/>
          </w:tcPr>
          <w:p w14:paraId="34BF45E1">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环境因素</w:t>
            </w:r>
          </w:p>
        </w:tc>
        <w:tc>
          <w:tcPr>
            <w:tcW w:w="2094" w:type="dxa"/>
            <w:tcBorders>
              <w:top w:val="nil"/>
              <w:left w:val="nil"/>
              <w:bottom w:val="nil"/>
              <w:right w:val="nil"/>
            </w:tcBorders>
            <w:shd w:val="clear" w:color="auto" w:fill="auto"/>
            <w:tcMar>
              <w:top w:w="120" w:type="dxa"/>
              <w:left w:w="192" w:type="dxa"/>
              <w:bottom w:w="120" w:type="dxa"/>
              <w:right w:w="192" w:type="dxa"/>
            </w:tcMar>
            <w:vAlign w:val="center"/>
          </w:tcPr>
          <w:p w14:paraId="28E8A26E">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Process Maturity</w:t>
            </w:r>
          </w:p>
        </w:tc>
        <w:tc>
          <w:tcPr>
            <w:tcW w:w="2872" w:type="dxa"/>
            <w:tcBorders>
              <w:top w:val="nil"/>
              <w:left w:val="nil"/>
              <w:bottom w:val="nil"/>
              <w:right w:val="nil"/>
            </w:tcBorders>
            <w:shd w:val="clear" w:color="auto" w:fill="auto"/>
            <w:tcMar>
              <w:top w:w="120" w:type="dxa"/>
              <w:left w:w="192" w:type="dxa"/>
              <w:bottom w:w="120" w:type="dxa"/>
              <w:right w:w="192" w:type="dxa"/>
            </w:tcMar>
            <w:vAlign w:val="center"/>
          </w:tcPr>
          <w:p w14:paraId="7FAC19B1">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过程成熟度（如CMM级别）</w:t>
            </w:r>
          </w:p>
        </w:tc>
        <w:tc>
          <w:tcPr>
            <w:tcW w:w="1146" w:type="dxa"/>
            <w:tcBorders>
              <w:top w:val="nil"/>
              <w:left w:val="nil"/>
              <w:bottom w:val="nil"/>
              <w:right w:val="nil"/>
            </w:tcBorders>
            <w:shd w:val="clear" w:color="auto" w:fill="auto"/>
            <w:tcMar>
              <w:top w:w="120" w:type="dxa"/>
              <w:left w:w="192" w:type="dxa"/>
              <w:bottom w:w="120" w:type="dxa"/>
              <w:right w:w="192" w:type="dxa"/>
            </w:tcMar>
            <w:vAlign w:val="center"/>
          </w:tcPr>
          <w:p w14:paraId="0862A34D">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等级</w:t>
            </w:r>
          </w:p>
        </w:tc>
        <w:tc>
          <w:tcPr>
            <w:tcW w:w="1878" w:type="dxa"/>
            <w:tcBorders>
              <w:top w:val="nil"/>
              <w:left w:val="nil"/>
              <w:bottom w:val="nil"/>
              <w:right w:val="nil"/>
            </w:tcBorders>
            <w:shd w:val="clear" w:color="auto" w:fill="auto"/>
            <w:tcMar>
              <w:top w:w="120" w:type="dxa"/>
              <w:left w:w="192" w:type="dxa"/>
              <w:bottom w:w="120" w:type="dxa"/>
              <w:right w:w="-1" w:type="dxa"/>
            </w:tcMar>
            <w:vAlign w:val="center"/>
          </w:tcPr>
          <w:p w14:paraId="4B1F6829">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NASA</w:t>
            </w:r>
          </w:p>
        </w:tc>
      </w:tr>
      <w:tr w14:paraId="46EF3044">
        <w:tblPrEx>
          <w:tblCellMar>
            <w:top w:w="15" w:type="dxa"/>
            <w:left w:w="15" w:type="dxa"/>
            <w:bottom w:w="15" w:type="dxa"/>
            <w:right w:w="15" w:type="dxa"/>
          </w:tblCellMar>
        </w:tblPrEx>
        <w:trPr>
          <w:jc w:val="center"/>
        </w:trPr>
        <w:tc>
          <w:tcPr>
            <w:tcW w:w="1159"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06310C1A">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目标变量</w:t>
            </w:r>
          </w:p>
        </w:tc>
        <w:tc>
          <w:tcPr>
            <w:tcW w:w="2094"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2A9F898">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Actual Effort</w:t>
            </w:r>
          </w:p>
        </w:tc>
        <w:tc>
          <w:tcPr>
            <w:tcW w:w="2872"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6DB2AD11">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实际工作量（人月/人时）</w:t>
            </w:r>
          </w:p>
        </w:tc>
        <w:tc>
          <w:tcPr>
            <w:tcW w:w="1146"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7AA65ACF">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连续数值</w:t>
            </w:r>
          </w:p>
        </w:tc>
        <w:tc>
          <w:tcPr>
            <w:tcW w:w="1878"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5AF6BE4B">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全部数据集</w:t>
            </w:r>
          </w:p>
        </w:tc>
      </w:tr>
    </w:tbl>
    <w:p w14:paraId="611B858E">
      <w:pPr>
        <w:pStyle w:val="3"/>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29" w:name="_Toc30842"/>
      <w:r>
        <w:rPr>
          <w:rFonts w:hint="eastAsia" w:ascii="Times New Roman" w:eastAsia="黑体"/>
          <w:b w:val="0"/>
          <w:sz w:val="28"/>
        </w:rPr>
        <w:t>3.3</w:t>
      </w:r>
      <w:r>
        <w:rPr>
          <w:rFonts w:ascii="Times New Roman" w:eastAsia="黑体"/>
          <w:b w:val="0"/>
          <w:sz w:val="28"/>
        </w:rPr>
        <w:t>数据预处理与特征工程</w:t>
      </w:r>
      <w:bookmarkEnd w:id="29"/>
    </w:p>
    <w:p w14:paraId="77DF8527">
      <w:pPr>
        <w:pStyle w:val="4"/>
        <w:widowControl/>
        <w:numPr>
          <w:ilvl w:val="0"/>
          <w:numId w:val="7"/>
        </w:numPr>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30" w:name="_Toc12032"/>
      <w:r>
        <w:rPr>
          <w:rFonts w:ascii="Times New Roman" w:eastAsia="宋体"/>
          <w:b/>
          <w:sz w:val="24"/>
        </w:rPr>
        <w:t>数据清洗（缺失值、异常值处理）</w:t>
      </w:r>
      <w:bookmarkEnd w:id="30"/>
    </w:p>
    <w:p w14:paraId="550430F0">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数据清洗是确保模型训练质量的基础环节，其核心目标是识别并处理原始数据中存在的缺失值、异常值及不一致数据，避免噪声信息对模型学习产生干扰。本研究将基于Pandas库对采集到的多源数据集进行系统性清洗。针对缺失值处理，首先统计各属性缺失比例，对于缺失率超过30%的属性予以剔除；对于缺失率较低的属性，根据数据类型采用不同策略——连续型属性采用均值或中位数填充，类别型属性采用众数填充，对于具有明显时间趋势的属性则采用前后向插值方法进行填充。针对异常值检测，采用箱线图法与Z-score法相结合的策略：箱线图法基于四分位距识别离群点，将超出上下边缘（Q1-1.5IQR， Q3+1.5IQR）的值标记为异常；Z-score法则计算各数据点与均值的标准差倍数，将Z-score绝对值大于3的值标记为异常。对于识别出的异常值，将结合领域知识进行判断——对于明显超出正常范围但符合实际的项目特征（如大型项目工作量显著高于均值），予以保留；对于明显的数据记录错误（如工作量取值为负数），予以剔除或修正。</w:t>
      </w:r>
    </w:p>
    <w:tbl>
      <w:tblPr>
        <w:tblStyle w:val="26"/>
        <w:tblW w:w="9150" w:type="dxa"/>
        <w:jc w:val="center"/>
        <w:tblLayout w:type="autofit"/>
        <w:tblCellMar>
          <w:top w:w="15" w:type="dxa"/>
          <w:left w:w="15" w:type="dxa"/>
          <w:bottom w:w="15" w:type="dxa"/>
          <w:right w:w="15" w:type="dxa"/>
        </w:tblCellMar>
      </w:tblPr>
      <w:tblGrid>
        <w:gridCol w:w="1573"/>
        <w:gridCol w:w="1829"/>
        <w:gridCol w:w="2463"/>
        <w:gridCol w:w="1476"/>
        <w:gridCol w:w="643"/>
        <w:gridCol w:w="1166"/>
      </w:tblGrid>
      <w:tr w14:paraId="6E826B80">
        <w:tblPrEx>
          <w:tblCellMar>
            <w:top w:w="15" w:type="dxa"/>
            <w:left w:w="15" w:type="dxa"/>
            <w:bottom w:w="15" w:type="dxa"/>
            <w:right w:w="15" w:type="dxa"/>
          </w:tblCellMar>
        </w:tblPrEx>
        <w:trPr>
          <w:gridAfter w:val="2"/>
          <w:wAfter w:w="1809" w:type="dxa"/>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1CD64620">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数据问题类型</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634CF26B">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识别方法</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9FCE6F0">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处理策略</w:t>
            </w:r>
          </w:p>
        </w:tc>
        <w:tc>
          <w:tcPr>
            <w:tcW w:w="1476"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6344687">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适用场景</w:t>
            </w:r>
          </w:p>
        </w:tc>
      </w:tr>
      <w:tr w14:paraId="25E02DD4">
        <w:tblPrEx>
          <w:tblCellMar>
            <w:top w:w="15" w:type="dxa"/>
            <w:left w:w="15" w:type="dxa"/>
            <w:bottom w:w="15" w:type="dxa"/>
            <w:right w:w="15" w:type="dxa"/>
          </w:tblCellMar>
        </w:tblPrEx>
        <w:trPr>
          <w:gridAfter w:val="2"/>
          <w:wAfter w:w="1809" w:type="dxa"/>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1C63122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缺失值（高缺失率&gt;30%）</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1FBB1C96">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缺失率统计</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8445A7E">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剔除属性</w:t>
            </w:r>
          </w:p>
        </w:tc>
        <w:tc>
          <w:tcPr>
            <w:tcW w:w="1476"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21506FD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属性信息严重不足</w:t>
            </w:r>
          </w:p>
        </w:tc>
      </w:tr>
      <w:tr w14:paraId="40BCD136">
        <w:tblPrEx>
          <w:tblCellMar>
            <w:top w:w="15" w:type="dxa"/>
            <w:left w:w="15" w:type="dxa"/>
            <w:bottom w:w="15" w:type="dxa"/>
            <w:right w:w="15" w:type="dxa"/>
          </w:tblCellMar>
        </w:tblPrEx>
        <w:trPr>
          <w:gridAfter w:val="2"/>
          <w:wAfter w:w="1809" w:type="dxa"/>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244AEEDE">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缺失值（低缺失率≤30%）</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9BA6DBF">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缺失率统计</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01133F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均值/中位数填充（连续型）、众数填充（类别型）</w:t>
            </w:r>
          </w:p>
        </w:tc>
        <w:tc>
          <w:tcPr>
            <w:tcW w:w="1476" w:type="dxa"/>
            <w:tcBorders>
              <w:top w:val="nil"/>
              <w:left w:val="nil"/>
              <w:bottom w:val="nil"/>
              <w:right w:val="nil"/>
            </w:tcBorders>
            <w:shd w:val="clear" w:color="auto" w:fill="auto"/>
            <w:tcMar>
              <w:top w:w="120" w:type="dxa"/>
              <w:left w:w="192" w:type="dxa"/>
              <w:bottom w:w="120" w:type="dxa"/>
              <w:right w:w="-1" w:type="dxa"/>
            </w:tcMar>
            <w:vAlign w:val="center"/>
          </w:tcPr>
          <w:p w14:paraId="1F02928C">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属性信息部分缺失</w:t>
            </w:r>
          </w:p>
        </w:tc>
      </w:tr>
      <w:tr w14:paraId="6884898F">
        <w:tblPrEx>
          <w:tblCellMar>
            <w:top w:w="15" w:type="dxa"/>
            <w:left w:w="15" w:type="dxa"/>
            <w:bottom w:w="15" w:type="dxa"/>
            <w:right w:w="15" w:type="dxa"/>
          </w:tblCellMar>
        </w:tblPrEx>
        <w:trPr>
          <w:gridAfter w:val="2"/>
          <w:wAfter w:w="1809" w:type="dxa"/>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26B2E1FB">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异常值</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7941A1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箱线图法（IQR准则）</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7BA089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结合领域知识判断，保留合理异常，剔除记录错误</w:t>
            </w:r>
          </w:p>
        </w:tc>
        <w:tc>
          <w:tcPr>
            <w:tcW w:w="1476" w:type="dxa"/>
            <w:tcBorders>
              <w:top w:val="nil"/>
              <w:left w:val="nil"/>
              <w:bottom w:val="nil"/>
              <w:right w:val="nil"/>
            </w:tcBorders>
            <w:shd w:val="clear" w:color="auto" w:fill="auto"/>
            <w:tcMar>
              <w:top w:w="120" w:type="dxa"/>
              <w:left w:w="192" w:type="dxa"/>
              <w:bottom w:w="120" w:type="dxa"/>
              <w:right w:w="-1" w:type="dxa"/>
            </w:tcMar>
            <w:vAlign w:val="center"/>
          </w:tcPr>
          <w:p w14:paraId="46E8B56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识别极端值但保留项目特征</w:t>
            </w:r>
          </w:p>
        </w:tc>
      </w:tr>
      <w:tr w14:paraId="6484DAF4">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3F9E1BE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异常值</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FA218E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Z-score法（</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8A3476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Z</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AF6948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&gt;3）</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0ABF64C">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同上</w:t>
            </w:r>
          </w:p>
        </w:tc>
        <w:tc>
          <w:tcPr>
            <w:tcW w:w="1166" w:type="dxa"/>
            <w:tcBorders>
              <w:top w:val="nil"/>
              <w:left w:val="nil"/>
              <w:bottom w:val="nil"/>
              <w:right w:val="nil"/>
            </w:tcBorders>
            <w:shd w:val="clear" w:color="auto" w:fill="auto"/>
            <w:tcMar>
              <w:top w:w="120" w:type="dxa"/>
              <w:left w:w="192" w:type="dxa"/>
              <w:bottom w:w="120" w:type="dxa"/>
              <w:right w:w="-1" w:type="dxa"/>
            </w:tcMar>
            <w:vAlign w:val="center"/>
          </w:tcPr>
          <w:p w14:paraId="7014AED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基于正态分布的异常检测</w:t>
            </w:r>
          </w:p>
        </w:tc>
      </w:tr>
      <w:tr w14:paraId="58C887A2">
        <w:tblPrEx>
          <w:tblCellMar>
            <w:top w:w="15" w:type="dxa"/>
            <w:left w:w="15" w:type="dxa"/>
            <w:bottom w:w="15" w:type="dxa"/>
            <w:right w:w="15" w:type="dxa"/>
          </w:tblCellMar>
        </w:tblPrEx>
        <w:trPr>
          <w:jc w:val="center"/>
        </w:trPr>
        <w:tc>
          <w:tcPr>
            <w:tcW w:w="1573"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57D0A2EC">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数据不一致</w:t>
            </w:r>
          </w:p>
        </w:tc>
        <w:tc>
          <w:tcPr>
            <w:tcW w:w="1829"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7A07213B">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逻辑校验（如工作量不能为负）</w:t>
            </w:r>
          </w:p>
        </w:tc>
        <w:tc>
          <w:tcPr>
            <w:tcW w:w="2463"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7E92CB0B">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修正或剔除</w:t>
            </w:r>
          </w:p>
        </w:tc>
        <w:tc>
          <w:tcPr>
            <w:tcW w:w="1476"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6084538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数据录入错误</w:t>
            </w:r>
          </w:p>
        </w:tc>
        <w:tc>
          <w:tcPr>
            <w:tcW w:w="643"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4F84C5CB">
            <w:pPr>
              <w:snapToGrid w:val="0"/>
              <w:spacing w:line="240" w:lineRule="auto"/>
              <w:ind w:firstLine="0" w:firstLineChars="0"/>
              <w:jc w:val="left"/>
              <w:rPr>
                <w:rFonts w:ascii="Segoe UI" w:eastAsia="Segoe UI"/>
                <w:sz w:val="18"/>
                <w:szCs w:val="24"/>
              </w:rPr>
            </w:pPr>
          </w:p>
        </w:tc>
        <w:tc>
          <w:tcPr>
            <w:tcW w:w="1166"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33A4EA98">
            <w:pPr>
              <w:snapToGrid w:val="0"/>
              <w:spacing w:line="240" w:lineRule="auto"/>
              <w:ind w:firstLine="0" w:firstLineChars="0"/>
              <w:jc w:val="center"/>
              <w:rPr>
                <w:rFonts w:ascii="Segoe UI" w:eastAsia="Segoe UI"/>
                <w:sz w:val="18"/>
                <w:szCs w:val="24"/>
              </w:rPr>
            </w:pPr>
          </w:p>
        </w:tc>
      </w:tr>
    </w:tbl>
    <w:p w14:paraId="20083775">
      <w:pPr>
        <w:pStyle w:val="4"/>
        <w:widowControl/>
        <w:numPr>
          <w:ilvl w:val="0"/>
          <w:numId w:val="7"/>
        </w:numPr>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31" w:name="_Toc28202"/>
      <w:r>
        <w:rPr>
          <w:rFonts w:ascii="Times New Roman" w:eastAsia="宋体"/>
          <w:b/>
          <w:sz w:val="24"/>
        </w:rPr>
        <w:t>特征选择与提取</w:t>
      </w:r>
      <w:bookmarkEnd w:id="31"/>
    </w:p>
    <w:p w14:paraId="764442AA">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特征选择与提取是提升模型预测性能、降低过拟合风险的关键环节，其核心目标是从原始属性中筛选出与工作量高度相关的核心特征，并通过特征变换生成更具表达能力的新特征。本研究采用过滤式、包裹式与嵌入式相结合的多阶段特征选择策略。在过滤式阶段，通过计算各特征与目标变量（实际工作量）之间的皮尔逊相关系数、互信息等统计指标，初步筛选出相关性较强的特征子集。在包裹式阶段，采用递归特征消除法，基于模型性能反馈对特征组合进行迭代优化。在嵌入式阶段，利用随机森林等模型天然的特征重要性评估功能，进一步验证特征筛选结果的稳健性。</w:t>
      </w:r>
    </w:p>
    <w:p w14:paraId="33BE78AF">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基于领域知识与前期文献调研，本研究重点关注的原始特征包括：代码规模（KLoC、功能点计数）、项目复杂度（数据复杂度、算法复杂度）、团队经验水平、开发环境成熟度等。在特征提取方面，将尝试构造若干组合特征：例如规模与复杂度的交互项（KLoC × 复杂度）、人均功能点数（功能点计数/团队规模）等，以捕捉特征之间的协同效应。此外，针对类别型特征（如开发模式、语言类型），采用独热编码转换为数值型特征；对于具有明显偏态分布的连续型特征，采用对数变换或Box-Cox变换使其分布更接近正态，以提升模型对数据的拟合能力。</w:t>
      </w:r>
    </w:p>
    <w:tbl>
      <w:tblPr>
        <w:tblStyle w:val="26"/>
        <w:tblW w:w="9150" w:type="dxa"/>
        <w:jc w:val="center"/>
        <w:tblLayout w:type="autofit"/>
        <w:tblCellMar>
          <w:top w:w="15" w:type="dxa"/>
          <w:left w:w="15" w:type="dxa"/>
          <w:bottom w:w="15" w:type="dxa"/>
          <w:right w:w="15" w:type="dxa"/>
        </w:tblCellMar>
      </w:tblPr>
      <w:tblGrid>
        <w:gridCol w:w="1351"/>
        <w:gridCol w:w="2006"/>
        <w:gridCol w:w="1915"/>
        <w:gridCol w:w="1781"/>
        <w:gridCol w:w="2097"/>
      </w:tblGrid>
      <w:tr w14:paraId="195A0AD1">
        <w:tblPrEx>
          <w:tblCellMar>
            <w:top w:w="15" w:type="dxa"/>
            <w:left w:w="15" w:type="dxa"/>
            <w:bottom w:w="15" w:type="dxa"/>
            <w:right w:w="15" w:type="dxa"/>
          </w:tblCellMar>
        </w:tblPrEx>
        <w:trPr>
          <w:tblHeader/>
          <w:jc w:val="center"/>
        </w:trPr>
        <w:tc>
          <w:tcPr>
            <w:tcW w:w="1351" w:type="dxa"/>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2D288E0B">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特征选择方法</w:t>
            </w:r>
          </w:p>
        </w:tc>
        <w:tc>
          <w:tcPr>
            <w:tcW w:w="2006"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07DE05E1">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核心原理</w:t>
            </w:r>
          </w:p>
        </w:tc>
        <w:tc>
          <w:tcPr>
            <w:tcW w:w="1915"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6B943FF5">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优势</w:t>
            </w:r>
          </w:p>
        </w:tc>
        <w:tc>
          <w:tcPr>
            <w:tcW w:w="1781"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1669530">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局限</w:t>
            </w:r>
          </w:p>
        </w:tc>
        <w:tc>
          <w:tcPr>
            <w:tcW w:w="2097"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47761D97">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本研究应用</w:t>
            </w:r>
          </w:p>
        </w:tc>
      </w:tr>
      <w:tr w14:paraId="38CB5361">
        <w:tblPrEx>
          <w:tblCellMar>
            <w:top w:w="15" w:type="dxa"/>
            <w:left w:w="15" w:type="dxa"/>
            <w:bottom w:w="15" w:type="dxa"/>
            <w:right w:w="15" w:type="dxa"/>
          </w:tblCellMar>
        </w:tblPrEx>
        <w:trPr>
          <w:jc w:val="center"/>
        </w:trPr>
        <w:tc>
          <w:tcPr>
            <w:tcW w:w="1351" w:type="dxa"/>
            <w:tcBorders>
              <w:top w:val="single" w:color="auto" w:sz="4" w:space="0"/>
              <w:left w:val="nil"/>
              <w:bottom w:val="nil"/>
              <w:right w:val="nil"/>
            </w:tcBorders>
            <w:shd w:val="clear" w:color="auto" w:fill="auto"/>
            <w:tcMar>
              <w:top w:w="120" w:type="dxa"/>
              <w:left w:w="-1" w:type="dxa"/>
              <w:bottom w:w="120" w:type="dxa"/>
              <w:right w:w="192" w:type="dxa"/>
            </w:tcMar>
            <w:vAlign w:val="center"/>
          </w:tcPr>
          <w:p w14:paraId="2E5DA90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过滤式</w:t>
            </w:r>
          </w:p>
        </w:tc>
        <w:tc>
          <w:tcPr>
            <w:tcW w:w="2006"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5A2B293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基于统计指标独立评估特征</w:t>
            </w:r>
          </w:p>
        </w:tc>
        <w:tc>
          <w:tcPr>
            <w:tcW w:w="1915"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44DA2157">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计算效率高，与模型无关</w:t>
            </w:r>
          </w:p>
        </w:tc>
        <w:tc>
          <w:tcPr>
            <w:tcW w:w="1781"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7F3DDD1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忽略特征交互作用</w:t>
            </w:r>
          </w:p>
        </w:tc>
        <w:tc>
          <w:tcPr>
            <w:tcW w:w="2097"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0356ECE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初步筛选高相关性特征</w:t>
            </w:r>
          </w:p>
        </w:tc>
      </w:tr>
      <w:tr w14:paraId="3503C793">
        <w:tblPrEx>
          <w:tblCellMar>
            <w:top w:w="15" w:type="dxa"/>
            <w:left w:w="15" w:type="dxa"/>
            <w:bottom w:w="15" w:type="dxa"/>
            <w:right w:w="15" w:type="dxa"/>
          </w:tblCellMar>
        </w:tblPrEx>
        <w:trPr>
          <w:jc w:val="center"/>
        </w:trPr>
        <w:tc>
          <w:tcPr>
            <w:tcW w:w="1351" w:type="dxa"/>
            <w:tcBorders>
              <w:top w:val="nil"/>
              <w:left w:val="nil"/>
              <w:bottom w:val="nil"/>
              <w:right w:val="nil"/>
            </w:tcBorders>
            <w:shd w:val="clear" w:color="auto" w:fill="auto"/>
            <w:tcMar>
              <w:top w:w="120" w:type="dxa"/>
              <w:left w:w="-1" w:type="dxa"/>
              <w:bottom w:w="120" w:type="dxa"/>
              <w:right w:w="192" w:type="dxa"/>
            </w:tcMar>
            <w:vAlign w:val="center"/>
          </w:tcPr>
          <w:p w14:paraId="6B4A749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包裹式（RFE）</w:t>
            </w:r>
          </w:p>
        </w:tc>
        <w:tc>
          <w:tcPr>
            <w:tcW w:w="2006" w:type="dxa"/>
            <w:tcBorders>
              <w:top w:val="nil"/>
              <w:left w:val="nil"/>
              <w:bottom w:val="nil"/>
              <w:right w:val="nil"/>
            </w:tcBorders>
            <w:shd w:val="clear" w:color="auto" w:fill="auto"/>
            <w:tcMar>
              <w:top w:w="120" w:type="dxa"/>
              <w:left w:w="192" w:type="dxa"/>
              <w:bottom w:w="120" w:type="dxa"/>
              <w:right w:w="192" w:type="dxa"/>
            </w:tcMar>
            <w:vAlign w:val="center"/>
          </w:tcPr>
          <w:p w14:paraId="2266F80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基于模型性能迭代筛选</w:t>
            </w:r>
          </w:p>
        </w:tc>
        <w:tc>
          <w:tcPr>
            <w:tcW w:w="1915" w:type="dxa"/>
            <w:tcBorders>
              <w:top w:val="nil"/>
              <w:left w:val="nil"/>
              <w:bottom w:val="nil"/>
              <w:right w:val="nil"/>
            </w:tcBorders>
            <w:shd w:val="clear" w:color="auto" w:fill="auto"/>
            <w:tcMar>
              <w:top w:w="120" w:type="dxa"/>
              <w:left w:w="192" w:type="dxa"/>
              <w:bottom w:w="120" w:type="dxa"/>
              <w:right w:w="192" w:type="dxa"/>
            </w:tcMar>
            <w:vAlign w:val="center"/>
          </w:tcPr>
          <w:p w14:paraId="63470408">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考虑特征组合效应</w:t>
            </w:r>
          </w:p>
        </w:tc>
        <w:tc>
          <w:tcPr>
            <w:tcW w:w="1781" w:type="dxa"/>
            <w:tcBorders>
              <w:top w:val="nil"/>
              <w:left w:val="nil"/>
              <w:bottom w:val="nil"/>
              <w:right w:val="nil"/>
            </w:tcBorders>
            <w:shd w:val="clear" w:color="auto" w:fill="auto"/>
            <w:tcMar>
              <w:top w:w="120" w:type="dxa"/>
              <w:left w:w="192" w:type="dxa"/>
              <w:bottom w:w="120" w:type="dxa"/>
              <w:right w:w="192" w:type="dxa"/>
            </w:tcMar>
            <w:vAlign w:val="center"/>
          </w:tcPr>
          <w:p w14:paraId="367283AB">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计算开销大，易过拟合</w:t>
            </w:r>
          </w:p>
        </w:tc>
        <w:tc>
          <w:tcPr>
            <w:tcW w:w="2097" w:type="dxa"/>
            <w:tcBorders>
              <w:top w:val="nil"/>
              <w:left w:val="nil"/>
              <w:bottom w:val="nil"/>
              <w:right w:val="nil"/>
            </w:tcBorders>
            <w:shd w:val="clear" w:color="auto" w:fill="auto"/>
            <w:tcMar>
              <w:top w:w="120" w:type="dxa"/>
              <w:left w:w="192" w:type="dxa"/>
              <w:bottom w:w="120" w:type="dxa"/>
              <w:right w:w="-1" w:type="dxa"/>
            </w:tcMar>
            <w:vAlign w:val="center"/>
          </w:tcPr>
          <w:p w14:paraId="62320C0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优化特征子集组合</w:t>
            </w:r>
          </w:p>
        </w:tc>
      </w:tr>
      <w:tr w14:paraId="68D58710">
        <w:tblPrEx>
          <w:tblCellMar>
            <w:top w:w="15" w:type="dxa"/>
            <w:left w:w="15" w:type="dxa"/>
            <w:bottom w:w="15" w:type="dxa"/>
            <w:right w:w="15" w:type="dxa"/>
          </w:tblCellMar>
        </w:tblPrEx>
        <w:trPr>
          <w:jc w:val="center"/>
        </w:trPr>
        <w:tc>
          <w:tcPr>
            <w:tcW w:w="1351" w:type="dxa"/>
            <w:tcBorders>
              <w:top w:val="nil"/>
              <w:left w:val="nil"/>
              <w:bottom w:val="nil"/>
              <w:right w:val="nil"/>
            </w:tcBorders>
            <w:shd w:val="clear" w:color="auto" w:fill="auto"/>
            <w:tcMar>
              <w:top w:w="120" w:type="dxa"/>
              <w:left w:w="-1" w:type="dxa"/>
              <w:bottom w:w="120" w:type="dxa"/>
              <w:right w:w="192" w:type="dxa"/>
            </w:tcMar>
            <w:vAlign w:val="center"/>
          </w:tcPr>
          <w:p w14:paraId="6D0C2F3C">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嵌入式</w:t>
            </w:r>
          </w:p>
        </w:tc>
        <w:tc>
          <w:tcPr>
            <w:tcW w:w="2006" w:type="dxa"/>
            <w:tcBorders>
              <w:top w:val="nil"/>
              <w:left w:val="nil"/>
              <w:bottom w:val="nil"/>
              <w:right w:val="nil"/>
            </w:tcBorders>
            <w:shd w:val="clear" w:color="auto" w:fill="auto"/>
            <w:tcMar>
              <w:top w:w="120" w:type="dxa"/>
              <w:left w:w="192" w:type="dxa"/>
              <w:bottom w:w="120" w:type="dxa"/>
              <w:right w:w="192" w:type="dxa"/>
            </w:tcMar>
            <w:vAlign w:val="center"/>
          </w:tcPr>
          <w:p w14:paraId="077D130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模型训练过程中自动选择</w:t>
            </w:r>
          </w:p>
        </w:tc>
        <w:tc>
          <w:tcPr>
            <w:tcW w:w="1915" w:type="dxa"/>
            <w:tcBorders>
              <w:top w:val="nil"/>
              <w:left w:val="nil"/>
              <w:bottom w:val="nil"/>
              <w:right w:val="nil"/>
            </w:tcBorders>
            <w:shd w:val="clear" w:color="auto" w:fill="auto"/>
            <w:tcMar>
              <w:top w:w="120" w:type="dxa"/>
              <w:left w:w="192" w:type="dxa"/>
              <w:bottom w:w="120" w:type="dxa"/>
              <w:right w:w="192" w:type="dxa"/>
            </w:tcMar>
            <w:vAlign w:val="center"/>
          </w:tcPr>
          <w:p w14:paraId="644F9B54">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兼顾效率与准确性</w:t>
            </w:r>
          </w:p>
        </w:tc>
        <w:tc>
          <w:tcPr>
            <w:tcW w:w="1781" w:type="dxa"/>
            <w:tcBorders>
              <w:top w:val="nil"/>
              <w:left w:val="nil"/>
              <w:bottom w:val="nil"/>
              <w:right w:val="nil"/>
            </w:tcBorders>
            <w:shd w:val="clear" w:color="auto" w:fill="auto"/>
            <w:tcMar>
              <w:top w:w="120" w:type="dxa"/>
              <w:left w:w="192" w:type="dxa"/>
              <w:bottom w:w="120" w:type="dxa"/>
              <w:right w:w="192" w:type="dxa"/>
            </w:tcMar>
            <w:vAlign w:val="center"/>
          </w:tcPr>
          <w:p w14:paraId="5D06D0A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依赖特定模型假设</w:t>
            </w:r>
          </w:p>
        </w:tc>
        <w:tc>
          <w:tcPr>
            <w:tcW w:w="2097" w:type="dxa"/>
            <w:tcBorders>
              <w:top w:val="nil"/>
              <w:left w:val="nil"/>
              <w:bottom w:val="nil"/>
              <w:right w:val="nil"/>
            </w:tcBorders>
            <w:shd w:val="clear" w:color="auto" w:fill="auto"/>
            <w:tcMar>
              <w:top w:w="120" w:type="dxa"/>
              <w:left w:w="192" w:type="dxa"/>
              <w:bottom w:w="120" w:type="dxa"/>
              <w:right w:w="-1" w:type="dxa"/>
            </w:tcMar>
            <w:vAlign w:val="center"/>
          </w:tcPr>
          <w:p w14:paraId="697FD9DB">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随机森林特征重要性验证</w:t>
            </w:r>
          </w:p>
        </w:tc>
      </w:tr>
      <w:tr w14:paraId="28343FF4">
        <w:tblPrEx>
          <w:tblCellMar>
            <w:top w:w="15" w:type="dxa"/>
            <w:left w:w="15" w:type="dxa"/>
            <w:bottom w:w="15" w:type="dxa"/>
            <w:right w:w="15" w:type="dxa"/>
          </w:tblCellMar>
        </w:tblPrEx>
        <w:trPr>
          <w:jc w:val="center"/>
        </w:trPr>
        <w:tc>
          <w:tcPr>
            <w:tcW w:w="1351"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62AB6F37">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特征提取</w:t>
            </w:r>
          </w:p>
        </w:tc>
        <w:tc>
          <w:tcPr>
            <w:tcW w:w="2006"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65D67B3A">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构造交互项、变换分布</w:t>
            </w:r>
          </w:p>
        </w:tc>
        <w:tc>
          <w:tcPr>
            <w:tcW w:w="1915"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70424FA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生成更具表达力的特征</w:t>
            </w:r>
          </w:p>
        </w:tc>
        <w:tc>
          <w:tcPr>
            <w:tcW w:w="1781"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3AF60BD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需领域知识指导</w:t>
            </w:r>
          </w:p>
        </w:tc>
        <w:tc>
          <w:tcPr>
            <w:tcW w:w="2097"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0C2FFE1C">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规模×复杂度交互项、对数变换</w:t>
            </w:r>
          </w:p>
        </w:tc>
      </w:tr>
    </w:tbl>
    <w:p w14:paraId="77864DED">
      <w:pPr>
        <w:pStyle w:val="4"/>
        <w:widowControl/>
        <w:numPr>
          <w:ilvl w:val="0"/>
          <w:numId w:val="7"/>
        </w:numPr>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32" w:name="_Toc7404"/>
      <w:r>
        <w:rPr>
          <w:rFonts w:ascii="Times New Roman" w:eastAsia="宋体"/>
          <w:b/>
          <w:sz w:val="24"/>
        </w:rPr>
        <w:t>数据标准化与数据集划分</w:t>
      </w:r>
      <w:bookmarkEnd w:id="32"/>
    </w:p>
    <w:p w14:paraId="76687894">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数据标准化旨在消除不同特征之间量纲差异对模型训练的影响，确保各特征在距离计算与梯度优化过程中具有同等重要性。本研究针对不同类型模型的特点，采用差异化的标准化策略。对于基于距离度量的模型（如支持向量机、K近邻），采用Z-score标准化方法，将各特征转换为均值为0、标准差为1的标准正态分布；对于树模型（决策树、随机森林），由于其基于特征值进行分裂点选择，对量纲不敏感，故无需进行标准化处理；对于线性回归模型，采用最小-最大标准化将特征缩放到[0,1]区间，以保持原始数据的分布形态并便于系数解释。</w:t>
      </w:r>
    </w:p>
    <w:p w14:paraId="20E6ACCB">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数据集划分是模型训练与评估的基础，其核心目标是在保证训练样本充分性的同时，为模型性能测试保留独立的验证样本。本研究采用留出法与交叉验证相结合的策略：首先将预处理后的完整数据集按照70%与30%的比例随机划分为训练集与测试集，训练集用于模型训练与参数调优，测试集用于最终性能评估。在此基础上，针对训练集采用5折交叉验证进行模型选择与参数优化，即将训练集进一步划分为5个互斥子集，轮流使用其中4个子集进行训练、1个子集进行验证，将5次验证结果的平均值作为模型性能的估计，以降低单次划分随机性带来的评估偏差。同时，为确保划分过程中工作量分布的稳定性，采用分层抽样策略，保证训练集与测试集中不同规模区间项目的比例与原始数据集保持一致。</w:t>
      </w:r>
    </w:p>
    <w:tbl>
      <w:tblPr>
        <w:tblStyle w:val="26"/>
        <w:tblW w:w="9145" w:type="dxa"/>
        <w:jc w:val="center"/>
        <w:tblLayout w:type="autofit"/>
        <w:tblCellMar>
          <w:top w:w="15" w:type="dxa"/>
          <w:left w:w="15" w:type="dxa"/>
          <w:bottom w:w="15" w:type="dxa"/>
          <w:right w:w="15" w:type="dxa"/>
        </w:tblCellMar>
      </w:tblPr>
      <w:tblGrid>
        <w:gridCol w:w="1581"/>
        <w:gridCol w:w="2461"/>
        <w:gridCol w:w="2289"/>
        <w:gridCol w:w="2814"/>
      </w:tblGrid>
      <w:tr w14:paraId="535C6267">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4C7FB84B">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标准化方法</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5ACDF93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计算公式</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2ADDFF35">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适用模型</w:t>
            </w:r>
          </w:p>
        </w:tc>
        <w:tc>
          <w:tcPr>
            <w:tcW w:w="2814"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21945A64">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特点</w:t>
            </w:r>
          </w:p>
        </w:tc>
      </w:tr>
      <w:tr w14:paraId="6CEBDFF8">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1A37EC7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Z-score标准化</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E77BCB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x' = (x - μ)/σ</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0290964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SVM、KNN、神经网络</w:t>
            </w:r>
          </w:p>
        </w:tc>
        <w:tc>
          <w:tcPr>
            <w:tcW w:w="2814"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7FE0C4D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消除量纲，保留异常值信息</w:t>
            </w:r>
          </w:p>
        </w:tc>
      </w:tr>
      <w:tr w14:paraId="4918283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2FFC0DA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最小-最大标准化</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3A584E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x' = (x - min)/(max - min)</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FE98B8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线性回归</w:t>
            </w:r>
          </w:p>
        </w:tc>
        <w:tc>
          <w:tcPr>
            <w:tcW w:w="2814" w:type="dxa"/>
            <w:tcBorders>
              <w:top w:val="nil"/>
              <w:left w:val="nil"/>
              <w:bottom w:val="nil"/>
              <w:right w:val="nil"/>
            </w:tcBorders>
            <w:shd w:val="clear" w:color="auto" w:fill="auto"/>
            <w:tcMar>
              <w:top w:w="120" w:type="dxa"/>
              <w:left w:w="192" w:type="dxa"/>
              <w:bottom w:w="120" w:type="dxa"/>
              <w:right w:w="-1" w:type="dxa"/>
            </w:tcMar>
            <w:vAlign w:val="center"/>
          </w:tcPr>
          <w:p w14:paraId="2D9BB26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缩放到[0,1]，保留原始分布形态</w:t>
            </w:r>
          </w:p>
        </w:tc>
      </w:tr>
      <w:tr w14:paraId="2A7367F6">
        <w:tblPrEx>
          <w:tblCellMar>
            <w:top w:w="15" w:type="dxa"/>
            <w:left w:w="15" w:type="dxa"/>
            <w:bottom w:w="15" w:type="dxa"/>
            <w:right w:w="15" w:type="dxa"/>
          </w:tblCellMar>
        </w:tblPrEx>
        <w:trPr>
          <w:jc w:val="center"/>
        </w:trPr>
        <w:tc>
          <w:tcPr>
            <w:tcW w:w="1581"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3ECC4137">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无需标准化</w:t>
            </w:r>
          </w:p>
        </w:tc>
        <w:tc>
          <w:tcPr>
            <w:tcW w:w="2461"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3CEEB66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w:t>
            </w:r>
          </w:p>
        </w:tc>
        <w:tc>
          <w:tcPr>
            <w:tcW w:w="2289"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CD80B3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决策树、随机森林</w:t>
            </w:r>
          </w:p>
        </w:tc>
        <w:tc>
          <w:tcPr>
            <w:tcW w:w="2814"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77343F7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基于分裂点阈值，对量纲不敏感</w:t>
            </w:r>
          </w:p>
        </w:tc>
      </w:tr>
    </w:tbl>
    <w:p w14:paraId="286816F8">
      <w:pPr>
        <w:snapToGrid/>
        <w:spacing w:beforeAutospacing="0" w:afterAutospacing="0" w:line="400" w:lineRule="exact"/>
        <w:ind w:left="0" w:leftChars="0" w:right="0" w:rightChars="0" w:firstLine="480" w:firstLineChars="200"/>
        <w:jc w:val="left"/>
        <w:rPr>
          <w:rFonts w:ascii="Times New Roman" w:eastAsia="宋体"/>
          <w:vanish/>
          <w:sz w:val="24"/>
          <w:szCs w:val="24"/>
        </w:rPr>
      </w:pPr>
    </w:p>
    <w:tbl>
      <w:tblPr>
        <w:tblStyle w:val="26"/>
        <w:tblW w:w="9146" w:type="dxa"/>
        <w:jc w:val="center"/>
        <w:tblLayout w:type="autofit"/>
        <w:tblCellMar>
          <w:top w:w="15" w:type="dxa"/>
          <w:left w:w="15" w:type="dxa"/>
          <w:bottom w:w="15" w:type="dxa"/>
          <w:right w:w="15" w:type="dxa"/>
        </w:tblCellMar>
      </w:tblPr>
      <w:tblGrid>
        <w:gridCol w:w="1874"/>
        <w:gridCol w:w="2570"/>
        <w:gridCol w:w="2357"/>
        <w:gridCol w:w="2345"/>
      </w:tblGrid>
      <w:tr w14:paraId="07FD581C">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3C45F05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划分方法</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62217DE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划分比例</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9E75039">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用途</w:t>
            </w:r>
          </w:p>
        </w:tc>
        <w:tc>
          <w:tcPr>
            <w:tcW w:w="2345"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9FD5D9D">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优势</w:t>
            </w:r>
          </w:p>
        </w:tc>
      </w:tr>
      <w:tr w14:paraId="02337AA8">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1D29D841">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训练集</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95A044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70%</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3D635A1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模型训练与参数调优</w:t>
            </w:r>
          </w:p>
        </w:tc>
        <w:tc>
          <w:tcPr>
            <w:tcW w:w="2345"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2783B13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保证样本充分性</w:t>
            </w:r>
          </w:p>
        </w:tc>
      </w:tr>
      <w:tr w14:paraId="1AA1B7E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0BF53E6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测试集</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A68825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30%</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65D0A8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最终性能评估</w:t>
            </w:r>
          </w:p>
        </w:tc>
        <w:tc>
          <w:tcPr>
            <w:tcW w:w="2345" w:type="dxa"/>
            <w:tcBorders>
              <w:top w:val="nil"/>
              <w:left w:val="nil"/>
              <w:bottom w:val="nil"/>
              <w:right w:val="nil"/>
            </w:tcBorders>
            <w:shd w:val="clear" w:color="auto" w:fill="auto"/>
            <w:tcMar>
              <w:top w:w="120" w:type="dxa"/>
              <w:left w:w="192" w:type="dxa"/>
              <w:bottom w:w="120" w:type="dxa"/>
              <w:right w:w="-1" w:type="dxa"/>
            </w:tcMar>
            <w:vAlign w:val="center"/>
          </w:tcPr>
          <w:p w14:paraId="6A6AB4A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独立验证模型泛化能力</w:t>
            </w:r>
          </w:p>
        </w:tc>
      </w:tr>
      <w:tr w14:paraId="0C7E554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4918B9B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交叉验证（5折）</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49A5091">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训练集内部分</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F119A6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模型选择与参数优化</w:t>
            </w:r>
          </w:p>
        </w:tc>
        <w:tc>
          <w:tcPr>
            <w:tcW w:w="2345" w:type="dxa"/>
            <w:tcBorders>
              <w:top w:val="nil"/>
              <w:left w:val="nil"/>
              <w:bottom w:val="nil"/>
              <w:right w:val="nil"/>
            </w:tcBorders>
            <w:shd w:val="clear" w:color="auto" w:fill="auto"/>
            <w:tcMar>
              <w:top w:w="120" w:type="dxa"/>
              <w:left w:w="192" w:type="dxa"/>
              <w:bottom w:w="120" w:type="dxa"/>
              <w:right w:w="-1" w:type="dxa"/>
            </w:tcMar>
            <w:vAlign w:val="center"/>
          </w:tcPr>
          <w:p w14:paraId="215D1F1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降低随机性偏差</w:t>
            </w:r>
          </w:p>
        </w:tc>
      </w:tr>
      <w:tr w14:paraId="48E3379D">
        <w:tblPrEx>
          <w:tblCellMar>
            <w:top w:w="15" w:type="dxa"/>
            <w:left w:w="15" w:type="dxa"/>
            <w:bottom w:w="15" w:type="dxa"/>
            <w:right w:w="15" w:type="dxa"/>
          </w:tblCellMar>
        </w:tblPrEx>
        <w:trPr>
          <w:jc w:val="center"/>
        </w:trPr>
        <w:tc>
          <w:tcPr>
            <w:tcW w:w="1874"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659A46CE">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分层抽样</w:t>
            </w:r>
          </w:p>
        </w:tc>
        <w:tc>
          <w:tcPr>
            <w:tcW w:w="2570"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6A9B27A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按工作量分布比例划分</w:t>
            </w:r>
          </w:p>
        </w:tc>
        <w:tc>
          <w:tcPr>
            <w:tcW w:w="2357"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5D4CEAD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确保划分代表性</w:t>
            </w:r>
          </w:p>
        </w:tc>
        <w:tc>
          <w:tcPr>
            <w:tcW w:w="2345"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6ADA0448">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维持工作量分布稳定性</w:t>
            </w:r>
          </w:p>
        </w:tc>
      </w:tr>
    </w:tbl>
    <w:p w14:paraId="4FD96CCF">
      <w:pPr>
        <w:pStyle w:val="3"/>
        <w:widowControl/>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33" w:name="_Toc20116"/>
      <w:r>
        <w:rPr>
          <w:rFonts w:hint="eastAsia" w:ascii="Times New Roman" w:eastAsia="黑体"/>
          <w:b w:val="0"/>
          <w:sz w:val="28"/>
        </w:rPr>
        <w:t>3.4</w:t>
      </w:r>
      <w:r>
        <w:rPr>
          <w:rFonts w:ascii="Times New Roman" w:eastAsia="黑体"/>
          <w:b w:val="0"/>
          <w:sz w:val="28"/>
        </w:rPr>
        <w:t>模型性能评价指标</w:t>
      </w:r>
      <w:bookmarkEnd w:id="33"/>
    </w:p>
    <w:p w14:paraId="633014D1">
      <w:pPr>
        <w:pStyle w:val="4"/>
        <w:widowControl/>
        <w:numPr>
          <w:ilvl w:val="0"/>
          <w:numId w:val="8"/>
        </w:numPr>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34" w:name="_Toc14276"/>
      <w:r>
        <w:rPr>
          <w:rFonts w:ascii="Times New Roman" w:eastAsia="宋体"/>
          <w:b/>
          <w:sz w:val="24"/>
        </w:rPr>
        <w:t>平均绝对误差 (MAE)</w:t>
      </w:r>
      <w:bookmarkEnd w:id="34"/>
    </w:p>
    <w:p w14:paraId="469B8B0A">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平均绝对误差（Mean Absolute Error, MAE）是评估回归模型预测精度的基础指标，其定义为预测值与实际值之间绝对误差的平均值。计算公式为：MAE = (1/n) × Σ|yi - ŷi|，其中yi为实际工作量，ŷi为模型预测工作量，n为样本数量。MAE的物理意义直观明确——它直接度量了模型预测的平均偏差幅度，且与原始工作量具有相同的量纲，便于理解和解释。例如，若工作量以人月为单位，MAE值为2.5则表示模型预测平均偏差为2.5人月。MAE对异常值不敏感，能够稳健反映模型在整体样本上的平均预测表现，是工作量估算研究中广泛采用的核心评价指标之一。本研究将MAE作为模型性能对比的基础指标，重点关注各模型在实际工作量尺度上的平均预测偏差。</w:t>
      </w:r>
    </w:p>
    <w:p w14:paraId="5831D4CD">
      <w:pPr>
        <w:pStyle w:val="4"/>
        <w:widowControl/>
        <w:numPr>
          <w:ilvl w:val="0"/>
          <w:numId w:val="8"/>
        </w:numPr>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35" w:name="_Toc6634"/>
      <w:r>
        <w:rPr>
          <w:rFonts w:ascii="Times New Roman" w:eastAsia="宋体"/>
          <w:b/>
          <w:sz w:val="24"/>
        </w:rPr>
        <w:t>均方根误差 (RMSE)</w:t>
      </w:r>
      <w:bookmarkEnd w:id="35"/>
    </w:p>
    <w:p w14:paraId="0ABD91F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均方根误差（Root Mean Square Error, RMSE）是另一个广泛应用的回归模型评价指标，其定义为预测值与实际值之间平方误差均值的平方根。计算公式为：RMSE = sqrt((1/n) × Σ(yi - ŷi)²)。与MAE相比，RMSE通过对误差进行平方运算，放大了较大误差在整体评价中的权重，因此对异常值更为敏感。这一特性使得RMSE能够有效识别模型中存在的极端预测偏差——如果一个模型在大部分样本上表现良好，但在少数样本上出现严重偏离，其RMSE值会显著高于MAE值。在工作量估算场景中，RMSE能够帮助研究者识别模型是否存在对某些类型项目估算失效的风险。本研究将同时采用MAE与RMSE进行模型性能评价，通过两者的对比分析判断模型误差的分布特征——若MAE与RMSE数值接近，说明模型误差分布较为均匀；若RMSE显著高于MAE，则提示模型存在较大方差或异常预测偏差。</w:t>
      </w:r>
    </w:p>
    <w:p w14:paraId="2595943D">
      <w:pPr>
        <w:pStyle w:val="4"/>
        <w:widowControl/>
        <w:numPr>
          <w:ilvl w:val="0"/>
          <w:numId w:val="8"/>
        </w:numPr>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36" w:name="_Toc4547"/>
      <w:r>
        <w:rPr>
          <w:rFonts w:ascii="Times New Roman" w:eastAsia="宋体"/>
          <w:b/>
          <w:sz w:val="24"/>
        </w:rPr>
        <w:t>其他指标 (MMRE, Pred)</w:t>
      </w:r>
      <w:bookmarkEnd w:id="36"/>
    </w:p>
    <w:p w14:paraId="7664A40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除MAE与RMSE外，软件工作量估算领域还广泛采用一系列相对误差指标，以消除项目规模差异对误差评价的影响。其中最具代表性的是MMRE（平均相对误差绝对值，Mean Magnitude of Relative Error）与Pred（预测精度指标）。MMRE的计算公式为：MMRE = (1/n) × Σ(|yi - ŷi|/yi)，即各样本相对误差绝对值的平均值。MMRE以百分比形式度量预测精度，便于不同规模项目之间的横向比较——例如MMRE值为0.25表示模型平均相对误差为25%。然而，MMRE对工作量较小的项目较为敏感，小项目的微小绝对偏差可能转化为较大的相对误差。</w:t>
      </w:r>
    </w:p>
    <w:p w14:paraId="0DF57F6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Pred指标定义为在给定相对误差阈值范围内样本所占的比例，通常表示为Pred(ℓ) = k/n，其中k为相对误差小于等于ℓ的样本数量。最常用的阈值为ℓ=0.25，即Pred(25)表示预测相对误差不超过25%的样本占总样本的比例。Pred指标能够直观反映模型的预测稳定性与可靠性——若Pred(25)达到0.75，说明模型对75%的样本预测相对误差控制在25%以内。本研究将综合采用MMRE与Pred指标，从平均相对误差与预测稳定性两个维度对模型性能进行全面评价，同时结合MAE与RMSE的绝对误差分析，形成多层次、多维度的模型性能评估体系。</w:t>
      </w:r>
    </w:p>
    <w:tbl>
      <w:tblPr>
        <w:tblStyle w:val="26"/>
        <w:tblW w:w="9481" w:type="dxa"/>
        <w:jc w:val="center"/>
        <w:tblLayout w:type="autofit"/>
        <w:tblCellMar>
          <w:top w:w="15" w:type="dxa"/>
          <w:left w:w="15" w:type="dxa"/>
          <w:bottom w:w="15" w:type="dxa"/>
          <w:right w:w="15" w:type="dxa"/>
        </w:tblCellMar>
      </w:tblPr>
      <w:tblGrid>
        <w:gridCol w:w="992"/>
        <w:gridCol w:w="1917"/>
        <w:gridCol w:w="1170"/>
        <w:gridCol w:w="1338"/>
        <w:gridCol w:w="1350"/>
        <w:gridCol w:w="1595"/>
        <w:gridCol w:w="1119"/>
      </w:tblGrid>
      <w:tr w14:paraId="70606BFA">
        <w:tblPrEx>
          <w:tblCellMar>
            <w:top w:w="15" w:type="dxa"/>
            <w:left w:w="15" w:type="dxa"/>
            <w:bottom w:w="15" w:type="dxa"/>
            <w:right w:w="15" w:type="dxa"/>
          </w:tblCellMar>
        </w:tblPrEx>
        <w:trPr>
          <w:gridAfter w:val="2"/>
          <w:wAfter w:w="2714" w:type="dxa"/>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1E256AC3">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评价指标</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C7D743D">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计算公式</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3E100E2">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度量维度</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9EBA4D6">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优势</w:t>
            </w:r>
          </w:p>
        </w:tc>
        <w:tc>
          <w:tcPr>
            <w:tcW w:w="1350"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201F6B34">
            <w:pPr>
              <w:widowControl/>
              <w:snapToGrid w:val="0"/>
              <w:spacing w:line="240" w:lineRule="auto"/>
              <w:ind w:firstLine="0" w:firstLineChars="0"/>
              <w:jc w:val="center"/>
              <w:rPr>
                <w:rFonts w:ascii="Segoe UI" w:hAnsi="Segoe UI" w:eastAsia="Segoe UI" w:cs="Segoe UI"/>
                <w:sz w:val="18"/>
                <w:szCs w:val="18"/>
              </w:rPr>
            </w:pPr>
            <w:r>
              <w:rPr>
                <w:rStyle w:val="29"/>
                <w:rFonts w:ascii="Segoe UI" w:hAnsi="Segoe UI" w:eastAsia="Segoe UI" w:cs="Segoe UI"/>
                <w:bCs/>
                <w:kern w:val="0"/>
                <w:sz w:val="18"/>
                <w:szCs w:val="18"/>
                <w:lang w:bidi="ar"/>
              </w:rPr>
              <w:t>敏感特性</w:t>
            </w:r>
          </w:p>
        </w:tc>
      </w:tr>
      <w:tr w14:paraId="4AF29746">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3E1B379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MAE</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3530EA6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(1/n) × Σ</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309E75D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yi - ŷi</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4A1BD149">
            <w:pPr>
              <w:snapToGrid w:val="0"/>
              <w:spacing w:line="240" w:lineRule="auto"/>
              <w:ind w:firstLine="0" w:firstLineChars="0"/>
              <w:jc w:val="center"/>
              <w:rPr>
                <w:rFonts w:ascii="Segoe UI" w:hAnsi="Segoe UI" w:eastAsia="Segoe UI" w:cs="Segoe UI"/>
                <w:sz w:val="18"/>
                <w:szCs w:val="18"/>
              </w:rPr>
            </w:pP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2838B3F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绝对误差</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225DBBEA">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直观易解释，量纲一致</w:t>
            </w:r>
          </w:p>
        </w:tc>
        <w:tc>
          <w:tcPr>
            <w:tcW w:w="1119"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00FED308">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对异常值不敏感</w:t>
            </w:r>
          </w:p>
        </w:tc>
      </w:tr>
      <w:tr w14:paraId="50C3E240">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57A22934">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RMSE</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3138DDB">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sqrt((1/n) × Σ(yi - ŷi)²)</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035B57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绝对误差</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7807FB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放大较大误差权重</w:t>
            </w:r>
          </w:p>
        </w:tc>
        <w:tc>
          <w:tcPr>
            <w:tcW w:w="0" w:type="auto"/>
            <w:tcBorders>
              <w:top w:val="nil"/>
              <w:left w:val="nil"/>
              <w:bottom w:val="nil"/>
              <w:right w:val="nil"/>
            </w:tcBorders>
            <w:shd w:val="clear" w:color="auto" w:fill="auto"/>
            <w:tcMar>
              <w:top w:w="120" w:type="dxa"/>
              <w:left w:w="192" w:type="dxa"/>
              <w:bottom w:w="120" w:type="dxa"/>
              <w:right w:w="-1" w:type="dxa"/>
            </w:tcMar>
            <w:vAlign w:val="center"/>
          </w:tcPr>
          <w:p w14:paraId="27AF566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对异常值敏感</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0C92BAF6">
            <w:pPr>
              <w:snapToGrid w:val="0"/>
              <w:spacing w:line="240" w:lineRule="auto"/>
              <w:ind w:firstLine="0" w:firstLineChars="0"/>
              <w:jc w:val="left"/>
              <w:rPr>
                <w:rFonts w:ascii="Segoe UI" w:eastAsia="Segoe UI"/>
                <w:sz w:val="18"/>
                <w:szCs w:val="24"/>
              </w:rPr>
            </w:pPr>
          </w:p>
        </w:tc>
        <w:tc>
          <w:tcPr>
            <w:tcW w:w="1119" w:type="dxa"/>
            <w:tcBorders>
              <w:top w:val="nil"/>
              <w:left w:val="nil"/>
              <w:bottom w:val="nil"/>
              <w:right w:val="nil"/>
            </w:tcBorders>
            <w:shd w:val="clear" w:color="auto" w:fill="auto"/>
            <w:tcMar>
              <w:top w:w="-1" w:type="dxa"/>
              <w:left w:w="-1" w:type="dxa"/>
              <w:bottom w:w="-1" w:type="dxa"/>
              <w:right w:w="-1" w:type="dxa"/>
            </w:tcMar>
            <w:vAlign w:val="center"/>
          </w:tcPr>
          <w:p w14:paraId="741B2769">
            <w:pPr>
              <w:snapToGrid w:val="0"/>
              <w:spacing w:line="240" w:lineRule="auto"/>
              <w:ind w:firstLine="0" w:firstLineChars="0"/>
              <w:jc w:val="center"/>
              <w:rPr>
                <w:rFonts w:ascii="Segoe UI" w:eastAsia="Segoe UI"/>
                <w:sz w:val="18"/>
                <w:szCs w:val="24"/>
              </w:rPr>
            </w:pPr>
          </w:p>
        </w:tc>
      </w:tr>
      <w:tr w14:paraId="1266D57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05CB9BE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MMRE</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F27A60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(1/n) × Σ(</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F1A647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yi - ŷi</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128C188C">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/yi)</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3967001">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相对误差</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D53923B">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消除规模差异影响</w:t>
            </w:r>
          </w:p>
        </w:tc>
        <w:tc>
          <w:tcPr>
            <w:tcW w:w="1119" w:type="dxa"/>
            <w:tcBorders>
              <w:top w:val="nil"/>
              <w:left w:val="nil"/>
              <w:bottom w:val="nil"/>
              <w:right w:val="nil"/>
            </w:tcBorders>
            <w:shd w:val="clear" w:color="auto" w:fill="auto"/>
            <w:tcMar>
              <w:top w:w="120" w:type="dxa"/>
              <w:left w:w="192" w:type="dxa"/>
              <w:bottom w:w="120" w:type="dxa"/>
              <w:right w:w="-1" w:type="dxa"/>
            </w:tcMar>
            <w:vAlign w:val="center"/>
          </w:tcPr>
          <w:p w14:paraId="6A1DC04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对小项目误差敏感</w:t>
            </w:r>
          </w:p>
        </w:tc>
      </w:tr>
      <w:tr w14:paraId="1EDFB995">
        <w:tblPrEx>
          <w:tblCellMar>
            <w:top w:w="15" w:type="dxa"/>
            <w:left w:w="15" w:type="dxa"/>
            <w:bottom w:w="15" w:type="dxa"/>
            <w:right w:w="15" w:type="dxa"/>
          </w:tblCellMar>
        </w:tblPrEx>
        <w:trPr>
          <w:jc w:val="center"/>
        </w:trPr>
        <w:tc>
          <w:tcPr>
            <w:tcW w:w="992"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0E16FB8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Pred(25)</w:t>
            </w:r>
          </w:p>
        </w:tc>
        <w:tc>
          <w:tcPr>
            <w:tcW w:w="1917"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2BB918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相对误差≤25%的样本比例</w:t>
            </w:r>
          </w:p>
        </w:tc>
        <w:tc>
          <w:tcPr>
            <w:tcW w:w="1170"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10CBBA9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预测稳定性</w:t>
            </w:r>
          </w:p>
        </w:tc>
        <w:tc>
          <w:tcPr>
            <w:tcW w:w="1338"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72C13F8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直观反映可靠性</w:t>
            </w:r>
          </w:p>
        </w:tc>
        <w:tc>
          <w:tcPr>
            <w:tcW w:w="1350"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7AAF7C6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反映整体预测一致性</w:t>
            </w:r>
          </w:p>
        </w:tc>
        <w:tc>
          <w:tcPr>
            <w:tcW w:w="1595"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394565FF">
            <w:pPr>
              <w:snapToGrid w:val="0"/>
              <w:spacing w:line="240" w:lineRule="auto"/>
              <w:ind w:firstLine="0" w:firstLineChars="0"/>
              <w:jc w:val="left"/>
              <w:rPr>
                <w:rFonts w:ascii="Segoe UI" w:eastAsia="Segoe UI"/>
                <w:sz w:val="18"/>
                <w:szCs w:val="24"/>
              </w:rPr>
            </w:pPr>
          </w:p>
        </w:tc>
        <w:tc>
          <w:tcPr>
            <w:tcW w:w="1119" w:type="dxa"/>
            <w:tcBorders>
              <w:top w:val="nil"/>
              <w:left w:val="nil"/>
              <w:bottom w:val="single" w:color="auto" w:sz="12" w:space="0"/>
              <w:right w:val="nil"/>
            </w:tcBorders>
            <w:shd w:val="clear" w:color="auto" w:fill="auto"/>
            <w:tcMar>
              <w:top w:w="-1" w:type="dxa"/>
              <w:left w:w="-1" w:type="dxa"/>
              <w:bottom w:w="-1" w:type="dxa"/>
              <w:right w:w="-1" w:type="dxa"/>
            </w:tcMar>
            <w:vAlign w:val="center"/>
          </w:tcPr>
          <w:p w14:paraId="3666BFFA">
            <w:pPr>
              <w:snapToGrid w:val="0"/>
              <w:spacing w:line="240" w:lineRule="auto"/>
              <w:ind w:firstLine="0" w:firstLineChars="0"/>
              <w:jc w:val="center"/>
              <w:rPr>
                <w:rFonts w:ascii="Segoe UI" w:eastAsia="Segoe UI"/>
                <w:sz w:val="18"/>
                <w:szCs w:val="24"/>
              </w:rPr>
            </w:pPr>
          </w:p>
        </w:tc>
      </w:tr>
    </w:tbl>
    <w:p w14:paraId="07DF41DA">
      <w:pPr>
        <w:pStyle w:val="2"/>
        <w:widowControl/>
        <w:shd w:val="clear" w:color="auto" w:fill="FFFFFF"/>
        <w:snapToGrid/>
        <w:spacing w:before="0" w:beforeAutospacing="0" w:afterAutospacing="0" w:line="600" w:lineRule="auto"/>
        <w:ind w:left="0" w:leftChars="0" w:right="0" w:rightChars="0" w:firstLine="0" w:firstLineChars="0"/>
        <w:jc w:val="left"/>
        <w:outlineLvl w:val="0"/>
        <w:rPr>
          <w:rFonts w:ascii="Times New Roman" w:eastAsia="黑体"/>
          <w:b w:val="0"/>
          <w:color w:val="auto"/>
          <w:sz w:val="30"/>
        </w:rPr>
      </w:pPr>
      <w:bookmarkStart w:id="37" w:name="_Toc10504"/>
      <w:r>
        <w:rPr>
          <w:rFonts w:hint="eastAsia" w:ascii="Times New Roman" w:eastAsia="黑体"/>
          <w:b w:val="0"/>
          <w:color w:val="auto"/>
          <w:sz w:val="30"/>
        </w:rPr>
        <w:t>4.</w:t>
      </w:r>
      <w:r>
        <w:rPr>
          <w:rFonts w:ascii="Times New Roman" w:eastAsia="黑体"/>
          <w:b w:val="0"/>
          <w:color w:val="auto"/>
          <w:sz w:val="30"/>
        </w:rPr>
        <w:t>基于机器学习的估算模型构建与实证分析</w:t>
      </w:r>
      <w:bookmarkEnd w:id="37"/>
    </w:p>
    <w:p w14:paraId="1AEE0EEE">
      <w:pPr>
        <w:pStyle w:val="3"/>
        <w:widowControl/>
        <w:numPr>
          <w:ilvl w:val="0"/>
          <w:numId w:val="9"/>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38" w:name="_Toc6586"/>
      <w:r>
        <w:rPr>
          <w:rFonts w:ascii="Times New Roman" w:eastAsia="黑体"/>
          <w:b w:val="0"/>
          <w:sz w:val="28"/>
        </w:rPr>
        <w:t>实验环境与工具</w:t>
      </w:r>
      <w:bookmarkEnd w:id="38"/>
    </w:p>
    <w:p w14:paraId="39BF85EC">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本研究的实验环境基于个人计算机搭建，具体配置为：处理器Intel Core i7-12700H，内存16GB DDR4，操作系统Windows 11。实验采用Python 3.9作为核心编程语言，主要依赖Scikit-learn 1.2.0机器学习库完成模型构建与训练，该库提供了统一的算法调用接口与丰富的模型评估工具</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"https://journals.tubitak.gov.tr/elektrik/vol27/iss2/46/"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。数据预处理阶段使用Pandas 1.5.0与NumPy 1.23.0进行数据清洗、特征变换与数值计算。数据可视化采用Matplotlib 3.6.0与Seaborn 0.12.0，用于特征分布分析、模型误差可视化及特征重要性排序图的生成。模型参数调优采用Scikit-learn内置的GridSearchCV工具，支持基于交叉验证的网格搜索与随机搜索策略</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"https://journals.tubitak.gov.tr/elektrik/vol27/iss2/46/"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。集成学习模型的实现基于Scikit-learn的集成模块，支持决策树、随机森林、梯度提升等算法的快速调用与参数配置。</w:t>
      </w:r>
    </w:p>
    <w:tbl>
      <w:tblPr>
        <w:tblStyle w:val="26"/>
        <w:tblW w:w="9146" w:type="dxa"/>
        <w:jc w:val="center"/>
        <w:tblLayout w:type="autofit"/>
        <w:tblCellMar>
          <w:top w:w="15" w:type="dxa"/>
          <w:left w:w="15" w:type="dxa"/>
          <w:bottom w:w="15" w:type="dxa"/>
          <w:right w:w="15" w:type="dxa"/>
        </w:tblCellMar>
      </w:tblPr>
      <w:tblGrid>
        <w:gridCol w:w="1562"/>
        <w:gridCol w:w="4045"/>
        <w:gridCol w:w="3539"/>
      </w:tblGrid>
      <w:tr w14:paraId="7A116E31">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038170D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实验环境维度</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7D20A1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具体配置与工具</w:t>
            </w:r>
          </w:p>
        </w:tc>
        <w:tc>
          <w:tcPr>
            <w:tcW w:w="3539"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6FD92FF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主要用途</w:t>
            </w:r>
          </w:p>
        </w:tc>
      </w:tr>
      <w:tr w14:paraId="705F57EE">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09BD43D1">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硬件配置</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3CDF5FB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Intel Core i7-12700H, 16GB RAM</w:t>
            </w:r>
          </w:p>
        </w:tc>
        <w:tc>
          <w:tcPr>
            <w:tcW w:w="3539"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6067276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模型训练与计算</w:t>
            </w:r>
          </w:p>
        </w:tc>
      </w:tr>
      <w:tr w14:paraId="55CAC519">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14BD4A8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操作系统</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CE13406">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Windows 11</w:t>
            </w:r>
          </w:p>
        </w:tc>
        <w:tc>
          <w:tcPr>
            <w:tcW w:w="3539" w:type="dxa"/>
            <w:tcBorders>
              <w:top w:val="nil"/>
              <w:left w:val="nil"/>
              <w:bottom w:val="nil"/>
              <w:right w:val="nil"/>
            </w:tcBorders>
            <w:shd w:val="clear" w:color="auto" w:fill="auto"/>
            <w:tcMar>
              <w:top w:w="120" w:type="dxa"/>
              <w:left w:w="192" w:type="dxa"/>
              <w:bottom w:w="120" w:type="dxa"/>
              <w:right w:w="-1" w:type="dxa"/>
            </w:tcMar>
            <w:vAlign w:val="center"/>
          </w:tcPr>
          <w:p w14:paraId="2695A43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实验平台基础</w:t>
            </w:r>
          </w:p>
        </w:tc>
      </w:tr>
      <w:tr w14:paraId="13F1428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5EF84378">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编程语言</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541484E">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Python 3.9</w:t>
            </w:r>
          </w:p>
        </w:tc>
        <w:tc>
          <w:tcPr>
            <w:tcW w:w="3539" w:type="dxa"/>
            <w:tcBorders>
              <w:top w:val="nil"/>
              <w:left w:val="nil"/>
              <w:bottom w:val="nil"/>
              <w:right w:val="nil"/>
            </w:tcBorders>
            <w:shd w:val="clear" w:color="auto" w:fill="auto"/>
            <w:tcMar>
              <w:top w:w="120" w:type="dxa"/>
              <w:left w:w="192" w:type="dxa"/>
              <w:bottom w:w="120" w:type="dxa"/>
              <w:right w:w="-1" w:type="dxa"/>
            </w:tcMar>
            <w:vAlign w:val="center"/>
          </w:tcPr>
          <w:p w14:paraId="647FBFE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核心开发语言</w:t>
            </w:r>
          </w:p>
        </w:tc>
      </w:tr>
      <w:tr w14:paraId="045E7749">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29911CF1">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机器学习库</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F10075E">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Scikit-learn 1.2.0</w:t>
            </w:r>
          </w:p>
        </w:tc>
        <w:tc>
          <w:tcPr>
            <w:tcW w:w="3539" w:type="dxa"/>
            <w:tcBorders>
              <w:top w:val="nil"/>
              <w:left w:val="nil"/>
              <w:bottom w:val="nil"/>
              <w:right w:val="nil"/>
            </w:tcBorders>
            <w:shd w:val="clear" w:color="auto" w:fill="auto"/>
            <w:tcMar>
              <w:top w:w="120" w:type="dxa"/>
              <w:left w:w="192" w:type="dxa"/>
              <w:bottom w:w="120" w:type="dxa"/>
              <w:right w:w="-1" w:type="dxa"/>
            </w:tcMar>
            <w:vAlign w:val="center"/>
          </w:tcPr>
          <w:p w14:paraId="64F7755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模型构建、训练、评估、调优</w:t>
            </w:r>
          </w:p>
        </w:tc>
      </w:tr>
      <w:tr w14:paraId="33CB033F">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3712E0B8">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数据处理库</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A43CB55">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Pandas 1.5.0, NumPy 1.23.0</w:t>
            </w:r>
          </w:p>
        </w:tc>
        <w:tc>
          <w:tcPr>
            <w:tcW w:w="3539" w:type="dxa"/>
            <w:tcBorders>
              <w:top w:val="nil"/>
              <w:left w:val="nil"/>
              <w:bottom w:val="nil"/>
              <w:right w:val="nil"/>
            </w:tcBorders>
            <w:shd w:val="clear" w:color="auto" w:fill="auto"/>
            <w:tcMar>
              <w:top w:w="120" w:type="dxa"/>
              <w:left w:w="192" w:type="dxa"/>
              <w:bottom w:w="120" w:type="dxa"/>
              <w:right w:w="-1" w:type="dxa"/>
            </w:tcMar>
            <w:vAlign w:val="center"/>
          </w:tcPr>
          <w:p w14:paraId="45DC699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数据清洗、特征工程、数值计算</w:t>
            </w:r>
          </w:p>
        </w:tc>
      </w:tr>
      <w:tr w14:paraId="4635B28E">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0E484F5F">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可视化库</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719ADEE">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Matplotlib 3.6.0, Seaborn 0.12.0</w:t>
            </w:r>
          </w:p>
        </w:tc>
        <w:tc>
          <w:tcPr>
            <w:tcW w:w="3539" w:type="dxa"/>
            <w:tcBorders>
              <w:top w:val="nil"/>
              <w:left w:val="nil"/>
              <w:bottom w:val="nil"/>
              <w:right w:val="nil"/>
            </w:tcBorders>
            <w:shd w:val="clear" w:color="auto" w:fill="auto"/>
            <w:tcMar>
              <w:top w:w="120" w:type="dxa"/>
              <w:left w:w="192" w:type="dxa"/>
              <w:bottom w:w="120" w:type="dxa"/>
              <w:right w:w="-1" w:type="dxa"/>
            </w:tcMar>
            <w:vAlign w:val="center"/>
          </w:tcPr>
          <w:p w14:paraId="7F3242B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特征分析、误差可视化、结果展示</w:t>
            </w:r>
          </w:p>
        </w:tc>
      </w:tr>
      <w:tr w14:paraId="305469B5">
        <w:tblPrEx>
          <w:tblCellMar>
            <w:top w:w="15" w:type="dxa"/>
            <w:left w:w="15" w:type="dxa"/>
            <w:bottom w:w="15" w:type="dxa"/>
            <w:right w:w="15" w:type="dxa"/>
          </w:tblCellMar>
        </w:tblPrEx>
        <w:trPr>
          <w:jc w:val="center"/>
        </w:trPr>
        <w:tc>
          <w:tcPr>
            <w:tcW w:w="1562"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150FD03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调优工具</w:t>
            </w:r>
          </w:p>
        </w:tc>
        <w:tc>
          <w:tcPr>
            <w:tcW w:w="4045"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1AB3DDFF">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GridSearchCV, RandomizedSearchCV</w:t>
            </w:r>
          </w:p>
        </w:tc>
        <w:tc>
          <w:tcPr>
            <w:tcW w:w="3539"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0158377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超参数网格搜索与随机搜索</w:t>
            </w:r>
          </w:p>
        </w:tc>
      </w:tr>
    </w:tbl>
    <w:p w14:paraId="3168154E">
      <w:pPr>
        <w:pStyle w:val="3"/>
        <w:widowControl/>
        <w:numPr>
          <w:ilvl w:val="0"/>
          <w:numId w:val="9"/>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39" w:name="_Toc19284"/>
      <w:r>
        <w:rPr>
          <w:rFonts w:ascii="Times New Roman" w:eastAsia="黑体"/>
          <w:b w:val="0"/>
          <w:sz w:val="28"/>
        </w:rPr>
        <w:t>基准模型构建：多元线性回归</w:t>
      </w:r>
      <w:bookmarkEnd w:id="39"/>
    </w:p>
    <w:p w14:paraId="01061A6F">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多元线性回归作为本研究的基准模型，旨在为后续复杂模型的性能对比提供基线参照。该模型假设软件工作量与各特征之间存在线性关系，其数学表达形式为：Effort = β₀ + β₁X₁ + β₂X₂ + ... + βₙXₙ + ε，其中X₁至Xₙ为选取的特征变量（如代码规模、功能点、团队经验等），β₀为截距项，β₁至βₙ为回归系数，ε为随机误差项</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模型构建过程中，采用最小二乘法对回归系数进行估计，使预测值与实际值之间的残差平方和最小化。为防止过拟合，引入正则化参数对模型进行约束，并通过方差膨胀因子（VIF）诊断特征间的多重共线性问题，对VIF值超过10的特征进行剔除或合并</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"https://onlinelibrary.wiley.com/doi/full/10.1002/smr.2611"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模型训练完成后，通过R²值评估模型的整体拟合优度，通过各特征系数的显著性检验（t检验）判断特征对工作量的影响程度。实证分析表明，多元线性回归模型在数据集上的R²值达到0.642，调整后R²为0.615，表明所选特征能够解释约62%的工作量变异</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。然而，残差分析显示模型在预测大规模项目时存在系统性低估现象，提示线性假设可能无法完全捕捉软件工作量估算中的复杂非线性关系。</w:t>
      </w:r>
    </w:p>
    <w:tbl>
      <w:tblPr>
        <w:tblStyle w:val="26"/>
        <w:tblW w:w="9145" w:type="dxa"/>
        <w:jc w:val="center"/>
        <w:tblLayout w:type="autofit"/>
        <w:tblCellMar>
          <w:top w:w="15" w:type="dxa"/>
          <w:left w:w="15" w:type="dxa"/>
          <w:bottom w:w="15" w:type="dxa"/>
          <w:right w:w="15" w:type="dxa"/>
        </w:tblCellMar>
      </w:tblPr>
      <w:tblGrid>
        <w:gridCol w:w="1691"/>
        <w:gridCol w:w="4501"/>
        <w:gridCol w:w="2953"/>
      </w:tblGrid>
      <w:tr w14:paraId="5E29DE9D">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6230BBEC">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模型参数/指标</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02A639A6">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设置/数值</w:t>
            </w:r>
          </w:p>
        </w:tc>
        <w:tc>
          <w:tcPr>
            <w:tcW w:w="2953"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DFE41AA">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说明</w:t>
            </w:r>
          </w:p>
        </w:tc>
      </w:tr>
      <w:tr w14:paraId="55B9904C">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074E254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模型形式</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5BF99C8A">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Effort = β₀ + ΣβᵢXᵢ + ε</w:t>
            </w:r>
          </w:p>
        </w:tc>
        <w:tc>
          <w:tcPr>
            <w:tcW w:w="2953"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11F7425C">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多元线性回归标准形式</w:t>
            </w:r>
          </w:p>
        </w:tc>
      </w:tr>
      <w:tr w14:paraId="62521C8F">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4AE19B6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参数估计方法</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C12EE6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最小二乘法</w:t>
            </w:r>
          </w:p>
        </w:tc>
        <w:tc>
          <w:tcPr>
            <w:tcW w:w="2953" w:type="dxa"/>
            <w:tcBorders>
              <w:top w:val="nil"/>
              <w:left w:val="nil"/>
              <w:bottom w:val="nil"/>
              <w:right w:val="nil"/>
            </w:tcBorders>
            <w:shd w:val="clear" w:color="auto" w:fill="auto"/>
            <w:tcMar>
              <w:top w:w="120" w:type="dxa"/>
              <w:left w:w="192" w:type="dxa"/>
              <w:bottom w:w="120" w:type="dxa"/>
              <w:right w:w="-1" w:type="dxa"/>
            </w:tcMar>
            <w:vAlign w:val="center"/>
          </w:tcPr>
          <w:p w14:paraId="0D5072D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最小化残差平方和</w:t>
            </w:r>
          </w:p>
        </w:tc>
      </w:tr>
      <w:tr w14:paraId="46FAFF8A">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031E893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正则化</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582F911">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Ridge回归（α=1.0）</w:t>
            </w:r>
          </w:p>
        </w:tc>
        <w:tc>
          <w:tcPr>
            <w:tcW w:w="2953" w:type="dxa"/>
            <w:tcBorders>
              <w:top w:val="nil"/>
              <w:left w:val="nil"/>
              <w:bottom w:val="nil"/>
              <w:right w:val="nil"/>
            </w:tcBorders>
            <w:shd w:val="clear" w:color="auto" w:fill="auto"/>
            <w:tcMar>
              <w:top w:w="120" w:type="dxa"/>
              <w:left w:w="192" w:type="dxa"/>
              <w:bottom w:w="120" w:type="dxa"/>
              <w:right w:w="-1" w:type="dxa"/>
            </w:tcMar>
            <w:vAlign w:val="center"/>
          </w:tcPr>
          <w:p w14:paraId="4C99E53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控制模型复杂度，防止过拟合</w:t>
            </w:r>
          </w:p>
        </w:tc>
      </w:tr>
      <w:tr w14:paraId="0E90794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262A307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多重共线性诊断</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B913AB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方差膨胀因子（VIF）</w:t>
            </w:r>
          </w:p>
        </w:tc>
        <w:tc>
          <w:tcPr>
            <w:tcW w:w="2953" w:type="dxa"/>
            <w:tcBorders>
              <w:top w:val="nil"/>
              <w:left w:val="nil"/>
              <w:bottom w:val="nil"/>
              <w:right w:val="nil"/>
            </w:tcBorders>
            <w:shd w:val="clear" w:color="auto" w:fill="auto"/>
            <w:tcMar>
              <w:top w:w="120" w:type="dxa"/>
              <w:left w:w="192" w:type="dxa"/>
              <w:bottom w:w="120" w:type="dxa"/>
              <w:right w:w="-1" w:type="dxa"/>
            </w:tcMar>
            <w:vAlign w:val="center"/>
          </w:tcPr>
          <w:p w14:paraId="4D85516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剔除VIF&gt;10的特征</w:t>
            </w:r>
          </w:p>
        </w:tc>
      </w:tr>
      <w:tr w14:paraId="43A0DA38">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5788FCEB">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拟合优度（R²）</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D5BADB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0.642</w:t>
            </w:r>
          </w:p>
        </w:tc>
        <w:tc>
          <w:tcPr>
            <w:tcW w:w="2953" w:type="dxa"/>
            <w:tcBorders>
              <w:top w:val="nil"/>
              <w:left w:val="nil"/>
              <w:bottom w:val="nil"/>
              <w:right w:val="nil"/>
            </w:tcBorders>
            <w:shd w:val="clear" w:color="auto" w:fill="auto"/>
            <w:tcMar>
              <w:top w:w="120" w:type="dxa"/>
              <w:left w:w="192" w:type="dxa"/>
              <w:bottom w:w="120" w:type="dxa"/>
              <w:right w:w="-1" w:type="dxa"/>
            </w:tcMar>
            <w:vAlign w:val="center"/>
          </w:tcPr>
          <w:p w14:paraId="012355D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模型解释力</w:t>
            </w:r>
          </w:p>
        </w:tc>
      </w:tr>
      <w:tr w14:paraId="7C79ADC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0CE06A45">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调整后R²</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1859826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0.615</w:t>
            </w:r>
          </w:p>
        </w:tc>
        <w:tc>
          <w:tcPr>
            <w:tcW w:w="2953" w:type="dxa"/>
            <w:tcBorders>
              <w:top w:val="nil"/>
              <w:left w:val="nil"/>
              <w:bottom w:val="nil"/>
              <w:right w:val="nil"/>
            </w:tcBorders>
            <w:shd w:val="clear" w:color="auto" w:fill="auto"/>
            <w:tcMar>
              <w:top w:w="120" w:type="dxa"/>
              <w:left w:w="192" w:type="dxa"/>
              <w:bottom w:w="120" w:type="dxa"/>
              <w:right w:w="-1" w:type="dxa"/>
            </w:tcMar>
            <w:vAlign w:val="center"/>
          </w:tcPr>
          <w:p w14:paraId="3CED73A1">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考虑特征数量后的修正</w:t>
            </w:r>
          </w:p>
        </w:tc>
      </w:tr>
      <w:tr w14:paraId="1D4EC6DC">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630C46F1">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显著性检验</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90A667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t检验（p&lt;0.05）</w:t>
            </w:r>
          </w:p>
        </w:tc>
        <w:tc>
          <w:tcPr>
            <w:tcW w:w="2953" w:type="dxa"/>
            <w:tcBorders>
              <w:top w:val="nil"/>
              <w:left w:val="nil"/>
              <w:bottom w:val="nil"/>
              <w:right w:val="nil"/>
            </w:tcBorders>
            <w:shd w:val="clear" w:color="auto" w:fill="auto"/>
            <w:tcMar>
              <w:top w:w="120" w:type="dxa"/>
              <w:left w:w="192" w:type="dxa"/>
              <w:bottom w:w="120" w:type="dxa"/>
              <w:right w:w="-1" w:type="dxa"/>
            </w:tcMar>
            <w:vAlign w:val="center"/>
          </w:tcPr>
          <w:p w14:paraId="4F08BD3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判断特征系数显著性</w:t>
            </w:r>
          </w:p>
        </w:tc>
      </w:tr>
      <w:tr w14:paraId="7851910B">
        <w:tblPrEx>
          <w:tblCellMar>
            <w:top w:w="15" w:type="dxa"/>
            <w:left w:w="15" w:type="dxa"/>
            <w:bottom w:w="15" w:type="dxa"/>
            <w:right w:w="15" w:type="dxa"/>
          </w:tblCellMar>
        </w:tblPrEx>
        <w:trPr>
          <w:jc w:val="center"/>
        </w:trPr>
        <w:tc>
          <w:tcPr>
            <w:tcW w:w="1691"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722FB964">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主要显著特征</w:t>
            </w:r>
          </w:p>
        </w:tc>
        <w:tc>
          <w:tcPr>
            <w:tcW w:w="4501"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BE8188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功能点（p&lt;0.001）、团队经验（p=0.012）</w:t>
            </w:r>
          </w:p>
        </w:tc>
        <w:tc>
          <w:tcPr>
            <w:tcW w:w="2953"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0200EB5A">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对工作量影响显著的特征</w:t>
            </w:r>
          </w:p>
        </w:tc>
      </w:tr>
    </w:tbl>
    <w:p w14:paraId="6C36396C">
      <w:pPr>
        <w:pStyle w:val="3"/>
        <w:widowControl/>
        <w:numPr>
          <w:ilvl w:val="0"/>
          <w:numId w:val="9"/>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40" w:name="_Toc30183"/>
      <w:r>
        <w:rPr>
          <w:rFonts w:ascii="Times New Roman" w:eastAsia="黑体"/>
          <w:b w:val="0"/>
          <w:sz w:val="28"/>
        </w:rPr>
        <w:t>复杂模型构建与优化</w:t>
      </w:r>
      <w:bookmarkEnd w:id="40"/>
    </w:p>
    <w:p w14:paraId="7745E0B0">
      <w:pPr>
        <w:pStyle w:val="4"/>
        <w:widowControl/>
        <w:numPr>
          <w:ilvl w:val="0"/>
          <w:numId w:val="10"/>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41" w:name="_Toc6331"/>
      <w:r>
        <w:rPr>
          <w:rFonts w:ascii="Times New Roman" w:eastAsia="宋体"/>
          <w:b/>
          <w:sz w:val="24"/>
        </w:rPr>
        <w:t>决策树模型</w:t>
      </w:r>
      <w:bookmarkEnd w:id="41"/>
    </w:p>
    <w:p w14:paraId="4EC9B4E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决策树模型是一种基于树形结构的非参数监督学习方法，通过对特征空间进行递归划分，生成一系列易于理解的决策规则，适用于处理软件工作量估算中的非线性关系与特征交互作用</w:t>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本研究采用CART（分类与回归树）算法构建回归树，以均方误差作为节点分裂的准则，通过最小化节点内样本的方差实现最优划分。模型构建过程中，设置关键超参数以控制树的结构复杂度：最大深度（max_depth）限制树的生长层数，防止过拟合；最小样本分裂数（min_samples_split）控制内部节点再划分所需的最小样本量；最小叶子节点样本数（min_samples_leaf）保证叶子节点的样本代表性。实证分析表明，当最大深度设置为5、最小样本分裂数设置为10时，模型在验证集上取得最优性能。决策树模型的一个重要优势在于其可解释性——通过可视化树结构，可以直观呈现特征对工作量的影响路径，例如从根节点到叶子节点的路径揭示了功能点计数、项目复杂度、团队经验等特征如何逐层递进地决定最终的工作量估算值</w:t>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。然而，决策树模型对数据波动较为敏感，微小的训练样本变化可能导致完全不同的树结构，这一不稳定性特征促使后续研究转向集成学习方法。</w:t>
      </w:r>
    </w:p>
    <w:tbl>
      <w:tblPr>
        <w:tblStyle w:val="26"/>
        <w:tblW w:w="9150" w:type="dxa"/>
        <w:jc w:val="center"/>
        <w:tblLayout w:type="autofit"/>
        <w:tblCellMar>
          <w:top w:w="15" w:type="dxa"/>
          <w:left w:w="15" w:type="dxa"/>
          <w:bottom w:w="15" w:type="dxa"/>
          <w:right w:w="15" w:type="dxa"/>
        </w:tblCellMar>
      </w:tblPr>
      <w:tblGrid>
        <w:gridCol w:w="3107"/>
        <w:gridCol w:w="2451"/>
        <w:gridCol w:w="1485"/>
        <w:gridCol w:w="2107"/>
      </w:tblGrid>
      <w:tr w14:paraId="4E6AE9BC">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2B2DCA3A">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超参数名称</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6B3D16A">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搜索范围</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0B7587C8">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最优值</w:t>
            </w:r>
          </w:p>
        </w:tc>
        <w:tc>
          <w:tcPr>
            <w:tcW w:w="2107"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6E6C6F1">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作用说明</w:t>
            </w:r>
          </w:p>
        </w:tc>
      </w:tr>
      <w:tr w14:paraId="1A31550D">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7695B77F">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最大深度（max_depth）</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8AD7A0C">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[3, 5, 7, 10, None]</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230026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5</w:t>
            </w:r>
          </w:p>
        </w:tc>
        <w:tc>
          <w:tcPr>
            <w:tcW w:w="2107"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66D87C9C">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控制树的最大生长层数</w:t>
            </w:r>
          </w:p>
        </w:tc>
      </w:tr>
      <w:tr w14:paraId="48918E0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7198882B">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最小样本分裂数（min_samples_split）</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3ACDF8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 5, 10, 20]</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1A07BB9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10</w:t>
            </w:r>
          </w:p>
        </w:tc>
        <w:tc>
          <w:tcPr>
            <w:tcW w:w="2107" w:type="dxa"/>
            <w:tcBorders>
              <w:top w:val="nil"/>
              <w:left w:val="nil"/>
              <w:bottom w:val="nil"/>
              <w:right w:val="nil"/>
            </w:tcBorders>
            <w:shd w:val="clear" w:color="auto" w:fill="auto"/>
            <w:tcMar>
              <w:top w:w="120" w:type="dxa"/>
              <w:left w:w="192" w:type="dxa"/>
              <w:bottom w:w="120" w:type="dxa"/>
              <w:right w:w="-1" w:type="dxa"/>
            </w:tcMar>
            <w:vAlign w:val="center"/>
          </w:tcPr>
          <w:p w14:paraId="35B3AA1B">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内部节点再划分所需最小样本数</w:t>
            </w:r>
          </w:p>
        </w:tc>
      </w:tr>
      <w:tr w14:paraId="6388AFAE">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13024936">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最小叶子节点样本数（min_samples_leaf）</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9BF459A">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 2, 5, 10]</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19DE0C8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5</w:t>
            </w:r>
          </w:p>
        </w:tc>
        <w:tc>
          <w:tcPr>
            <w:tcW w:w="2107" w:type="dxa"/>
            <w:tcBorders>
              <w:top w:val="nil"/>
              <w:left w:val="nil"/>
              <w:bottom w:val="nil"/>
              <w:right w:val="nil"/>
            </w:tcBorders>
            <w:shd w:val="clear" w:color="auto" w:fill="auto"/>
            <w:tcMar>
              <w:top w:w="120" w:type="dxa"/>
              <w:left w:w="192" w:type="dxa"/>
              <w:bottom w:w="120" w:type="dxa"/>
              <w:right w:w="-1" w:type="dxa"/>
            </w:tcMar>
            <w:vAlign w:val="center"/>
          </w:tcPr>
          <w:p w14:paraId="76923F0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叶子节点包含的最小样本数</w:t>
            </w:r>
          </w:p>
        </w:tc>
      </w:tr>
      <w:tr w14:paraId="387AB7D3">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0DC892A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分裂准则（criterion）</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2AE245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[squared_error, friedman_mse]</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DB444F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squared_error</w:t>
            </w:r>
          </w:p>
        </w:tc>
        <w:tc>
          <w:tcPr>
            <w:tcW w:w="2107" w:type="dxa"/>
            <w:tcBorders>
              <w:top w:val="nil"/>
              <w:left w:val="nil"/>
              <w:bottom w:val="nil"/>
              <w:right w:val="nil"/>
            </w:tcBorders>
            <w:shd w:val="clear" w:color="auto" w:fill="auto"/>
            <w:tcMar>
              <w:top w:w="120" w:type="dxa"/>
              <w:left w:w="192" w:type="dxa"/>
              <w:bottom w:w="120" w:type="dxa"/>
              <w:right w:w="-1" w:type="dxa"/>
            </w:tcMar>
            <w:vAlign w:val="center"/>
          </w:tcPr>
          <w:p w14:paraId="17C6962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节点分裂的质量评估函数</w:t>
            </w:r>
          </w:p>
        </w:tc>
      </w:tr>
      <w:tr w14:paraId="2149A8ED">
        <w:tblPrEx>
          <w:tblCellMar>
            <w:top w:w="15" w:type="dxa"/>
            <w:left w:w="15" w:type="dxa"/>
            <w:bottom w:w="15" w:type="dxa"/>
            <w:right w:w="15" w:type="dxa"/>
          </w:tblCellMar>
        </w:tblPrEx>
        <w:trPr>
          <w:jc w:val="center"/>
        </w:trPr>
        <w:tc>
          <w:tcPr>
            <w:tcW w:w="3107"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56EADDD6">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分裂点选择策略（splitter）</w:t>
            </w:r>
          </w:p>
        </w:tc>
        <w:tc>
          <w:tcPr>
            <w:tcW w:w="2451"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0B4D3FD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[best, random]</w:t>
            </w:r>
          </w:p>
        </w:tc>
        <w:tc>
          <w:tcPr>
            <w:tcW w:w="1485"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D96366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best</w:t>
            </w:r>
          </w:p>
        </w:tc>
        <w:tc>
          <w:tcPr>
            <w:tcW w:w="2107"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76B1E27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选择最优分裂点或随机分裂</w:t>
            </w:r>
          </w:p>
        </w:tc>
      </w:tr>
    </w:tbl>
    <w:p w14:paraId="21E260D8">
      <w:pPr>
        <w:pStyle w:val="4"/>
        <w:widowControl/>
        <w:numPr>
          <w:ilvl w:val="0"/>
          <w:numId w:val="10"/>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42" w:name="_Toc26242"/>
      <w:r>
        <w:rPr>
          <w:rFonts w:ascii="Times New Roman" w:eastAsia="宋体"/>
          <w:b/>
          <w:sz w:val="24"/>
        </w:rPr>
        <w:t>支持向量机模型</w:t>
      </w:r>
      <w:bookmarkEnd w:id="42"/>
    </w:p>
    <w:p w14:paraId="04AA02A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支持向量机（Support Vector Machine, SVM）在处理小样本、非线性回归问题时表现出独特优势，其核心思想是通过核函数将低维空间中的非线性问题映射到高维特征空间，在高维空间中构建最优线性回归超平面</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"https://preview-link.springer.com/article/10.1038/s41598-024-67197-1"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本研究采用支持向量回归（SVR）模型，设置目标函数在允许误差范围内尽可能平滑，同时控制超出误差范围的样本点数量。核函数选择是SVR模型构建的关键环节，本研究对比了线性核、多项式核与径向基核（RBF）的性能表现。线性核适用于特征与目标近似线性关系的情况，计算效率高但表达能力有限；多项式核通过引入多项式项捕捉特征交互，但参数较多且易过拟合；RBF核能够将样本映射到无穷维空间，具有强大的非线性表达能力，成为本研究最终选用的核函数</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"https://preview-link.springer.com/article/10.1038/s41598-024-67197-1"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w:t>
      </w:r>
    </w:p>
    <w:p w14:paraId="0934A5C0">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模型调优过程中，重点关注三个核心超参数：惩罚系数C控制模型对超出误差范围样本的容忍度，C值越大模型对训练样本拟合越严格，但可能引入过拟合风险；核函数系数gamma定义了单个样本的影响半径，gamma值过大会导致模型过于关注局部特征，过小则可能忽略重要模式；不敏感损失系数epsilon控制回归超平面的不敏感带宽度，epsilon越大模型对预测误差的容忍度越高</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"https://preview-link.springer.com/article/10.1038/s41598-024-67197-1"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通过网格搜索结合5折交叉验证，确定最优参数组合为C=10、gamma=0.1、epsilon=0.1。实证结果显示，RBF-SVR模型在测试集上的RMSE较多元线性回归降低约18%，表明其能够有效捕捉特征与工作量之间的复杂非线性关系。然而，SVR模型的训练时间随样本量增加呈指数级增长，且模型可解释性较弱，难以直观呈现各特征对预测结果的贡献程度</w:t>
      </w:r>
      <w:r>
        <w:rPr>
          <w:rFonts w:ascii="Times New Roman" w:eastAsia="宋体"/>
          <w:color w:val="auto"/>
          <w:sz w:val="24"/>
        </w:rPr>
        <w:fldChar w:fldCharType="begin"/>
      </w:r>
      <w:r>
        <w:rPr>
          <w:rFonts w:ascii="Times New Roman" w:eastAsia="宋体"/>
          <w:color w:val="auto"/>
          <w:sz w:val="24"/>
        </w:rPr>
        <w:instrText xml:space="preserve"> HYPERLINK "https://preview-link.springer.com/article/10.1038/s41598-024-67197-1"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tbl>
      <w:tblPr>
        <w:tblStyle w:val="26"/>
        <w:tblW w:w="9150" w:type="dxa"/>
        <w:jc w:val="center"/>
        <w:tblLayout w:type="autofit"/>
        <w:tblCellMar>
          <w:top w:w="15" w:type="dxa"/>
          <w:left w:w="15" w:type="dxa"/>
          <w:bottom w:w="15" w:type="dxa"/>
          <w:right w:w="15" w:type="dxa"/>
        </w:tblCellMar>
      </w:tblPr>
      <w:tblGrid>
        <w:gridCol w:w="1459"/>
        <w:gridCol w:w="2142"/>
        <w:gridCol w:w="2111"/>
        <w:gridCol w:w="2263"/>
        <w:gridCol w:w="1175"/>
      </w:tblGrid>
      <w:tr w14:paraId="4B35360E">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43C76B80">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核函数类型</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5473E28B">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表达式/参数</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CC6CE8D">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优势</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1EEF22D">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局限</w:t>
            </w:r>
          </w:p>
        </w:tc>
        <w:tc>
          <w:tcPr>
            <w:tcW w:w="1175"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6CDAB65">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本研究选择</w:t>
            </w:r>
          </w:p>
        </w:tc>
      </w:tr>
      <w:tr w14:paraId="5321321C">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5367945F">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线性核</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47B3DFD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K(xᵢ, xⱼ) = xᵢ·xⱼ</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5A9E56E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计算效率高，参数少</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0779A18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表达能力有限</w:t>
            </w:r>
          </w:p>
        </w:tc>
        <w:tc>
          <w:tcPr>
            <w:tcW w:w="1175"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6037AE2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备选</w:t>
            </w:r>
          </w:p>
        </w:tc>
      </w:tr>
      <w:tr w14:paraId="26BFA933">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3B8C467F">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多项式核</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F79465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K(xᵢ, xⱼ) = (γxᵢ·xⱼ + r)ᵈ</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A8B2C2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可捕捉特征交互</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82A8E4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参数多，易过拟合</w:t>
            </w:r>
          </w:p>
        </w:tc>
        <w:tc>
          <w:tcPr>
            <w:tcW w:w="1175" w:type="dxa"/>
            <w:tcBorders>
              <w:top w:val="nil"/>
              <w:left w:val="nil"/>
              <w:bottom w:val="nil"/>
              <w:right w:val="nil"/>
            </w:tcBorders>
            <w:shd w:val="clear" w:color="auto" w:fill="auto"/>
            <w:tcMar>
              <w:top w:w="120" w:type="dxa"/>
              <w:left w:w="192" w:type="dxa"/>
              <w:bottom w:w="120" w:type="dxa"/>
              <w:right w:w="-1" w:type="dxa"/>
            </w:tcMar>
            <w:vAlign w:val="center"/>
          </w:tcPr>
          <w:p w14:paraId="63A0B153">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备选</w:t>
            </w:r>
          </w:p>
        </w:tc>
      </w:tr>
      <w:tr w14:paraId="3C25F679">
        <w:tblPrEx>
          <w:tblCellMar>
            <w:top w:w="15" w:type="dxa"/>
            <w:left w:w="15" w:type="dxa"/>
            <w:bottom w:w="15" w:type="dxa"/>
            <w:right w:w="15" w:type="dxa"/>
          </w:tblCellMar>
        </w:tblPrEx>
        <w:trPr>
          <w:jc w:val="center"/>
        </w:trPr>
        <w:tc>
          <w:tcPr>
            <w:tcW w:w="1459"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21CAE085">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径向基核（RBF）</w:t>
            </w:r>
          </w:p>
        </w:tc>
        <w:tc>
          <w:tcPr>
            <w:tcW w:w="2142"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7F1423BB">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K(xᵢ, xⱼ) = exp(-γ||xᵢ - xⱼ||²)</w:t>
            </w:r>
          </w:p>
        </w:tc>
        <w:tc>
          <w:tcPr>
            <w:tcW w:w="2111"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42ABBFD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无限维映射，表达能力强</w:t>
            </w:r>
          </w:p>
        </w:tc>
        <w:tc>
          <w:tcPr>
            <w:tcW w:w="2263"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51EB34C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计算复杂度高，可解释性弱</w:t>
            </w:r>
          </w:p>
        </w:tc>
        <w:tc>
          <w:tcPr>
            <w:tcW w:w="1175"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4755A84A">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最终选用</w:t>
            </w:r>
          </w:p>
        </w:tc>
      </w:tr>
    </w:tbl>
    <w:p w14:paraId="176D66C3">
      <w:pPr>
        <w:snapToGrid/>
        <w:spacing w:beforeAutospacing="0" w:afterAutospacing="0" w:line="400" w:lineRule="exact"/>
        <w:ind w:left="0" w:leftChars="0" w:right="0" w:rightChars="0" w:firstLine="480" w:firstLineChars="200"/>
        <w:jc w:val="left"/>
        <w:rPr>
          <w:rFonts w:ascii="Times New Roman" w:eastAsia="宋体"/>
          <w:vanish/>
          <w:sz w:val="24"/>
          <w:szCs w:val="24"/>
        </w:rPr>
      </w:pPr>
    </w:p>
    <w:tbl>
      <w:tblPr>
        <w:tblStyle w:val="26"/>
        <w:tblW w:w="9145" w:type="dxa"/>
        <w:jc w:val="center"/>
        <w:tblLayout w:type="autofit"/>
        <w:tblCellMar>
          <w:top w:w="15" w:type="dxa"/>
          <w:left w:w="15" w:type="dxa"/>
          <w:bottom w:w="15" w:type="dxa"/>
          <w:right w:w="15" w:type="dxa"/>
        </w:tblCellMar>
      </w:tblPr>
      <w:tblGrid>
        <w:gridCol w:w="2470"/>
        <w:gridCol w:w="2542"/>
        <w:gridCol w:w="1107"/>
        <w:gridCol w:w="3026"/>
      </w:tblGrid>
      <w:tr w14:paraId="1D4FFD8D">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5B0C0268">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SVR超参数</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6C53921">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搜索范围</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072D8FAB">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最优值</w:t>
            </w:r>
          </w:p>
        </w:tc>
        <w:tc>
          <w:tcPr>
            <w:tcW w:w="3026"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9ED3D27">
            <w:pPr>
              <w:keepNext/>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作用说明</w:t>
            </w:r>
          </w:p>
        </w:tc>
      </w:tr>
      <w:tr w14:paraId="62A1A9B9">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20BED1C8">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惩罚系数C</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5382AB0A">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[0.1, 1, 10, 100, 1000]</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56E8801D">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10</w:t>
            </w:r>
          </w:p>
        </w:tc>
        <w:tc>
          <w:tcPr>
            <w:tcW w:w="3026"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3087BE70">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控制模型复杂度与误差容忍度</w:t>
            </w:r>
          </w:p>
        </w:tc>
      </w:tr>
      <w:tr w14:paraId="2C34B66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6EF912A5">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核函数系数gamma</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44D281E">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[0.001, 0.01, 0.1, 1, 10]</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F09018D">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0.1</w:t>
            </w:r>
          </w:p>
        </w:tc>
        <w:tc>
          <w:tcPr>
            <w:tcW w:w="3026" w:type="dxa"/>
            <w:tcBorders>
              <w:top w:val="nil"/>
              <w:left w:val="nil"/>
              <w:bottom w:val="nil"/>
              <w:right w:val="nil"/>
            </w:tcBorders>
            <w:shd w:val="clear" w:color="auto" w:fill="auto"/>
            <w:tcMar>
              <w:top w:w="120" w:type="dxa"/>
              <w:left w:w="192" w:type="dxa"/>
              <w:bottom w:w="120" w:type="dxa"/>
              <w:right w:w="-1" w:type="dxa"/>
            </w:tcMar>
            <w:vAlign w:val="center"/>
          </w:tcPr>
          <w:p w14:paraId="178D8BB1">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定义单个样本的影响半径</w:t>
            </w:r>
          </w:p>
        </w:tc>
      </w:tr>
      <w:tr w14:paraId="01A015FF">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7D45801A">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不敏感损失系数epsilon</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E504F9E">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[0.01, 0.1, 0.2, 0.5]</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1A0B4913">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0.1</w:t>
            </w:r>
          </w:p>
        </w:tc>
        <w:tc>
          <w:tcPr>
            <w:tcW w:w="3026" w:type="dxa"/>
            <w:tcBorders>
              <w:top w:val="nil"/>
              <w:left w:val="nil"/>
              <w:bottom w:val="nil"/>
              <w:right w:val="nil"/>
            </w:tcBorders>
            <w:shd w:val="clear" w:color="auto" w:fill="auto"/>
            <w:tcMar>
              <w:top w:w="120" w:type="dxa"/>
              <w:left w:w="192" w:type="dxa"/>
              <w:bottom w:w="120" w:type="dxa"/>
              <w:right w:w="-1" w:type="dxa"/>
            </w:tcMar>
            <w:vAlign w:val="center"/>
          </w:tcPr>
          <w:p w14:paraId="3DFF2E4D">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控制回归超平面的不敏感带宽</w:t>
            </w:r>
          </w:p>
        </w:tc>
      </w:tr>
      <w:tr w14:paraId="36E4F980">
        <w:tblPrEx>
          <w:tblCellMar>
            <w:top w:w="15" w:type="dxa"/>
            <w:left w:w="15" w:type="dxa"/>
            <w:bottom w:w="15" w:type="dxa"/>
            <w:right w:w="15" w:type="dxa"/>
          </w:tblCellMar>
        </w:tblPrEx>
        <w:trPr>
          <w:jc w:val="center"/>
        </w:trPr>
        <w:tc>
          <w:tcPr>
            <w:tcW w:w="2470"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757878D4">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收敛容忍度tol</w:t>
            </w:r>
          </w:p>
        </w:tc>
        <w:tc>
          <w:tcPr>
            <w:tcW w:w="2542"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9C048C4">
            <w:pPr>
              <w:keepNext/>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[1e-3, 1e-4]</w:t>
            </w:r>
          </w:p>
        </w:tc>
        <w:tc>
          <w:tcPr>
            <w:tcW w:w="1107"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50B44DDC">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1e-3</w:t>
            </w:r>
          </w:p>
        </w:tc>
        <w:tc>
          <w:tcPr>
            <w:tcW w:w="3026"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301BD5C7">
            <w:pPr>
              <w:keepNext/>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迭代停止条件</w:t>
            </w:r>
          </w:p>
        </w:tc>
      </w:tr>
    </w:tbl>
    <w:p w14:paraId="094484E9">
      <w:pPr>
        <w:pStyle w:val="4"/>
        <w:widowControl/>
        <w:numPr>
          <w:ilvl w:val="0"/>
          <w:numId w:val="10"/>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43" w:name="_Toc16530"/>
      <w:r>
        <w:rPr>
          <w:rFonts w:ascii="Times New Roman" w:eastAsia="宋体"/>
          <w:b/>
          <w:sz w:val="24"/>
        </w:rPr>
        <w:t>随机森林模型</w:t>
      </w:r>
      <w:bookmarkEnd w:id="43"/>
    </w:p>
    <w:p w14:paraId="24AB973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随机森林是一种基于Bagging策略的集成学习方法，通过构建多棵决策树并聚合其预测结果，有效克服了单棵决策树不稳定的缺陷，在软件工作量估算研究中被证明具有优越的预测性能</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"https://onlinelibrary.wiley.com/doi/full/10.1002/smr.2611"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"https://libcattest.canterbury.ac.nz/EdsRecord/a9h,188354746?sid=9651313" \l "fulltext"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随机森林的核心机制包括两个层面的随机性：一是通过Bootstrap自助采样从原始训练集中有放回地抽取多个样本子集，用于训练每棵决策树；二是在每个节点分裂时，随机选择部分特征作为候选分裂特征，进一步增加树间的多样性</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"https://onlinelibrary.wiley.com/doi/full/10.1002/smr.2611"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。这种双重随机策略使得随机森林模型具有较好的抗过拟合能力和泛化性能。</w:t>
      </w:r>
    </w:p>
    <w:p w14:paraId="65D4F823">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模型构建过程中，关键超参数包括：决策树数量（n_estimators）决定了集成规模，树的数量过少可能导致模型欠拟合，过多则会增加计算开销且边际收益递减；最大特征数（max_features）控制每个节点随机选择的特征数量，较小的值增加树间差异性但可能降低单棵树的性能；最大深度（max_depth）与最小样本分裂数（min_samples_split）等树结构参数同样需要调优</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"https://libcattest.canterbury.ac.nz/EdsRecord/a9h,188354746?sid=9651313" \l "fulltext"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本研究采用网格搜索结合5折交叉验证对超参数进行优化，确定最优参数组合为n_estimators=200、max_features='sqrt'、max_depth=10、min_samples_split=5。实证分析显示，随机森林模型在测试集上取得最优性能，其MAE较多元线性回归降低约24%，RMSE降低约21%，充分验证了集成学习方法在软件工作量估算中的有效性</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"https://libcattest.canterbury.ac.nz/EdsRecord/a9h,188354746?sid=9651313" \l "fulltext"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。此外，随机森林天然具备特征重要性评估功能，能够输出各特征对模型预测的贡献度排序，为特征筛选与解释提供重要依据。</w:t>
      </w:r>
    </w:p>
    <w:tbl>
      <w:tblPr>
        <w:tblStyle w:val="26"/>
        <w:tblW w:w="9150" w:type="dxa"/>
        <w:jc w:val="center"/>
        <w:tblLayout w:type="autofit"/>
        <w:tblCellMar>
          <w:top w:w="15" w:type="dxa"/>
          <w:left w:w="15" w:type="dxa"/>
          <w:bottom w:w="15" w:type="dxa"/>
          <w:right w:w="15" w:type="dxa"/>
        </w:tblCellMar>
      </w:tblPr>
      <w:tblGrid>
        <w:gridCol w:w="3404"/>
        <w:gridCol w:w="2320"/>
        <w:gridCol w:w="912"/>
        <w:gridCol w:w="2514"/>
      </w:tblGrid>
      <w:tr w14:paraId="76EB87C6">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36404AC8">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超参数名称</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5B819BFE">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搜索范围</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64A481A">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最优值</w:t>
            </w:r>
          </w:p>
        </w:tc>
        <w:tc>
          <w:tcPr>
            <w:tcW w:w="2514"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ABCC558">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作用说明</w:t>
            </w:r>
          </w:p>
        </w:tc>
      </w:tr>
      <w:tr w14:paraId="6D65E867">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44C4A9B8">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决策树数量（n_estimators）</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47AFDC2C">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[50, 100, 200, 300, 500]</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409E6624">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200</w:t>
            </w:r>
          </w:p>
        </w:tc>
        <w:tc>
          <w:tcPr>
            <w:tcW w:w="2514"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17C14AF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集成规模，树的数量</w:t>
            </w:r>
          </w:p>
        </w:tc>
      </w:tr>
      <w:tr w14:paraId="37C0B14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7991AF3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最大特征数（max_features）</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4FC2EF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['auto', 'sqrt', 'log2', None]</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9A3A7E8">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'sqrt'</w:t>
            </w:r>
          </w:p>
        </w:tc>
        <w:tc>
          <w:tcPr>
            <w:tcW w:w="2514" w:type="dxa"/>
            <w:tcBorders>
              <w:top w:val="nil"/>
              <w:left w:val="nil"/>
              <w:bottom w:val="nil"/>
              <w:right w:val="nil"/>
            </w:tcBorders>
            <w:shd w:val="clear" w:color="auto" w:fill="auto"/>
            <w:tcMar>
              <w:top w:w="120" w:type="dxa"/>
              <w:left w:w="192" w:type="dxa"/>
              <w:bottom w:w="120" w:type="dxa"/>
              <w:right w:w="-1" w:type="dxa"/>
            </w:tcMar>
            <w:vAlign w:val="center"/>
          </w:tcPr>
          <w:p w14:paraId="566D3CC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每个节点随机选择的特征数量</w:t>
            </w:r>
          </w:p>
        </w:tc>
      </w:tr>
      <w:tr w14:paraId="32ECCCA0">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765D994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最大深度（max_depth）</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FCD2FB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[5, 10, 15, 20, None]</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DADAA3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10</w:t>
            </w:r>
          </w:p>
        </w:tc>
        <w:tc>
          <w:tcPr>
            <w:tcW w:w="2514" w:type="dxa"/>
            <w:tcBorders>
              <w:top w:val="nil"/>
              <w:left w:val="nil"/>
              <w:bottom w:val="nil"/>
              <w:right w:val="nil"/>
            </w:tcBorders>
            <w:shd w:val="clear" w:color="auto" w:fill="auto"/>
            <w:tcMar>
              <w:top w:w="120" w:type="dxa"/>
              <w:left w:w="192" w:type="dxa"/>
              <w:bottom w:w="120" w:type="dxa"/>
              <w:right w:w="-1" w:type="dxa"/>
            </w:tcMar>
            <w:vAlign w:val="center"/>
          </w:tcPr>
          <w:p w14:paraId="0A672B1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控制树的生长深度</w:t>
            </w:r>
          </w:p>
        </w:tc>
      </w:tr>
      <w:tr w14:paraId="2A6BC878">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4172E39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最小样本分裂数（min_samples_split）</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F925DB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 5, 10, 20]</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D2310D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5</w:t>
            </w:r>
          </w:p>
        </w:tc>
        <w:tc>
          <w:tcPr>
            <w:tcW w:w="2514" w:type="dxa"/>
            <w:tcBorders>
              <w:top w:val="nil"/>
              <w:left w:val="nil"/>
              <w:bottom w:val="nil"/>
              <w:right w:val="nil"/>
            </w:tcBorders>
            <w:shd w:val="clear" w:color="auto" w:fill="auto"/>
            <w:tcMar>
              <w:top w:w="120" w:type="dxa"/>
              <w:left w:w="192" w:type="dxa"/>
              <w:bottom w:w="120" w:type="dxa"/>
              <w:right w:w="-1" w:type="dxa"/>
            </w:tcMar>
            <w:vAlign w:val="center"/>
          </w:tcPr>
          <w:p w14:paraId="254A31F8">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内部节点再划分所需最小样本数</w:t>
            </w:r>
          </w:p>
        </w:tc>
      </w:tr>
      <w:tr w14:paraId="0CEA5DD8">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03F6611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最小叶子节点样本数（min_samples_leaf）</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1DF84DE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 2, 5, 10]</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9D0A15B">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w:t>
            </w:r>
          </w:p>
        </w:tc>
        <w:tc>
          <w:tcPr>
            <w:tcW w:w="2514" w:type="dxa"/>
            <w:tcBorders>
              <w:top w:val="nil"/>
              <w:left w:val="nil"/>
              <w:bottom w:val="nil"/>
              <w:right w:val="nil"/>
            </w:tcBorders>
            <w:shd w:val="clear" w:color="auto" w:fill="auto"/>
            <w:tcMar>
              <w:top w:w="120" w:type="dxa"/>
              <w:left w:w="192" w:type="dxa"/>
              <w:bottom w:w="120" w:type="dxa"/>
              <w:right w:w="-1" w:type="dxa"/>
            </w:tcMar>
            <w:vAlign w:val="center"/>
          </w:tcPr>
          <w:p w14:paraId="33CAFA2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叶子节点包含的最小样本数</w:t>
            </w:r>
          </w:p>
        </w:tc>
      </w:tr>
      <w:tr w14:paraId="336C902C">
        <w:tblPrEx>
          <w:tblCellMar>
            <w:top w:w="15" w:type="dxa"/>
            <w:left w:w="15" w:type="dxa"/>
            <w:bottom w:w="15" w:type="dxa"/>
            <w:right w:w="15" w:type="dxa"/>
          </w:tblCellMar>
        </w:tblPrEx>
        <w:trPr>
          <w:jc w:val="center"/>
        </w:trPr>
        <w:tc>
          <w:tcPr>
            <w:tcW w:w="3404"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161ECE2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是否采用Bootstrap</w:t>
            </w:r>
          </w:p>
        </w:tc>
        <w:tc>
          <w:tcPr>
            <w:tcW w:w="2320"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36D6BDB4">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[True, False]</w:t>
            </w:r>
          </w:p>
        </w:tc>
        <w:tc>
          <w:tcPr>
            <w:tcW w:w="912"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67386394">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True</w:t>
            </w:r>
          </w:p>
        </w:tc>
        <w:tc>
          <w:tcPr>
            <w:tcW w:w="2514"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7950FFA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是否使用自助采样</w:t>
            </w:r>
          </w:p>
        </w:tc>
      </w:tr>
    </w:tbl>
    <w:p w14:paraId="66E3AE0A">
      <w:pPr>
        <w:pStyle w:val="3"/>
        <w:widowControl/>
        <w:numPr>
          <w:ilvl w:val="0"/>
          <w:numId w:val="9"/>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44" w:name="_Toc30117"/>
      <w:r>
        <w:rPr>
          <w:rFonts w:ascii="Times New Roman" w:eastAsia="黑体"/>
          <w:b w:val="0"/>
          <w:sz w:val="28"/>
        </w:rPr>
        <w:t>模型训练、调参与结果对比</w:t>
      </w:r>
      <w:bookmarkEnd w:id="44"/>
    </w:p>
    <w:p w14:paraId="4798AF77">
      <w:pPr>
        <w:pStyle w:val="4"/>
        <w:widowControl/>
        <w:numPr>
          <w:ilvl w:val="0"/>
          <w:numId w:val="11"/>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45" w:name="_Toc9301"/>
      <w:r>
        <w:rPr>
          <w:rFonts w:ascii="Times New Roman" w:eastAsia="宋体"/>
          <w:b/>
          <w:sz w:val="24"/>
        </w:rPr>
        <w:t>模型训练与参数调优</w:t>
      </w:r>
      <w:bookmarkEnd w:id="45"/>
    </w:p>
    <w:p w14:paraId="47904F6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模型训练与参数调优是确保模型性能的关键环节，本研究采用网格搜索（Grid Search）结合5折交叉验证的策略对各类模型的超参数进行系统优化</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"https://journals.tubitak.gov.tr/elektrik/vol27/iss2/46/"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。网格搜索的基本原理是预先定义各超参数的候选值集合，通过穷举所有参数组合，评估每组参数在验证集上的性能表现，最终选择性能最优的参数组合作为模型的最佳配置</w:t>
      </w:r>
      <w:r>
        <w:rPr>
          <w:rFonts w:ascii="Times New Roman" w:eastAsia="宋体"/>
          <w:color w:val="auto"/>
          <w:sz w:val="24"/>
        </w:rPr>
        <w:fldChar w:fldCharType="begin"/>
      </w:r>
      <w:r>
        <w:rPr>
          <w:rFonts w:ascii="Times New Roman" w:eastAsia="宋体"/>
          <w:color w:val="auto"/>
          <w:sz w:val="24"/>
        </w:rPr>
        <w:instrText xml:space="preserve"> HYPERLINK "https://rdrr.io/cran/MLwrap/man/fine_tuning.html"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。交叉验证的引入旨在降低单次训练集划分随机性带来的评估偏差，将训练集划分为5个互斥子集，轮流使用其中4个子集进行训练、1个子集进行验证，将5次验证结果的平均值作为模型性能的估计</w:t>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06432732">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具体实施过程中，针对不同模型设置差异化的参数搜索空间。多元线性回归的正则化参数α在[0.01, 0.1, 1.0, 10.0]范围内搜索；决策树模型重点优化最大深度与最小样本分裂数；支持向量机模型对C、gamma、epsilon三个核心参数进行组合搜索；随机森林模型则对决策树数量、最大特征数、最大深度等多个参数联合调优</w:t>
      </w:r>
      <w:r>
        <w:rPr>
          <w:rFonts w:ascii="Times New Roman" w:eastAsia="宋体"/>
          <w:color w:val="auto"/>
          <w:sz w:val="24"/>
        </w:rPr>
        <w:fldChar w:fldCharType="begin"/>
      </w:r>
      <w:r>
        <w:rPr>
          <w:rFonts w:ascii="Times New Roman" w:eastAsia="宋体"/>
          <w:color w:val="auto"/>
          <w:sz w:val="24"/>
        </w:rPr>
        <w:instrText xml:space="preserve"> HYPERLINK "https://journals.tubitak.gov.tr/elektrik/vol27/iss2/46/"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"https://libcattest.canterbury.ac.nz/EdsRecord/a9h,188354746?sid=9651313" \l "fulltext"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。模型训练完成后，采用十次独立重复实验的策略，每次随机划分训练集与测试集，记录各模型在不同划分下的性能表现，计算平均值与标准差以评估模型的稳定性</w:t>
      </w:r>
      <w:r>
        <w:rPr>
          <w:rFonts w:ascii="Times New Roman" w:eastAsia="宋体"/>
          <w:color w:val="auto"/>
          <w:sz w:val="24"/>
        </w:rPr>
        <w:fldChar w:fldCharType="begin"/>
      </w:r>
      <w:r>
        <w:rPr>
          <w:rFonts w:ascii="Times New Roman" w:eastAsia="宋体"/>
          <w:color w:val="auto"/>
          <w:sz w:val="24"/>
        </w:rPr>
        <w:instrText xml:space="preserve"> HYPERLINK "https://doaj.org/article/6009d8abaef541c2b0a83240d83f34e7"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。调优结果表明，随机森林模型在验证集上取得最低的交叉验证误差，且性能波动较小，显示出较好的泛化能力与稳定性。</w:t>
      </w:r>
    </w:p>
    <w:tbl>
      <w:tblPr>
        <w:tblStyle w:val="26"/>
        <w:tblW w:w="9150" w:type="dxa"/>
        <w:jc w:val="center"/>
        <w:tblLayout w:type="autofit"/>
        <w:tblCellMar>
          <w:top w:w="15" w:type="dxa"/>
          <w:left w:w="15" w:type="dxa"/>
          <w:bottom w:w="15" w:type="dxa"/>
          <w:right w:w="15" w:type="dxa"/>
        </w:tblCellMar>
      </w:tblPr>
      <w:tblGrid>
        <w:gridCol w:w="1291"/>
        <w:gridCol w:w="2422"/>
        <w:gridCol w:w="2168"/>
        <w:gridCol w:w="1087"/>
        <w:gridCol w:w="1239"/>
        <w:gridCol w:w="943"/>
      </w:tblGrid>
      <w:tr w14:paraId="3E5D49C2">
        <w:tblPrEx>
          <w:tblCellMar>
            <w:top w:w="15" w:type="dxa"/>
            <w:left w:w="15" w:type="dxa"/>
            <w:bottom w:w="15" w:type="dxa"/>
            <w:right w:w="15" w:type="dxa"/>
          </w:tblCellMar>
        </w:tblPrEx>
        <w:trPr>
          <w:tblHeader/>
          <w:jc w:val="center"/>
        </w:trPr>
        <w:tc>
          <w:tcPr>
            <w:tcW w:w="1291" w:type="dxa"/>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5943578B">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模型类型</w:t>
            </w:r>
          </w:p>
        </w:tc>
        <w:tc>
          <w:tcPr>
            <w:tcW w:w="2422"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07825A0C">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调优参数</w:t>
            </w:r>
          </w:p>
        </w:tc>
        <w:tc>
          <w:tcPr>
            <w:tcW w:w="2168"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2EC53D1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搜索范围</w:t>
            </w:r>
          </w:p>
        </w:tc>
        <w:tc>
          <w:tcPr>
            <w:tcW w:w="1087"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5FC4DD0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最优组合</w:t>
            </w:r>
          </w:p>
        </w:tc>
        <w:tc>
          <w:tcPr>
            <w:tcW w:w="1239"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E5FB780">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交叉验证MAE均值</w:t>
            </w:r>
          </w:p>
        </w:tc>
        <w:tc>
          <w:tcPr>
            <w:tcW w:w="943"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590F6332">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MAE标准差</w:t>
            </w:r>
          </w:p>
        </w:tc>
      </w:tr>
      <w:tr w14:paraId="6CC84F46">
        <w:tblPrEx>
          <w:tblCellMar>
            <w:top w:w="15" w:type="dxa"/>
            <w:left w:w="15" w:type="dxa"/>
            <w:bottom w:w="15" w:type="dxa"/>
            <w:right w:w="15" w:type="dxa"/>
          </w:tblCellMar>
        </w:tblPrEx>
        <w:trPr>
          <w:jc w:val="center"/>
        </w:trPr>
        <w:tc>
          <w:tcPr>
            <w:tcW w:w="1291" w:type="dxa"/>
            <w:tcBorders>
              <w:top w:val="single" w:color="auto" w:sz="4" w:space="0"/>
              <w:left w:val="nil"/>
              <w:bottom w:val="nil"/>
              <w:right w:val="nil"/>
            </w:tcBorders>
            <w:shd w:val="clear" w:color="auto" w:fill="auto"/>
            <w:tcMar>
              <w:top w:w="120" w:type="dxa"/>
              <w:left w:w="-1" w:type="dxa"/>
              <w:bottom w:w="120" w:type="dxa"/>
              <w:right w:w="192" w:type="dxa"/>
            </w:tcMar>
            <w:vAlign w:val="center"/>
          </w:tcPr>
          <w:p w14:paraId="1BE37417">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多元线性回归</w:t>
            </w:r>
          </w:p>
        </w:tc>
        <w:tc>
          <w:tcPr>
            <w:tcW w:w="2422"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7FE95D4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正则化参数α</w:t>
            </w:r>
          </w:p>
        </w:tc>
        <w:tc>
          <w:tcPr>
            <w:tcW w:w="2168"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36ADA06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[0.01, 0.1, 1.0, 10.0]</w:t>
            </w:r>
          </w:p>
        </w:tc>
        <w:tc>
          <w:tcPr>
            <w:tcW w:w="1087"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3DF051D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α=1.0</w:t>
            </w:r>
          </w:p>
        </w:tc>
        <w:tc>
          <w:tcPr>
            <w:tcW w:w="1239"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4780493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3.28</w:t>
            </w:r>
          </w:p>
        </w:tc>
        <w:tc>
          <w:tcPr>
            <w:tcW w:w="943"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1F85D851">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0.31</w:t>
            </w:r>
          </w:p>
        </w:tc>
      </w:tr>
      <w:tr w14:paraId="48EC92E0">
        <w:tblPrEx>
          <w:tblCellMar>
            <w:top w:w="15" w:type="dxa"/>
            <w:left w:w="15" w:type="dxa"/>
            <w:bottom w:w="15" w:type="dxa"/>
            <w:right w:w="15" w:type="dxa"/>
          </w:tblCellMar>
        </w:tblPrEx>
        <w:trPr>
          <w:jc w:val="center"/>
        </w:trPr>
        <w:tc>
          <w:tcPr>
            <w:tcW w:w="1291" w:type="dxa"/>
            <w:tcBorders>
              <w:top w:val="nil"/>
              <w:left w:val="nil"/>
              <w:bottom w:val="nil"/>
              <w:right w:val="nil"/>
            </w:tcBorders>
            <w:shd w:val="clear" w:color="auto" w:fill="auto"/>
            <w:tcMar>
              <w:top w:w="120" w:type="dxa"/>
              <w:left w:w="-1" w:type="dxa"/>
              <w:bottom w:w="120" w:type="dxa"/>
              <w:right w:w="192" w:type="dxa"/>
            </w:tcMar>
            <w:vAlign w:val="center"/>
          </w:tcPr>
          <w:p w14:paraId="5B9624F1">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决策树</w:t>
            </w:r>
          </w:p>
        </w:tc>
        <w:tc>
          <w:tcPr>
            <w:tcW w:w="2422" w:type="dxa"/>
            <w:tcBorders>
              <w:top w:val="nil"/>
              <w:left w:val="nil"/>
              <w:bottom w:val="nil"/>
              <w:right w:val="nil"/>
            </w:tcBorders>
            <w:shd w:val="clear" w:color="auto" w:fill="auto"/>
            <w:tcMar>
              <w:top w:w="120" w:type="dxa"/>
              <w:left w:w="192" w:type="dxa"/>
              <w:bottom w:w="120" w:type="dxa"/>
              <w:right w:w="192" w:type="dxa"/>
            </w:tcMar>
            <w:vAlign w:val="center"/>
          </w:tcPr>
          <w:p w14:paraId="2A141CC6">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max_depth, min_samples_split</w:t>
            </w:r>
          </w:p>
        </w:tc>
        <w:tc>
          <w:tcPr>
            <w:tcW w:w="2168" w:type="dxa"/>
            <w:tcBorders>
              <w:top w:val="nil"/>
              <w:left w:val="nil"/>
              <w:bottom w:val="nil"/>
              <w:right w:val="nil"/>
            </w:tcBorders>
            <w:shd w:val="clear" w:color="auto" w:fill="auto"/>
            <w:tcMar>
              <w:top w:w="120" w:type="dxa"/>
              <w:left w:w="192" w:type="dxa"/>
              <w:bottom w:w="120" w:type="dxa"/>
              <w:right w:w="192" w:type="dxa"/>
            </w:tcMar>
            <w:vAlign w:val="center"/>
          </w:tcPr>
          <w:p w14:paraId="60A0AEF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[3,5,7,10], [2,5,10,20]</w:t>
            </w:r>
          </w:p>
        </w:tc>
        <w:tc>
          <w:tcPr>
            <w:tcW w:w="1087" w:type="dxa"/>
            <w:tcBorders>
              <w:top w:val="nil"/>
              <w:left w:val="nil"/>
              <w:bottom w:val="nil"/>
              <w:right w:val="nil"/>
            </w:tcBorders>
            <w:shd w:val="clear" w:color="auto" w:fill="auto"/>
            <w:tcMar>
              <w:top w:w="120" w:type="dxa"/>
              <w:left w:w="192" w:type="dxa"/>
              <w:bottom w:w="120" w:type="dxa"/>
              <w:right w:w="192" w:type="dxa"/>
            </w:tcMar>
            <w:vAlign w:val="center"/>
          </w:tcPr>
          <w:p w14:paraId="0F66490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(5, 10)</w:t>
            </w:r>
          </w:p>
        </w:tc>
        <w:tc>
          <w:tcPr>
            <w:tcW w:w="1239" w:type="dxa"/>
            <w:tcBorders>
              <w:top w:val="nil"/>
              <w:left w:val="nil"/>
              <w:bottom w:val="nil"/>
              <w:right w:val="nil"/>
            </w:tcBorders>
            <w:shd w:val="clear" w:color="auto" w:fill="auto"/>
            <w:tcMar>
              <w:top w:w="120" w:type="dxa"/>
              <w:left w:w="192" w:type="dxa"/>
              <w:bottom w:w="120" w:type="dxa"/>
              <w:right w:w="192" w:type="dxa"/>
            </w:tcMar>
            <w:vAlign w:val="center"/>
          </w:tcPr>
          <w:p w14:paraId="620C4398">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2.65</w:t>
            </w:r>
          </w:p>
        </w:tc>
        <w:tc>
          <w:tcPr>
            <w:tcW w:w="943" w:type="dxa"/>
            <w:tcBorders>
              <w:top w:val="nil"/>
              <w:left w:val="nil"/>
              <w:bottom w:val="nil"/>
              <w:right w:val="nil"/>
            </w:tcBorders>
            <w:shd w:val="clear" w:color="auto" w:fill="auto"/>
            <w:tcMar>
              <w:top w:w="120" w:type="dxa"/>
              <w:left w:w="192" w:type="dxa"/>
              <w:bottom w:w="120" w:type="dxa"/>
              <w:right w:w="-1" w:type="dxa"/>
            </w:tcMar>
            <w:vAlign w:val="center"/>
          </w:tcPr>
          <w:p w14:paraId="0B8A04F3">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0.42</w:t>
            </w:r>
          </w:p>
        </w:tc>
      </w:tr>
      <w:tr w14:paraId="624D86CF">
        <w:tblPrEx>
          <w:tblCellMar>
            <w:top w:w="15" w:type="dxa"/>
            <w:left w:w="15" w:type="dxa"/>
            <w:bottom w:w="15" w:type="dxa"/>
            <w:right w:w="15" w:type="dxa"/>
          </w:tblCellMar>
        </w:tblPrEx>
        <w:trPr>
          <w:jc w:val="center"/>
        </w:trPr>
        <w:tc>
          <w:tcPr>
            <w:tcW w:w="1291" w:type="dxa"/>
            <w:tcBorders>
              <w:top w:val="nil"/>
              <w:left w:val="nil"/>
              <w:bottom w:val="nil"/>
              <w:right w:val="nil"/>
            </w:tcBorders>
            <w:shd w:val="clear" w:color="auto" w:fill="auto"/>
            <w:tcMar>
              <w:top w:w="120" w:type="dxa"/>
              <w:left w:w="-1" w:type="dxa"/>
              <w:bottom w:w="120" w:type="dxa"/>
              <w:right w:w="192" w:type="dxa"/>
            </w:tcMar>
            <w:vAlign w:val="center"/>
          </w:tcPr>
          <w:p w14:paraId="36CB88D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支持向量机</w:t>
            </w:r>
          </w:p>
        </w:tc>
        <w:tc>
          <w:tcPr>
            <w:tcW w:w="2422" w:type="dxa"/>
            <w:tcBorders>
              <w:top w:val="nil"/>
              <w:left w:val="nil"/>
              <w:bottom w:val="nil"/>
              <w:right w:val="nil"/>
            </w:tcBorders>
            <w:shd w:val="clear" w:color="auto" w:fill="auto"/>
            <w:tcMar>
              <w:top w:w="120" w:type="dxa"/>
              <w:left w:w="192" w:type="dxa"/>
              <w:bottom w:w="120" w:type="dxa"/>
              <w:right w:w="192" w:type="dxa"/>
            </w:tcMar>
            <w:vAlign w:val="center"/>
          </w:tcPr>
          <w:p w14:paraId="394DAEC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C, gamma, epsilon</w:t>
            </w:r>
          </w:p>
        </w:tc>
        <w:tc>
          <w:tcPr>
            <w:tcW w:w="2168" w:type="dxa"/>
            <w:tcBorders>
              <w:top w:val="nil"/>
              <w:left w:val="nil"/>
              <w:bottom w:val="nil"/>
              <w:right w:val="nil"/>
            </w:tcBorders>
            <w:shd w:val="clear" w:color="auto" w:fill="auto"/>
            <w:tcMar>
              <w:top w:w="120" w:type="dxa"/>
              <w:left w:w="192" w:type="dxa"/>
              <w:bottom w:w="120" w:type="dxa"/>
              <w:right w:w="192" w:type="dxa"/>
            </w:tcMar>
            <w:vAlign w:val="center"/>
          </w:tcPr>
          <w:p w14:paraId="74368F6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C[0.1-100], gamma[0.01-1], epsilon[0.01-0.5]</w:t>
            </w:r>
          </w:p>
        </w:tc>
        <w:tc>
          <w:tcPr>
            <w:tcW w:w="1087" w:type="dxa"/>
            <w:tcBorders>
              <w:top w:val="nil"/>
              <w:left w:val="nil"/>
              <w:bottom w:val="nil"/>
              <w:right w:val="nil"/>
            </w:tcBorders>
            <w:shd w:val="clear" w:color="auto" w:fill="auto"/>
            <w:tcMar>
              <w:top w:w="120" w:type="dxa"/>
              <w:left w:w="192" w:type="dxa"/>
              <w:bottom w:w="120" w:type="dxa"/>
              <w:right w:w="192" w:type="dxa"/>
            </w:tcMar>
            <w:vAlign w:val="center"/>
          </w:tcPr>
          <w:p w14:paraId="6C2892CC">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(10, 0.1, 0.1)</w:t>
            </w:r>
          </w:p>
        </w:tc>
        <w:tc>
          <w:tcPr>
            <w:tcW w:w="1239" w:type="dxa"/>
            <w:tcBorders>
              <w:top w:val="nil"/>
              <w:left w:val="nil"/>
              <w:bottom w:val="nil"/>
              <w:right w:val="nil"/>
            </w:tcBorders>
            <w:shd w:val="clear" w:color="auto" w:fill="auto"/>
            <w:tcMar>
              <w:top w:w="120" w:type="dxa"/>
              <w:left w:w="192" w:type="dxa"/>
              <w:bottom w:w="120" w:type="dxa"/>
              <w:right w:w="192" w:type="dxa"/>
            </w:tcMar>
            <w:vAlign w:val="center"/>
          </w:tcPr>
          <w:p w14:paraId="6B948C6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2.47</w:t>
            </w:r>
          </w:p>
        </w:tc>
        <w:tc>
          <w:tcPr>
            <w:tcW w:w="943" w:type="dxa"/>
            <w:tcBorders>
              <w:top w:val="nil"/>
              <w:left w:val="nil"/>
              <w:bottom w:val="nil"/>
              <w:right w:val="nil"/>
            </w:tcBorders>
            <w:shd w:val="clear" w:color="auto" w:fill="auto"/>
            <w:tcMar>
              <w:top w:w="120" w:type="dxa"/>
              <w:left w:w="192" w:type="dxa"/>
              <w:bottom w:w="120" w:type="dxa"/>
              <w:right w:w="-1" w:type="dxa"/>
            </w:tcMar>
            <w:vAlign w:val="center"/>
          </w:tcPr>
          <w:p w14:paraId="3CDC163A">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0.35</w:t>
            </w:r>
          </w:p>
        </w:tc>
      </w:tr>
      <w:tr w14:paraId="675565AC">
        <w:tblPrEx>
          <w:tblCellMar>
            <w:top w:w="15" w:type="dxa"/>
            <w:left w:w="15" w:type="dxa"/>
            <w:bottom w:w="15" w:type="dxa"/>
            <w:right w:w="15" w:type="dxa"/>
          </w:tblCellMar>
        </w:tblPrEx>
        <w:trPr>
          <w:jc w:val="center"/>
        </w:trPr>
        <w:tc>
          <w:tcPr>
            <w:tcW w:w="1291"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5339A7F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随机森林</w:t>
            </w:r>
          </w:p>
        </w:tc>
        <w:tc>
          <w:tcPr>
            <w:tcW w:w="2422"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65EC7BE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n_estimators, max_features, max_depth</w:t>
            </w:r>
          </w:p>
        </w:tc>
        <w:tc>
          <w:tcPr>
            <w:tcW w:w="2168"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3C592A7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[50-500], ['sqrt','log2'], [5-20]</w:t>
            </w:r>
          </w:p>
        </w:tc>
        <w:tc>
          <w:tcPr>
            <w:tcW w:w="1087"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43BF459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(200, 'sqrt', 10)</w:t>
            </w:r>
          </w:p>
        </w:tc>
        <w:tc>
          <w:tcPr>
            <w:tcW w:w="1239"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1BDD7F55">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2.31</w:t>
            </w:r>
          </w:p>
        </w:tc>
        <w:tc>
          <w:tcPr>
            <w:tcW w:w="943"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1B6AB2AD">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0.28</w:t>
            </w:r>
          </w:p>
        </w:tc>
      </w:tr>
    </w:tbl>
    <w:p w14:paraId="522A549F">
      <w:pPr>
        <w:pStyle w:val="4"/>
        <w:widowControl/>
        <w:numPr>
          <w:ilvl w:val="0"/>
          <w:numId w:val="11"/>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46" w:name="_Toc10104"/>
      <w:r>
        <w:rPr>
          <w:rFonts w:ascii="Times New Roman" w:eastAsia="宋体"/>
          <w:b/>
          <w:sz w:val="24"/>
        </w:rPr>
        <w:t>性能结果对比分析</w:t>
      </w:r>
      <w:bookmarkEnd w:id="46"/>
    </w:p>
    <w:p w14:paraId="3CFD2922">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在完成模型训练与参数调优的基础上，本研究采用测试集对各模型的最终性能进行独立评估，综合运用MAE、RMSE、MMRE、Pred(25)四项指标对模型进行多维对比</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"https://library.cnu.ac.kr/eds/detail/edseee_edseee.10526276?briefLink=/eds/brief/discoveryResult?st=KWRD&amp;service_type=brief&amp;si=SU&amp;q=%22soma%22&amp;"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。MAE反映模型预测的平均绝对偏差，RMSE放大较大误差的权重以识别极端预测偏差，MMRE消除项目规模差异的影响度量相对误差，Pred(25)则直观呈现预测精度在可接受范围内的样本比例</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w:t>
      </w:r>
    </w:p>
    <w:p w14:paraId="571FE13B">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实证结果显示，随机森林模型在四项指标上均取得最优表现：MAE为2.18人月，RMSE为3.05人月，MMRE为0.203（即平均相对误差20.3%），Pred(25)达到0.708（即70.8%的样本预测相对误差控制在25%以内）</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"https://library.cnu.ac.kr/eds/detail/edseee_edseee.10526276?briefLink=/eds/brief/discoveryResult?st=KWRD&amp;service_type=brief&amp;si=SU&amp;q=%22soma%22&amp;"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支持向量机模型紧随其后，MAE为2.35人月，RMSE为3.28人月，MMRE为0.221，Pred(25)为0.674。决策树模型MAE为2.51人月，RMSE为3.56人月，MMRE为0.245，Pred(25)为0.632。多元线性回归作为基准模型，MAE为3.12人月，RMSE为3.98人月，MMRE为0.287，Pred(25)为0.581，各项指标均落后于机器学习模型</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"https://library.cnu.ac.kr/eds/detail/edseee_edseee.10526276?briefLink=/eds/brief/discoveryResult?st=KWRD&amp;service_type=brief&amp;si=SU&amp;q=%22soma%22&amp;"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7D107324">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从指标对比分析可见：第一，所有机器学习模型在MAE、RMSE、MMRE、Pred(25)上均显著优于传统线性回归模型，验证了机器学习方法在软件工作量估算中的有效性；第二，随机森林模型在MAE与RMSE上的优势表明其预测偏差较小且极端误差较少；第三，Pred(25)指标显示随机森林模型对超过70%的样本能够实现较高精度的预测，具有较好的实际应用潜力；第四，MMRE指标揭示各模型相对误差均保持在20%-30%区间，与已有研究的结论基本吻合</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"https://library.cnu.ac.kr/eds/detail/edseee_edseee.10526276?briefLink=/eds/brief/discoveryResult?st=KWRD&amp;service_type=brief&amp;si=SU&amp;q=%22soma%22&amp;"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tbl>
      <w:tblPr>
        <w:tblStyle w:val="26"/>
        <w:tblW w:w="9145" w:type="dxa"/>
        <w:jc w:val="center"/>
        <w:tblLayout w:type="autofit"/>
        <w:tblCellMar>
          <w:top w:w="15" w:type="dxa"/>
          <w:left w:w="15" w:type="dxa"/>
          <w:bottom w:w="15" w:type="dxa"/>
          <w:right w:w="15" w:type="dxa"/>
        </w:tblCellMar>
      </w:tblPr>
      <w:tblGrid>
        <w:gridCol w:w="1645"/>
        <w:gridCol w:w="1645"/>
        <w:gridCol w:w="1764"/>
        <w:gridCol w:w="1217"/>
        <w:gridCol w:w="1442"/>
        <w:gridCol w:w="1432"/>
      </w:tblGrid>
      <w:tr w14:paraId="6555B54B">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7B1E1CB1">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模型类型</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4D3FB2CD">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MAE(人月)</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FBB5018">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RMSE(人月)</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6FFC7897">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MMRE</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43AB2AD2">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Pred(25)</w:t>
            </w:r>
          </w:p>
        </w:tc>
        <w:tc>
          <w:tcPr>
            <w:tcW w:w="1432"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8969EC5">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性能排名</w:t>
            </w:r>
          </w:p>
        </w:tc>
      </w:tr>
      <w:tr w14:paraId="77068CBF">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2418F44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多元线性回归</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C5F650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3.12</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22B3FB0A">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3.98</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DB27058">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0.287</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718CC545">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0.581</w:t>
            </w:r>
          </w:p>
        </w:tc>
        <w:tc>
          <w:tcPr>
            <w:tcW w:w="1432"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4078D816">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4</w:t>
            </w:r>
          </w:p>
        </w:tc>
      </w:tr>
      <w:tr w14:paraId="54CCC81D">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5152638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决策树</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0C16B30">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2.51</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73A0A45">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3.56</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8A8E03F">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0.245</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1AF890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0.632</w:t>
            </w:r>
          </w:p>
        </w:tc>
        <w:tc>
          <w:tcPr>
            <w:tcW w:w="1432" w:type="dxa"/>
            <w:tcBorders>
              <w:top w:val="nil"/>
              <w:left w:val="nil"/>
              <w:bottom w:val="nil"/>
              <w:right w:val="nil"/>
            </w:tcBorders>
            <w:shd w:val="clear" w:color="auto" w:fill="auto"/>
            <w:tcMar>
              <w:top w:w="120" w:type="dxa"/>
              <w:left w:w="192" w:type="dxa"/>
              <w:bottom w:w="120" w:type="dxa"/>
              <w:right w:w="-1" w:type="dxa"/>
            </w:tcMar>
            <w:vAlign w:val="center"/>
          </w:tcPr>
          <w:p w14:paraId="5627ED7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3</w:t>
            </w:r>
          </w:p>
        </w:tc>
      </w:tr>
      <w:tr w14:paraId="0FACFD6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4F25E5F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支持向量机</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BF4F27F">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2.35</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F07FF4C">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3.28</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0DA0EE7">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0.221</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87A9D57">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0.674</w:t>
            </w:r>
          </w:p>
        </w:tc>
        <w:tc>
          <w:tcPr>
            <w:tcW w:w="1432" w:type="dxa"/>
            <w:tcBorders>
              <w:top w:val="nil"/>
              <w:left w:val="nil"/>
              <w:bottom w:val="nil"/>
              <w:right w:val="nil"/>
            </w:tcBorders>
            <w:shd w:val="clear" w:color="auto" w:fill="auto"/>
            <w:tcMar>
              <w:top w:w="120" w:type="dxa"/>
              <w:left w:w="192" w:type="dxa"/>
              <w:bottom w:w="120" w:type="dxa"/>
              <w:right w:w="-1" w:type="dxa"/>
            </w:tcMar>
            <w:vAlign w:val="center"/>
          </w:tcPr>
          <w:p w14:paraId="12F30254">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2</w:t>
            </w:r>
          </w:p>
        </w:tc>
      </w:tr>
      <w:tr w14:paraId="6D9A4960">
        <w:tblPrEx>
          <w:tblCellMar>
            <w:top w:w="15" w:type="dxa"/>
            <w:left w:w="15" w:type="dxa"/>
            <w:bottom w:w="15" w:type="dxa"/>
            <w:right w:w="15" w:type="dxa"/>
          </w:tblCellMar>
        </w:tblPrEx>
        <w:trPr>
          <w:jc w:val="center"/>
        </w:trPr>
        <w:tc>
          <w:tcPr>
            <w:tcW w:w="1645"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7A82045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随机森林</w:t>
            </w:r>
          </w:p>
        </w:tc>
        <w:tc>
          <w:tcPr>
            <w:tcW w:w="1645"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68ECCEEC">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2.18</w:t>
            </w:r>
          </w:p>
        </w:tc>
        <w:tc>
          <w:tcPr>
            <w:tcW w:w="1764"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5FCB2DCA">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3.05</w:t>
            </w:r>
          </w:p>
        </w:tc>
        <w:tc>
          <w:tcPr>
            <w:tcW w:w="1217"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10A89A78">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0.203</w:t>
            </w:r>
          </w:p>
        </w:tc>
        <w:tc>
          <w:tcPr>
            <w:tcW w:w="1442"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2F3A9947">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0.708</w:t>
            </w:r>
          </w:p>
        </w:tc>
        <w:tc>
          <w:tcPr>
            <w:tcW w:w="1432"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76170EA8">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1</w:t>
            </w:r>
          </w:p>
        </w:tc>
      </w:tr>
    </w:tbl>
    <w:p w14:paraId="52FDDBF0">
      <w:pPr>
        <w:pStyle w:val="4"/>
        <w:widowControl/>
        <w:numPr>
          <w:ilvl w:val="0"/>
          <w:numId w:val="11"/>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47" w:name="_Toc17829"/>
      <w:r>
        <w:rPr>
          <w:rFonts w:ascii="Times New Roman" w:eastAsia="宋体"/>
          <w:b/>
          <w:sz w:val="24"/>
        </w:rPr>
        <w:t>特征重要性分析</w:t>
      </w:r>
      <w:bookmarkEnd w:id="47"/>
    </w:p>
    <w:p w14:paraId="6FEB6DF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特征重要性分析旨在识别影响软件工作量的核心因素，为模型解释与特征筛选提供依据。随机森林模型天然具备特征重要性评估功能，其原理是通过计算每个特征在所有决策树节点分裂中带来的不纯度减少总量，经归一化后得到各特征的重要性得分</w:t>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"https://katalog.lib.cas.cz/EdsRecord/edsdoj,edsdoj.fcc7865b9bf34c94a2eaf885d4c13ceb?sid=47553678"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。本研究基于训练好的随机森林模型，输出各特征的重要性排序，并结合领域知识对结果进行解释</w:t>
      </w:r>
      <w:r>
        <w:rPr>
          <w:rFonts w:ascii="Times New Roman" w:eastAsia="宋体"/>
          <w:color w:val="auto"/>
          <w:sz w:val="24"/>
        </w:rPr>
        <w:fldChar w:fldCharType="begin"/>
      </w:r>
      <w:r>
        <w:rPr>
          <w:rFonts w:ascii="Times New Roman" w:eastAsia="宋体"/>
          <w:color w:val="auto"/>
          <w:sz w:val="24"/>
        </w:rPr>
        <w:instrText xml:space="preserve"> HYPERLINK "https://katalog.lib.cas.cz/EdsRecord/edsdoj,edsdoj.fcc7865b9bf34c94a2eaf885d4c13ceb?sid=47553678"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35E66629">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实证分析表明，功能点计数（Function Points）是影响软件工作量最重要的特征，其重要性得分为0.312，远超其他特征，这与软件工程领域的基本共识一致——软件规模是决定工作量的首要因素</w:t>
      </w:r>
      <w:r>
        <w:rPr>
          <w:rFonts w:ascii="Times New Roman" w:eastAsia="宋体"/>
          <w:color w:val="auto"/>
          <w:sz w:val="24"/>
        </w:rPr>
        <w:fldChar w:fldCharType="begin"/>
      </w:r>
      <w:r>
        <w:rPr>
          <w:rFonts w:ascii="Times New Roman" w:eastAsia="宋体"/>
          <w:color w:val="auto"/>
          <w:sz w:val="24"/>
        </w:rPr>
        <w:instrText xml:space="preserve"> HYPERLINK "https://doaj.org/article/6009d8abaef541c2b0a83240d83f34e7"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"https://katalog.lib.cas.cz/EdsRecord/edsdoj,edsdoj.fcc7865b9bf34c94a2eaf885d4c13ceb?sid=47553678"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。项目复杂度（Project Complexity）与代码规模（KLoC）分别以0.186和0.165的重要性得分位列第二、三位，反映了项目技术难度与代码量对工作量的显著影响。团队经验水平（Team Experience）得分为0.124，验证了人力因素在软件项目中的关键作用。开发环境成熟度（Development Tool Maturity）得分为0.098，表明工具支持对开发效率具有一定影响。开发模式（Development Mode）与语言类型（Language Type）分别得分为0.068和0.047，对工作量的影响相对有限。</w:t>
      </w:r>
    </w:p>
    <w:p w14:paraId="62EA0D0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特征重要性分析对模型优化具有指导意义：一方面，可以剔除重要性得分低于0.05的特征，简化模型结构而不显著影响预测精度；另一方面，为后续特征工程提供方向，围绕核心特征构造交互项或衍生特征可能进一步提升模型性能</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"https://katalog.lib.cas.cz/EdsRecord/edsdoj,edsdoj.fcc7865b9bf34c94a2eaf885d4c13ceb?sid=47553678"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w:t>
      </w:r>
    </w:p>
    <w:tbl>
      <w:tblPr>
        <w:tblStyle w:val="26"/>
        <w:tblW w:w="9145" w:type="dxa"/>
        <w:jc w:val="center"/>
        <w:tblLayout w:type="autofit"/>
        <w:tblCellMar>
          <w:top w:w="15" w:type="dxa"/>
          <w:left w:w="15" w:type="dxa"/>
          <w:bottom w:w="15" w:type="dxa"/>
          <w:right w:w="15" w:type="dxa"/>
        </w:tblCellMar>
      </w:tblPr>
      <w:tblGrid>
        <w:gridCol w:w="1881"/>
        <w:gridCol w:w="1438"/>
        <w:gridCol w:w="1444"/>
        <w:gridCol w:w="1444"/>
        <w:gridCol w:w="2938"/>
      </w:tblGrid>
      <w:tr w14:paraId="5908E718">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4802D974">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特征名称</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05D000C">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特征类别</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AD79C14">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重要性得分</w:t>
            </w:r>
          </w:p>
        </w:tc>
        <w:tc>
          <w:tcPr>
            <w:tcW w:w="0" w:type="auto"/>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C8BB5A9">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累计重要性</w:t>
            </w:r>
          </w:p>
        </w:tc>
        <w:tc>
          <w:tcPr>
            <w:tcW w:w="2938"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56C4DAC0">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特征含义</w:t>
            </w:r>
          </w:p>
        </w:tc>
      </w:tr>
      <w:tr w14:paraId="3BB65C23">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auto"/>
            <w:tcMar>
              <w:top w:w="120" w:type="dxa"/>
              <w:left w:w="-1" w:type="dxa"/>
              <w:bottom w:w="120" w:type="dxa"/>
              <w:right w:w="192" w:type="dxa"/>
            </w:tcMar>
            <w:vAlign w:val="center"/>
          </w:tcPr>
          <w:p w14:paraId="45965A6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功能点计数</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34174E0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规模度量</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7D1A35B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0.312</w:t>
            </w:r>
          </w:p>
        </w:tc>
        <w:tc>
          <w:tcPr>
            <w:tcW w:w="0" w:type="auto"/>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718C9EE0">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0.312</w:t>
            </w:r>
          </w:p>
        </w:tc>
        <w:tc>
          <w:tcPr>
            <w:tcW w:w="2938"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3AB7E419">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基于功能需求的软件规模</w:t>
            </w:r>
          </w:p>
        </w:tc>
      </w:tr>
      <w:tr w14:paraId="2D9A289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5DF9886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项目复杂度</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8F1A6A9">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复杂度指标</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79938EC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0.186</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CD9BCB7">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0.498</w:t>
            </w:r>
          </w:p>
        </w:tc>
        <w:tc>
          <w:tcPr>
            <w:tcW w:w="2938" w:type="dxa"/>
            <w:tcBorders>
              <w:top w:val="nil"/>
              <w:left w:val="nil"/>
              <w:bottom w:val="nil"/>
              <w:right w:val="nil"/>
            </w:tcBorders>
            <w:shd w:val="clear" w:color="auto" w:fill="auto"/>
            <w:tcMar>
              <w:top w:w="120" w:type="dxa"/>
              <w:left w:w="192" w:type="dxa"/>
              <w:bottom w:w="120" w:type="dxa"/>
              <w:right w:w="-1" w:type="dxa"/>
            </w:tcMar>
            <w:vAlign w:val="center"/>
          </w:tcPr>
          <w:p w14:paraId="38299086">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项目整体技术复杂度评分</w:t>
            </w:r>
          </w:p>
        </w:tc>
      </w:tr>
      <w:tr w14:paraId="0B0845F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0E130BE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代码规模（KLoC）</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BBBA257">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规模度量</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84F90C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0.165</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F725D2A">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0.663</w:t>
            </w:r>
          </w:p>
        </w:tc>
        <w:tc>
          <w:tcPr>
            <w:tcW w:w="2938" w:type="dxa"/>
            <w:tcBorders>
              <w:top w:val="nil"/>
              <w:left w:val="nil"/>
              <w:bottom w:val="nil"/>
              <w:right w:val="nil"/>
            </w:tcBorders>
            <w:shd w:val="clear" w:color="auto" w:fill="auto"/>
            <w:tcMar>
              <w:top w:w="120" w:type="dxa"/>
              <w:left w:w="192" w:type="dxa"/>
              <w:bottom w:w="120" w:type="dxa"/>
              <w:right w:w="-1" w:type="dxa"/>
            </w:tcMar>
            <w:vAlign w:val="center"/>
          </w:tcPr>
          <w:p w14:paraId="416CEE8C">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千行代码数</w:t>
            </w:r>
          </w:p>
        </w:tc>
      </w:tr>
      <w:tr w14:paraId="253779FF">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57716ED8">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团队经验水平</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35B64B4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环境因素</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2D73CC5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0.124</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E724F96">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0.787</w:t>
            </w:r>
          </w:p>
        </w:tc>
        <w:tc>
          <w:tcPr>
            <w:tcW w:w="2938" w:type="dxa"/>
            <w:tcBorders>
              <w:top w:val="nil"/>
              <w:left w:val="nil"/>
              <w:bottom w:val="nil"/>
              <w:right w:val="nil"/>
            </w:tcBorders>
            <w:shd w:val="clear" w:color="auto" w:fill="auto"/>
            <w:tcMar>
              <w:top w:w="120" w:type="dxa"/>
              <w:left w:w="192" w:type="dxa"/>
              <w:bottom w:w="120" w:type="dxa"/>
              <w:right w:w="-1" w:type="dxa"/>
            </w:tcMar>
            <w:vAlign w:val="center"/>
          </w:tcPr>
          <w:p w14:paraId="1264199E">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开发团队经验年限或等级</w:t>
            </w:r>
          </w:p>
        </w:tc>
      </w:tr>
      <w:tr w14:paraId="0CD8D3B2">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5C4FFCEF">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开发环境成熟度</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03A739B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环境因素</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415EC421">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0.098</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B96EFDE">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0.885</w:t>
            </w:r>
          </w:p>
        </w:tc>
        <w:tc>
          <w:tcPr>
            <w:tcW w:w="2938" w:type="dxa"/>
            <w:tcBorders>
              <w:top w:val="nil"/>
              <w:left w:val="nil"/>
              <w:bottom w:val="nil"/>
              <w:right w:val="nil"/>
            </w:tcBorders>
            <w:shd w:val="clear" w:color="auto" w:fill="auto"/>
            <w:tcMar>
              <w:top w:w="120" w:type="dxa"/>
              <w:left w:w="192" w:type="dxa"/>
              <w:bottom w:w="120" w:type="dxa"/>
              <w:right w:w="-1" w:type="dxa"/>
            </w:tcMar>
            <w:vAlign w:val="center"/>
          </w:tcPr>
          <w:p w14:paraId="187CF53D">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工具、平台与过程支持水平</w:t>
            </w:r>
          </w:p>
        </w:tc>
      </w:tr>
      <w:tr w14:paraId="55A6662C">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120" w:type="dxa"/>
              <w:left w:w="-1" w:type="dxa"/>
              <w:bottom w:w="120" w:type="dxa"/>
              <w:right w:w="192" w:type="dxa"/>
            </w:tcMar>
            <w:vAlign w:val="center"/>
          </w:tcPr>
          <w:p w14:paraId="753DFF6B">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开发模式</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667CAF1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项目属性</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855217A">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0.068</w:t>
            </w:r>
          </w:p>
        </w:tc>
        <w:tc>
          <w:tcPr>
            <w:tcW w:w="0" w:type="auto"/>
            <w:tcBorders>
              <w:top w:val="nil"/>
              <w:left w:val="nil"/>
              <w:bottom w:val="nil"/>
              <w:right w:val="nil"/>
            </w:tcBorders>
            <w:shd w:val="clear" w:color="auto" w:fill="auto"/>
            <w:tcMar>
              <w:top w:w="120" w:type="dxa"/>
              <w:left w:w="192" w:type="dxa"/>
              <w:bottom w:w="120" w:type="dxa"/>
              <w:right w:w="192" w:type="dxa"/>
            </w:tcMar>
            <w:vAlign w:val="center"/>
          </w:tcPr>
          <w:p w14:paraId="54F21A4A">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0.953</w:t>
            </w:r>
          </w:p>
        </w:tc>
        <w:tc>
          <w:tcPr>
            <w:tcW w:w="2938" w:type="dxa"/>
            <w:tcBorders>
              <w:top w:val="nil"/>
              <w:left w:val="nil"/>
              <w:bottom w:val="nil"/>
              <w:right w:val="nil"/>
            </w:tcBorders>
            <w:shd w:val="clear" w:color="auto" w:fill="auto"/>
            <w:tcMar>
              <w:top w:w="120" w:type="dxa"/>
              <w:left w:w="192" w:type="dxa"/>
              <w:bottom w:w="120" w:type="dxa"/>
              <w:right w:w="-1" w:type="dxa"/>
            </w:tcMar>
            <w:vAlign w:val="center"/>
          </w:tcPr>
          <w:p w14:paraId="66E761F8">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有机型/半分离型/嵌入型</w:t>
            </w:r>
          </w:p>
        </w:tc>
      </w:tr>
      <w:tr w14:paraId="47DE3CC2">
        <w:tblPrEx>
          <w:tblCellMar>
            <w:top w:w="15" w:type="dxa"/>
            <w:left w:w="15" w:type="dxa"/>
            <w:bottom w:w="15" w:type="dxa"/>
            <w:right w:w="15" w:type="dxa"/>
          </w:tblCellMar>
        </w:tblPrEx>
        <w:trPr>
          <w:jc w:val="center"/>
        </w:trPr>
        <w:tc>
          <w:tcPr>
            <w:tcW w:w="1881"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6BAA8238">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语言类型</w:t>
            </w:r>
          </w:p>
        </w:tc>
        <w:tc>
          <w:tcPr>
            <w:tcW w:w="1438"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07528F31">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技术属性</w:t>
            </w:r>
          </w:p>
        </w:tc>
        <w:tc>
          <w:tcPr>
            <w:tcW w:w="1444"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054BED32">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0.047</w:t>
            </w:r>
          </w:p>
        </w:tc>
        <w:tc>
          <w:tcPr>
            <w:tcW w:w="1444"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4CD758F3">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1.000</w:t>
            </w:r>
          </w:p>
        </w:tc>
        <w:tc>
          <w:tcPr>
            <w:tcW w:w="2938"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7C7C4E8C">
            <w:pPr>
              <w:widowControl/>
              <w:snapToGrid w:val="0"/>
              <w:spacing w:line="240" w:lineRule="auto"/>
              <w:ind w:firstLine="0" w:firstLineChars="0"/>
              <w:jc w:val="right"/>
              <w:rPr>
                <w:rFonts w:ascii="Segoe UI" w:hAnsi="Segoe UI" w:eastAsia="Segoe UI" w:cs="Segoe UI"/>
                <w:sz w:val="18"/>
                <w:szCs w:val="18"/>
              </w:rPr>
            </w:pPr>
            <w:r>
              <w:rPr>
                <w:rFonts w:ascii="Segoe UI" w:hAnsi="Segoe UI" w:eastAsia="Segoe UI" w:cs="Segoe UI"/>
                <w:kern w:val="0"/>
                <w:sz w:val="18"/>
                <w:szCs w:val="18"/>
                <w:lang w:bidi="ar"/>
              </w:rPr>
              <w:t>编程语言类型（如Java/C++）</w:t>
            </w:r>
          </w:p>
        </w:tc>
      </w:tr>
    </w:tbl>
    <w:p w14:paraId="33CDA788">
      <w:pPr>
        <w:pStyle w:val="3"/>
        <w:widowControl/>
        <w:numPr>
          <w:ilvl w:val="0"/>
          <w:numId w:val="9"/>
        </w:numPr>
        <w:shd w:val="clear" w:color="auto" w:fill="FFFFFF"/>
        <w:snapToGrid/>
        <w:spacing w:before="0" w:beforeAutospacing="0" w:afterAutospacing="0" w:line="480" w:lineRule="auto"/>
        <w:ind w:left="495" w:leftChars="0" w:right="0" w:rightChars="0" w:hanging="495" w:firstLineChars="0"/>
        <w:jc w:val="left"/>
        <w:outlineLvl w:val="1"/>
        <w:rPr>
          <w:rFonts w:ascii="Times New Roman" w:eastAsia="黑体"/>
          <w:b w:val="0"/>
          <w:sz w:val="28"/>
        </w:rPr>
      </w:pPr>
      <w:bookmarkStart w:id="48" w:name="_Toc13518"/>
      <w:r>
        <w:rPr>
          <w:rFonts w:ascii="Times New Roman" w:eastAsia="黑体"/>
          <w:b w:val="0"/>
          <w:sz w:val="28"/>
        </w:rPr>
        <w:t>实验结果讨论</w:t>
      </w:r>
      <w:bookmarkEnd w:id="48"/>
    </w:p>
    <w:p w14:paraId="73A0EA10">
      <w:pPr>
        <w:pStyle w:val="4"/>
        <w:widowControl/>
        <w:numPr>
          <w:ilvl w:val="0"/>
          <w:numId w:val="12"/>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49" w:name="_Toc2291"/>
      <w:r>
        <w:rPr>
          <w:rFonts w:ascii="Times New Roman" w:eastAsia="宋体"/>
          <w:b/>
          <w:sz w:val="24"/>
        </w:rPr>
        <w:t>不同模型适配性分析</w:t>
      </w:r>
      <w:bookmarkEnd w:id="49"/>
    </w:p>
    <w:p w14:paraId="7F4069F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基于上述实验结果，本研究对不同机器学习模型在软件工作量估算任务中的适配性进行深入分析。多元线性回归作为基准模型，其优势在于模型结构简单、可解释性强，能够直观呈现各特征与工作量之间的线性关系，适用于需求稳定、技术路线成熟的传统软件项目</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。然而，线性回归在面对非线性关系与特征交互作用时表现乏力，残差分析揭示其对大规模项目存在系统性低估，表明线性假设在复杂项目中具有内在局限</w:t>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652DEFD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决策树模型通过递归划分特征空间，能够自动捕捉特征间的非线性关系与交互效应，且生成的树结构具有良好的可解释性</w:t>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但决策树对数据波动敏感，训练样本的微小变化可能导致树结构重构，模型稳定性不足。因此，决策树更适用于中小规模项目、对模型解释性要求较高的场景，可作为探索性分析的工具，但在生产环境中需谨慎使用。</w:t>
      </w:r>
    </w:p>
    <w:p w14:paraId="2E56CD1E">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支持向量机模型借助核函数将低维非线性问题映射至高维空间求解，在处理中等规模数据集时表现出色，对异常值的鲁棒性较强</w:t>
      </w:r>
      <w:r>
        <w:rPr>
          <w:rFonts w:ascii="Times New Roman" w:eastAsia="宋体"/>
          <w:color w:val="auto"/>
          <w:sz w:val="24"/>
        </w:rPr>
        <w:fldChar w:fldCharType="begin"/>
      </w:r>
      <w:r>
        <w:rPr>
          <w:rFonts w:ascii="Times New Roman" w:eastAsia="宋体"/>
          <w:color w:val="auto"/>
          <w:sz w:val="24"/>
        </w:rPr>
        <w:instrText xml:space="preserve"> HYPERLINK "https://preview-link.springer.com/article/10.1038/s41598-024-67197-1"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本研究中SVR模型性能仅次于随机森林，验证了其在软件工作量估算中的适用性。然而，SVR模型训练时间随样本量增加呈指数级增长，且模型可解释性较弱，难以直观呈现特征贡献，适用于对预测精度要求较高、样本量适中且对解释性要求不高的场景</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"https://preview-link.springer.com/article/10.1038/s41598-024-67197-1"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t>。</w:t>
      </w:r>
    </w:p>
    <w:p w14:paraId="5307D2B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随机森林模型在本研究中取得最优性能，其集成学习机制有效克服了单棵决策树的不稳定性，同时通过特征随机选择增强了模型泛化能力</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"https://onlinelibrary.wiley.com/doi/full/10.1002/smr.2611"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"https://libcattest.canterbury.ac.nz/EdsRecord/a9h,188354746?sid=9651313" \l "fulltext"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。随机森林对数据分布假设要求较低，能够处理高维特征与非线性关系，且天然支持特征重要性评估</w:t>
      </w:r>
      <w:r>
        <w:rPr>
          <w:rFonts w:ascii="Times New Roman" w:eastAsia="宋体"/>
          <w:color w:val="auto"/>
          <w:sz w:val="24"/>
        </w:rPr>
        <w:fldChar w:fldCharType="begin"/>
      </w:r>
      <w:r>
        <w:rPr>
          <w:rFonts w:ascii="Times New Roman" w:eastAsia="宋体"/>
          <w:color w:val="auto"/>
          <w:sz w:val="24"/>
        </w:rPr>
        <w:instrText xml:space="preserve"> HYPERLINK "https://katalog.lib.cas.cz/EdsRecord/edsdoj,edsdoj.fcc7865b9bf34c94a2eaf885d4c13ceb?sid=47553678"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。其局限性在于模型规模较大、计算资源消耗较高，且集成模型的解释性相对较弱。随机森林适用于大多数软件工作量估算场景，特别是项目特征复杂、数据维度较高、对预测精度要求严格的任务</w:t>
      </w:r>
      <w:r>
        <w:rPr>
          <w:rFonts w:ascii="Times New Roman" w:eastAsia="宋体"/>
          <w:color w:val="auto"/>
          <w:sz w:val="24"/>
        </w:rPr>
        <w:fldChar w:fldCharType="begin"/>
      </w:r>
      <w:r>
        <w:rPr>
          <w:rFonts w:ascii="Times New Roman" w:eastAsia="宋体"/>
          <w:color w:val="auto"/>
          <w:sz w:val="24"/>
        </w:rPr>
        <w:instrText xml:space="preserve"> HYPERLINK "https://libcattest.canterbury.ac.nz/EdsRecord/a9h,188354746?sid=9651313" \l "fulltext"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tbl>
      <w:tblPr>
        <w:tblStyle w:val="26"/>
        <w:tblW w:w="9150" w:type="dxa"/>
        <w:jc w:val="center"/>
        <w:tblLayout w:type="autofit"/>
        <w:tblCellMar>
          <w:top w:w="15" w:type="dxa"/>
          <w:left w:w="15" w:type="dxa"/>
          <w:bottom w:w="15" w:type="dxa"/>
          <w:right w:w="15" w:type="dxa"/>
        </w:tblCellMar>
      </w:tblPr>
      <w:tblGrid>
        <w:gridCol w:w="1339"/>
        <w:gridCol w:w="2347"/>
        <w:gridCol w:w="2347"/>
        <w:gridCol w:w="3117"/>
      </w:tblGrid>
      <w:tr w14:paraId="0ED426B2">
        <w:tblPrEx>
          <w:tblCellMar>
            <w:top w:w="15" w:type="dxa"/>
            <w:left w:w="15" w:type="dxa"/>
            <w:bottom w:w="15" w:type="dxa"/>
            <w:right w:w="15" w:type="dxa"/>
          </w:tblCellMar>
        </w:tblPrEx>
        <w:trPr>
          <w:tblHeader/>
          <w:jc w:val="center"/>
        </w:trPr>
        <w:tc>
          <w:tcPr>
            <w:tcW w:w="1340" w:type="dxa"/>
            <w:tcBorders>
              <w:top w:val="single" w:color="auto" w:sz="12" w:space="0"/>
              <w:left w:val="nil"/>
              <w:bottom w:val="nil"/>
              <w:right w:val="nil"/>
            </w:tcBorders>
            <w:shd w:val="clear" w:color="auto" w:fill="auto"/>
            <w:tcMar>
              <w:top w:w="120" w:type="dxa"/>
              <w:left w:w="-1" w:type="dxa"/>
              <w:bottom w:w="120" w:type="dxa"/>
              <w:right w:w="192" w:type="dxa"/>
            </w:tcMar>
            <w:vAlign w:val="center"/>
          </w:tcPr>
          <w:p w14:paraId="6E2B6FA6">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模型类型</w:t>
            </w:r>
          </w:p>
        </w:tc>
        <w:tc>
          <w:tcPr>
            <w:tcW w:w="2347"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136723DA">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优势</w:t>
            </w:r>
          </w:p>
        </w:tc>
        <w:tc>
          <w:tcPr>
            <w:tcW w:w="2347"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76D70F13">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局限</w:t>
            </w:r>
          </w:p>
        </w:tc>
        <w:tc>
          <w:tcPr>
            <w:tcW w:w="3117" w:type="dxa"/>
            <w:tcBorders>
              <w:top w:val="single" w:color="auto" w:sz="12" w:space="0"/>
              <w:left w:val="nil"/>
              <w:bottom w:val="nil"/>
              <w:right w:val="nil"/>
            </w:tcBorders>
            <w:shd w:val="clear" w:color="auto" w:fill="auto"/>
            <w:tcMar>
              <w:top w:w="120" w:type="dxa"/>
              <w:left w:w="192" w:type="dxa"/>
              <w:bottom w:w="120" w:type="dxa"/>
              <w:right w:w="192" w:type="dxa"/>
            </w:tcMar>
            <w:vAlign w:val="center"/>
          </w:tcPr>
          <w:p w14:paraId="336A448A">
            <w:pPr>
              <w:widowControl/>
              <w:snapToGrid w:val="0"/>
              <w:spacing w:line="240" w:lineRule="auto"/>
              <w:ind w:firstLine="0" w:firstLineChars="0"/>
              <w:jc w:val="center"/>
              <w:rPr>
                <w:rFonts w:ascii="Segoe UI" w:hAnsi="Segoe UI" w:eastAsia="Segoe UI" w:cs="Segoe UI"/>
                <w:b/>
                <w:sz w:val="18"/>
                <w:szCs w:val="18"/>
              </w:rPr>
            </w:pPr>
            <w:r>
              <w:rPr>
                <w:rStyle w:val="29"/>
                <w:rFonts w:ascii="Segoe UI" w:hAnsi="Segoe UI" w:eastAsia="Segoe UI" w:cs="Segoe UI"/>
                <w:bCs/>
                <w:kern w:val="0"/>
                <w:sz w:val="18"/>
                <w:szCs w:val="18"/>
                <w:lang w:bidi="ar"/>
              </w:rPr>
              <w:t>适配场景</w:t>
            </w:r>
          </w:p>
        </w:tc>
      </w:tr>
      <w:tr w14:paraId="0CF766DC">
        <w:tblPrEx>
          <w:tblCellMar>
            <w:top w:w="15" w:type="dxa"/>
            <w:left w:w="15" w:type="dxa"/>
            <w:bottom w:w="15" w:type="dxa"/>
            <w:right w:w="15" w:type="dxa"/>
          </w:tblCellMar>
        </w:tblPrEx>
        <w:trPr>
          <w:jc w:val="center"/>
        </w:trPr>
        <w:tc>
          <w:tcPr>
            <w:tcW w:w="1340" w:type="dxa"/>
            <w:tcBorders>
              <w:top w:val="single" w:color="auto" w:sz="4" w:space="0"/>
              <w:left w:val="nil"/>
              <w:bottom w:val="nil"/>
              <w:right w:val="nil"/>
            </w:tcBorders>
            <w:shd w:val="clear" w:color="auto" w:fill="auto"/>
            <w:tcMar>
              <w:top w:w="120" w:type="dxa"/>
              <w:left w:w="-1" w:type="dxa"/>
              <w:bottom w:w="120" w:type="dxa"/>
              <w:right w:w="192" w:type="dxa"/>
            </w:tcMar>
            <w:vAlign w:val="center"/>
          </w:tcPr>
          <w:p w14:paraId="7BDD35DB">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多元线性回归</w:t>
            </w:r>
          </w:p>
        </w:tc>
        <w:tc>
          <w:tcPr>
            <w:tcW w:w="2347"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7067FF6D">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结构简单，可解释性强，计算效率高</w:t>
            </w:r>
          </w:p>
        </w:tc>
        <w:tc>
          <w:tcPr>
            <w:tcW w:w="2347" w:type="dxa"/>
            <w:tcBorders>
              <w:top w:val="single" w:color="auto" w:sz="4" w:space="0"/>
              <w:left w:val="nil"/>
              <w:bottom w:val="nil"/>
              <w:right w:val="nil"/>
            </w:tcBorders>
            <w:shd w:val="clear" w:color="auto" w:fill="auto"/>
            <w:tcMar>
              <w:top w:w="120" w:type="dxa"/>
              <w:left w:w="192" w:type="dxa"/>
              <w:bottom w:w="120" w:type="dxa"/>
              <w:right w:w="192" w:type="dxa"/>
            </w:tcMar>
            <w:vAlign w:val="center"/>
          </w:tcPr>
          <w:p w14:paraId="60BEF5F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线性假设局限，难以处理非线性关系</w:t>
            </w:r>
          </w:p>
        </w:tc>
        <w:tc>
          <w:tcPr>
            <w:tcW w:w="3117" w:type="dxa"/>
            <w:tcBorders>
              <w:top w:val="single" w:color="auto" w:sz="4" w:space="0"/>
              <w:left w:val="nil"/>
              <w:bottom w:val="nil"/>
              <w:right w:val="nil"/>
            </w:tcBorders>
            <w:shd w:val="clear" w:color="auto" w:fill="auto"/>
            <w:tcMar>
              <w:top w:w="120" w:type="dxa"/>
              <w:left w:w="192" w:type="dxa"/>
              <w:bottom w:w="120" w:type="dxa"/>
              <w:right w:w="-1" w:type="dxa"/>
            </w:tcMar>
            <w:vAlign w:val="center"/>
          </w:tcPr>
          <w:p w14:paraId="18EE6723">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需求稳定、技术成熟、特征关系近似线性的项目</w:t>
            </w:r>
          </w:p>
        </w:tc>
      </w:tr>
      <w:tr w14:paraId="4AA2EE4C">
        <w:tblPrEx>
          <w:tblCellMar>
            <w:top w:w="15" w:type="dxa"/>
            <w:left w:w="15" w:type="dxa"/>
            <w:bottom w:w="15" w:type="dxa"/>
            <w:right w:w="15" w:type="dxa"/>
          </w:tblCellMar>
        </w:tblPrEx>
        <w:trPr>
          <w:jc w:val="center"/>
        </w:trPr>
        <w:tc>
          <w:tcPr>
            <w:tcW w:w="1340" w:type="dxa"/>
            <w:tcBorders>
              <w:top w:val="nil"/>
              <w:left w:val="nil"/>
              <w:bottom w:val="nil"/>
              <w:right w:val="nil"/>
            </w:tcBorders>
            <w:shd w:val="clear" w:color="auto" w:fill="auto"/>
            <w:tcMar>
              <w:top w:w="120" w:type="dxa"/>
              <w:left w:w="-1" w:type="dxa"/>
              <w:bottom w:w="120" w:type="dxa"/>
              <w:right w:w="192" w:type="dxa"/>
            </w:tcMar>
            <w:vAlign w:val="center"/>
          </w:tcPr>
          <w:p w14:paraId="0A31C1CB">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决策树</w:t>
            </w:r>
          </w:p>
        </w:tc>
        <w:tc>
          <w:tcPr>
            <w:tcW w:w="2347" w:type="dxa"/>
            <w:tcBorders>
              <w:top w:val="nil"/>
              <w:left w:val="nil"/>
              <w:bottom w:val="nil"/>
              <w:right w:val="nil"/>
            </w:tcBorders>
            <w:shd w:val="clear" w:color="auto" w:fill="auto"/>
            <w:tcMar>
              <w:top w:w="120" w:type="dxa"/>
              <w:left w:w="192" w:type="dxa"/>
              <w:bottom w:w="120" w:type="dxa"/>
              <w:right w:w="192" w:type="dxa"/>
            </w:tcMar>
            <w:vAlign w:val="center"/>
          </w:tcPr>
          <w:p w14:paraId="31E4413E">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自动捕捉非线性关系，可视化可解释</w:t>
            </w:r>
          </w:p>
        </w:tc>
        <w:tc>
          <w:tcPr>
            <w:tcW w:w="2347" w:type="dxa"/>
            <w:tcBorders>
              <w:top w:val="nil"/>
              <w:left w:val="nil"/>
              <w:bottom w:val="nil"/>
              <w:right w:val="nil"/>
            </w:tcBorders>
            <w:shd w:val="clear" w:color="auto" w:fill="auto"/>
            <w:tcMar>
              <w:top w:w="120" w:type="dxa"/>
              <w:left w:w="192" w:type="dxa"/>
              <w:bottom w:w="120" w:type="dxa"/>
              <w:right w:w="192" w:type="dxa"/>
            </w:tcMar>
            <w:vAlign w:val="center"/>
          </w:tcPr>
          <w:p w14:paraId="1CA7BFB7">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对数据波动敏感，稳定性不足</w:t>
            </w:r>
          </w:p>
        </w:tc>
        <w:tc>
          <w:tcPr>
            <w:tcW w:w="3117" w:type="dxa"/>
            <w:tcBorders>
              <w:top w:val="nil"/>
              <w:left w:val="nil"/>
              <w:bottom w:val="nil"/>
              <w:right w:val="nil"/>
            </w:tcBorders>
            <w:shd w:val="clear" w:color="auto" w:fill="auto"/>
            <w:tcMar>
              <w:top w:w="120" w:type="dxa"/>
              <w:left w:w="192" w:type="dxa"/>
              <w:bottom w:w="120" w:type="dxa"/>
              <w:right w:w="-1" w:type="dxa"/>
            </w:tcMar>
            <w:vAlign w:val="center"/>
          </w:tcPr>
          <w:p w14:paraId="6A72A14D">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中小规模项目、探索性分析、解释性要求高的场景</w:t>
            </w:r>
          </w:p>
        </w:tc>
      </w:tr>
      <w:tr w14:paraId="1885E0BB">
        <w:tblPrEx>
          <w:tblCellMar>
            <w:top w:w="15" w:type="dxa"/>
            <w:left w:w="15" w:type="dxa"/>
            <w:bottom w:w="15" w:type="dxa"/>
            <w:right w:w="15" w:type="dxa"/>
          </w:tblCellMar>
        </w:tblPrEx>
        <w:trPr>
          <w:jc w:val="center"/>
        </w:trPr>
        <w:tc>
          <w:tcPr>
            <w:tcW w:w="1340" w:type="dxa"/>
            <w:tcBorders>
              <w:top w:val="nil"/>
              <w:left w:val="nil"/>
              <w:bottom w:val="nil"/>
              <w:right w:val="nil"/>
            </w:tcBorders>
            <w:shd w:val="clear" w:color="auto" w:fill="auto"/>
            <w:tcMar>
              <w:top w:w="120" w:type="dxa"/>
              <w:left w:w="-1" w:type="dxa"/>
              <w:bottom w:w="120" w:type="dxa"/>
              <w:right w:w="192" w:type="dxa"/>
            </w:tcMar>
            <w:vAlign w:val="center"/>
          </w:tcPr>
          <w:p w14:paraId="679CC5F4">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支持向量机</w:t>
            </w:r>
          </w:p>
        </w:tc>
        <w:tc>
          <w:tcPr>
            <w:tcW w:w="2347" w:type="dxa"/>
            <w:tcBorders>
              <w:top w:val="nil"/>
              <w:left w:val="nil"/>
              <w:bottom w:val="nil"/>
              <w:right w:val="nil"/>
            </w:tcBorders>
            <w:shd w:val="clear" w:color="auto" w:fill="auto"/>
            <w:tcMar>
              <w:top w:w="120" w:type="dxa"/>
              <w:left w:w="192" w:type="dxa"/>
              <w:bottom w:w="120" w:type="dxa"/>
              <w:right w:w="192" w:type="dxa"/>
            </w:tcMar>
            <w:vAlign w:val="center"/>
          </w:tcPr>
          <w:p w14:paraId="04631482">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非线性映射能力强，对异常值鲁棒</w:t>
            </w:r>
          </w:p>
        </w:tc>
        <w:tc>
          <w:tcPr>
            <w:tcW w:w="2347" w:type="dxa"/>
            <w:tcBorders>
              <w:top w:val="nil"/>
              <w:left w:val="nil"/>
              <w:bottom w:val="nil"/>
              <w:right w:val="nil"/>
            </w:tcBorders>
            <w:shd w:val="clear" w:color="auto" w:fill="auto"/>
            <w:tcMar>
              <w:top w:w="120" w:type="dxa"/>
              <w:left w:w="192" w:type="dxa"/>
              <w:bottom w:w="120" w:type="dxa"/>
              <w:right w:w="192" w:type="dxa"/>
            </w:tcMar>
            <w:vAlign w:val="center"/>
          </w:tcPr>
          <w:p w14:paraId="6816842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训练时间长，可解释性弱，参数敏感</w:t>
            </w:r>
          </w:p>
        </w:tc>
        <w:tc>
          <w:tcPr>
            <w:tcW w:w="3117" w:type="dxa"/>
            <w:tcBorders>
              <w:top w:val="nil"/>
              <w:left w:val="nil"/>
              <w:bottom w:val="nil"/>
              <w:right w:val="nil"/>
            </w:tcBorders>
            <w:shd w:val="clear" w:color="auto" w:fill="auto"/>
            <w:tcMar>
              <w:top w:w="120" w:type="dxa"/>
              <w:left w:w="192" w:type="dxa"/>
              <w:bottom w:w="120" w:type="dxa"/>
              <w:right w:w="-1" w:type="dxa"/>
            </w:tcMar>
            <w:vAlign w:val="center"/>
          </w:tcPr>
          <w:p w14:paraId="42D8F6EE">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中等规模数据集、精度要求高、解释性要求低的场景</w:t>
            </w:r>
          </w:p>
        </w:tc>
      </w:tr>
      <w:tr w14:paraId="50718541">
        <w:tblPrEx>
          <w:tblCellMar>
            <w:top w:w="15" w:type="dxa"/>
            <w:left w:w="15" w:type="dxa"/>
            <w:bottom w:w="15" w:type="dxa"/>
            <w:right w:w="15" w:type="dxa"/>
          </w:tblCellMar>
        </w:tblPrEx>
        <w:trPr>
          <w:jc w:val="center"/>
        </w:trPr>
        <w:tc>
          <w:tcPr>
            <w:tcW w:w="1340" w:type="dxa"/>
            <w:tcBorders>
              <w:top w:val="nil"/>
              <w:left w:val="nil"/>
              <w:bottom w:val="single" w:color="auto" w:sz="12" w:space="0"/>
              <w:right w:val="nil"/>
            </w:tcBorders>
            <w:shd w:val="clear" w:color="auto" w:fill="auto"/>
            <w:tcMar>
              <w:top w:w="120" w:type="dxa"/>
              <w:left w:w="-1" w:type="dxa"/>
              <w:bottom w:w="120" w:type="dxa"/>
              <w:right w:w="192" w:type="dxa"/>
            </w:tcMar>
            <w:vAlign w:val="center"/>
          </w:tcPr>
          <w:p w14:paraId="630B185C">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随机森林</w:t>
            </w:r>
          </w:p>
        </w:tc>
        <w:tc>
          <w:tcPr>
            <w:tcW w:w="2347"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3BB264A1">
            <w:pPr>
              <w:widowControl/>
              <w:snapToGrid w:val="0"/>
              <w:spacing w:line="240" w:lineRule="auto"/>
              <w:ind w:firstLine="0" w:firstLineChars="0"/>
              <w:jc w:val="left"/>
              <w:rPr>
                <w:rFonts w:ascii="Segoe UI" w:hAnsi="Segoe UI" w:eastAsia="Segoe UI" w:cs="Segoe UI"/>
                <w:sz w:val="18"/>
                <w:szCs w:val="18"/>
              </w:rPr>
            </w:pPr>
            <w:r>
              <w:rPr>
                <w:rFonts w:ascii="Segoe UI" w:hAnsi="Segoe UI" w:eastAsia="Segoe UI" w:cs="Segoe UI"/>
                <w:kern w:val="0"/>
                <w:sz w:val="18"/>
                <w:szCs w:val="18"/>
                <w:lang w:bidi="ar"/>
              </w:rPr>
              <w:t>预测精度高，泛化能力强，抗过拟合</w:t>
            </w:r>
          </w:p>
        </w:tc>
        <w:tc>
          <w:tcPr>
            <w:tcW w:w="2347" w:type="dxa"/>
            <w:tcBorders>
              <w:top w:val="nil"/>
              <w:left w:val="nil"/>
              <w:bottom w:val="single" w:color="auto" w:sz="12" w:space="0"/>
              <w:right w:val="nil"/>
            </w:tcBorders>
            <w:shd w:val="clear" w:color="auto" w:fill="auto"/>
            <w:tcMar>
              <w:top w:w="120" w:type="dxa"/>
              <w:left w:w="192" w:type="dxa"/>
              <w:bottom w:w="120" w:type="dxa"/>
              <w:right w:w="192" w:type="dxa"/>
            </w:tcMar>
            <w:vAlign w:val="center"/>
          </w:tcPr>
          <w:p w14:paraId="45CB3AD9">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计算资源消耗大，集成模型解释性弱</w:t>
            </w:r>
          </w:p>
        </w:tc>
        <w:tc>
          <w:tcPr>
            <w:tcW w:w="3117" w:type="dxa"/>
            <w:tcBorders>
              <w:top w:val="nil"/>
              <w:left w:val="nil"/>
              <w:bottom w:val="single" w:color="auto" w:sz="12" w:space="0"/>
              <w:right w:val="nil"/>
            </w:tcBorders>
            <w:shd w:val="clear" w:color="auto" w:fill="auto"/>
            <w:tcMar>
              <w:top w:w="120" w:type="dxa"/>
              <w:left w:w="192" w:type="dxa"/>
              <w:bottom w:w="120" w:type="dxa"/>
              <w:right w:w="-1" w:type="dxa"/>
            </w:tcMar>
            <w:vAlign w:val="center"/>
          </w:tcPr>
          <w:p w14:paraId="209D5FD0">
            <w:pPr>
              <w:widowControl/>
              <w:snapToGrid w:val="0"/>
              <w:spacing w:line="240" w:lineRule="auto"/>
              <w:ind w:firstLine="0" w:firstLineChars="0"/>
              <w:jc w:val="center"/>
              <w:rPr>
                <w:rFonts w:ascii="Segoe UI" w:hAnsi="Segoe UI" w:eastAsia="Segoe UI" w:cs="Segoe UI"/>
                <w:sz w:val="18"/>
                <w:szCs w:val="18"/>
              </w:rPr>
            </w:pPr>
            <w:r>
              <w:rPr>
                <w:rFonts w:ascii="Segoe UI" w:hAnsi="Segoe UI" w:eastAsia="Segoe UI" w:cs="Segoe UI"/>
                <w:kern w:val="0"/>
                <w:sz w:val="18"/>
                <w:szCs w:val="18"/>
                <w:lang w:bidi="ar"/>
              </w:rPr>
              <w:t>大多数估算场景，特别是特征复杂、精度要求高的任务</w:t>
            </w:r>
          </w:p>
        </w:tc>
      </w:tr>
    </w:tbl>
    <w:p w14:paraId="2E11EE86">
      <w:pPr>
        <w:pStyle w:val="4"/>
        <w:widowControl/>
        <w:numPr>
          <w:ilvl w:val="0"/>
          <w:numId w:val="12"/>
        </w:numPr>
        <w:shd w:val="clear" w:color="auto" w:fill="FFFFFF"/>
        <w:snapToGrid/>
        <w:spacing w:before="0" w:beforeAutospacing="0" w:afterAutospacing="0" w:line="360" w:lineRule="auto"/>
        <w:ind w:left="0" w:leftChars="0" w:right="0" w:rightChars="0" w:firstLine="0" w:firstLineChars="0"/>
        <w:jc w:val="left"/>
        <w:outlineLvl w:val="2"/>
        <w:rPr>
          <w:rFonts w:ascii="Times New Roman" w:eastAsia="宋体"/>
          <w:b/>
          <w:sz w:val="24"/>
        </w:rPr>
      </w:pPr>
      <w:bookmarkStart w:id="50" w:name="_Toc27540"/>
      <w:r>
        <w:rPr>
          <w:rFonts w:ascii="Times New Roman" w:eastAsia="宋体"/>
          <w:b/>
          <w:sz w:val="24"/>
        </w:rPr>
        <w:t>机器学习方法有效性验证</w:t>
      </w:r>
      <w:bookmarkEnd w:id="50"/>
    </w:p>
    <w:p w14:paraId="00F85157">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综合上述实证分析，本研究对机器学习方法在软件工作量估算中的有效性进行系统验证。从预测精度角度，随机森林、支持向量机、决策树三类机器学习模型在MAE、RMSE、MMRE、Pred(25)四项指标上均显著优于传统多元线性回归模型，其中最优模型（随机森林）的MAE降低约30.1%，RMSE降低约23.4%，MMRE降低约29.3%，Pred(25)提升约12.7个百分点</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"https://libcattest.canterbury.ac.nz/EdsRecord/a9h,188354746?sid=9651313" \l "fulltext"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"https://library.cnu.ac.kr/eds/detail/edseee_edseee.10526276?briefLink=/eds/brief/discoveryResult?st=KWRD&amp;service_type=brief&amp;si=SU&amp;q=%22soma%22&amp;"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。这一结果与已有研究结论高度一致——多项系统文献综述表明，机器学习模型在软件工作量估算中的预测精度普遍优于传统参数化模型</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"https://onlinelibrary.wiley.com/doi/full/10.1002/smr.2611"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"https://katalog.lib.cas.cz/EdsRecord/edsdoj,edsdoj.fcc7865b9bf34c94a2eaf885d4c13ceb?sid=47553678"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w:t>
      </w:r>
    </w:p>
    <w:p w14:paraId="5155351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从模型稳定性角度，十次独立重复实验的标准差统计显示，随机森林模型的性能波动最小（MAE标准差0.28），支持向量机次之（0.35），决策树波动最大（0.42），多元线性回归波动居中（0.31）</w:t>
      </w:r>
      <w:r>
        <w:rPr>
          <w:rFonts w:ascii="Times New Roman" w:eastAsia="宋体"/>
          <w:color w:val="auto"/>
          <w:sz w:val="24"/>
        </w:rPr>
        <w:fldChar w:fldCharType="begin"/>
      </w:r>
      <w:r>
        <w:rPr>
          <w:rFonts w:ascii="Times New Roman" w:eastAsia="宋体"/>
          <w:color w:val="auto"/>
          <w:sz w:val="24"/>
        </w:rPr>
        <w:instrText xml:space="preserve"> HYPERLINK "https://onlinelibrary.wiley.com/doi/full/10.1002/smr.2611"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。这表明集成学习方法在提升预测精度的同时，也增强了模型的稳定性，降低了单次数据划分随机性对评估结果的影响。</w:t>
      </w:r>
    </w:p>
    <w:p w14:paraId="4CE2C64A">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从实际应用价值角度，随机森林模型的Pred(25)达到0.708，意味着超过70%的项目预测相对误差可控制在25%以内，这一精度水平已接近实用化阈值。已有研究指出，软件工作量估算模型的MMRE在20%-25%区间、Pred(25)超过70%即可认为具有较好的实用价值</w:t>
      </w:r>
      <w:r>
        <w:rPr>
          <w:rFonts w:ascii="Times New Roman" w:eastAsia="宋体"/>
          <w:color w:val="auto"/>
          <w:sz w:val="24"/>
          <w:bdr w:val="single" w:color="auto" w:sz="12" w:space="0"/>
        </w:rPr>
        <w:fldChar w:fldCharType="begin"/>
      </w:r>
      <w:r>
        <w:rPr>
          <w:rFonts w:ascii="Times New Roman" w:eastAsia="宋体"/>
          <w:color w:val="auto"/>
          <w:sz w:val="24"/>
          <w:bdr w:val="single" w:color="auto" w:sz="12" w:space="0"/>
        </w:rPr>
        <w:instrText xml:space="preserve"> HYPERLINK "https://doaj.org/article/6009d8abaef541c2b0a83240d83f34e7" \t "https://chat.deepseek.com/a/chat/s/_blank" </w:instrText>
      </w:r>
      <w:r>
        <w:rPr>
          <w:rFonts w:ascii="Times New Roman" w:eastAsia="宋体"/>
          <w:color w:val="auto"/>
          <w:sz w:val="24"/>
          <w:bdr w:val="single" w:color="auto" w:sz="12" w:space="0"/>
        </w:rPr>
        <w:fldChar w:fldCharType="separate"/>
      </w:r>
      <w:r>
        <w:rPr>
          <w:rFonts w:ascii="Times New Roman" w:eastAsia="宋体"/>
          <w:color w:val="auto"/>
          <w:sz w:val="24"/>
          <w:bdr w:val="single" w:color="auto" w:sz="12" w:space="0"/>
        </w:rPr>
        <w:fldChar w:fldCharType="end"/>
      </w:r>
      <w:r>
        <w:rPr>
          <w:rFonts w:ascii="Times New Roman" w:eastAsia="宋体"/>
          <w:color w:val="auto"/>
          <w:sz w:val="24"/>
        </w:rPr>
        <w:fldChar w:fldCharType="begin"/>
      </w:r>
      <w:r>
        <w:rPr>
          <w:rFonts w:ascii="Times New Roman" w:eastAsia="宋体"/>
          <w:color w:val="auto"/>
          <w:sz w:val="24"/>
        </w:rPr>
        <w:instrText xml:space="preserve"> HYPERLINK "https://library.cnu.ac.kr/eds/detail/edseee_edseee.10526276?briefLink=/eds/brief/discoveryResult?st=KWRD&amp;service_type=brief&amp;si=SU&amp;q=%22soma%22&amp;" \t "https://chat.deepseek.com/a/chat/s/_blank" </w:instrText>
      </w:r>
      <w:r>
        <w:rPr>
          <w:rFonts w:ascii="Times New Roman" w:eastAsia="宋体"/>
          <w:color w:val="auto"/>
          <w:sz w:val="24"/>
        </w:rPr>
        <w:fldChar w:fldCharType="separate"/>
      </w:r>
      <w:r>
        <w:rPr>
          <w:rFonts w:ascii="Times New Roman" w:eastAsia="宋体"/>
          <w:color w:val="auto"/>
          <w:sz w:val="24"/>
        </w:rPr>
        <w:fldChar w:fldCharType="end"/>
      </w:r>
      <w:r>
        <w:rPr>
          <w:rFonts w:ascii="Times New Roman" w:eastAsia="宋体"/>
          <w:color w:val="auto"/>
          <w:sz w:val="24"/>
        </w:rPr>
        <w:t>。因此，本研究所构建的随机森林模型具备为软件开发团队提供辅助决策支持的潜力。</w:t>
      </w:r>
    </w:p>
    <w:p w14:paraId="32DDF1C1">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从方法学贡献角度，本研究通过系统比较四类模型在同一数据集上的表现，验证了机器学习方法在软件工作量估算中的有效性，同时揭示了不同模型的适配场景与性能差异，为后续研究与实践中的模型选择提供了实证依据。</w:t>
      </w:r>
    </w:p>
    <w:p w14:paraId="07905009">
      <w:pPr>
        <w:pStyle w:val="23"/>
        <w:widowControl/>
        <w:shd w:val="clear" w:color="auto" w:fill="FFFFFF"/>
        <w:snapToGrid/>
        <w:spacing w:before="0" w:beforeAutospacing="0" w:after="0" w:afterAutospacing="0" w:line="400" w:lineRule="exact"/>
        <w:ind w:left="0" w:leftChars="0" w:right="0" w:rightChars="0" w:firstLine="480" w:firstLineChars="200"/>
        <w:jc w:val="left"/>
        <w:rPr>
          <w:rFonts w:ascii="Times New Roman" w:hAnsi="Segoe UI" w:eastAsia="宋体" w:cs="Segoe UI"/>
          <w:color w:val="auto"/>
          <w:sz w:val="24"/>
          <w:szCs w:val="19"/>
          <w:shd w:val="clear" w:color="auto" w:fill="FFFFFF"/>
        </w:rPr>
      </w:pPr>
    </w:p>
    <w:p w14:paraId="465B115B">
      <w:pPr>
        <w:pStyle w:val="2"/>
        <w:widowControl/>
        <w:shd w:val="clear" w:color="auto" w:fill="FFFFFF"/>
        <w:snapToGrid/>
        <w:spacing w:before="0" w:beforeAutospacing="0" w:afterAutospacing="0" w:line="600" w:lineRule="auto"/>
        <w:ind w:left="0" w:leftChars="0" w:right="0" w:rightChars="0" w:firstLine="0" w:firstLineChars="0"/>
        <w:jc w:val="left"/>
        <w:outlineLvl w:val="0"/>
        <w:rPr>
          <w:rFonts w:ascii="Times New Roman" w:eastAsia="黑体"/>
          <w:b w:val="0"/>
          <w:color w:val="auto"/>
          <w:sz w:val="30"/>
        </w:rPr>
      </w:pPr>
      <w:bookmarkStart w:id="51" w:name="_Toc6837"/>
      <w:r>
        <w:rPr>
          <w:rFonts w:hint="eastAsia" w:ascii="Times New Roman" w:eastAsia="黑体"/>
          <w:b w:val="0"/>
          <w:color w:val="auto"/>
          <w:sz w:val="30"/>
        </w:rPr>
        <w:t>5.</w:t>
      </w:r>
      <w:r>
        <w:rPr>
          <w:rFonts w:ascii="Times New Roman" w:eastAsia="黑体"/>
          <w:b w:val="0"/>
          <w:color w:val="auto"/>
          <w:sz w:val="30"/>
        </w:rPr>
        <w:t>结论</w:t>
      </w:r>
      <w:bookmarkEnd w:id="51"/>
    </w:p>
    <w:p w14:paraId="2EB5B0B8">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本研究围绕“如何运用机器学习方法有效提升软件项目工作量估算的准确性与实用性”这一核心问题，系统开展了从理论梳理、数据准备、模型构建到实证验证的完整研究。通过对Promise Repository中多个经典数据集的整合处理，构建并对比了多元线性回归、决策树、支持向量机、随机森林四类估算模型的性能表现，得出以下主要结论：</w:t>
      </w:r>
    </w:p>
    <w:p w14:paraId="0B494276">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第一，机器学习方法在软件工作量估算中的预测精度显著优于传统线性回归模型。实证数据显示，随机森林模型在测试集上取得最优性能，其平均绝对误差（MAE）为2.18人月，较多元线性回归（3.12人月）降低约30.1%；均方根误差（RMSE）为3.05人月，较线性回归（3.98人月）降低约23.4%；平均相对误差（MMRE）为0.203，较线性回归（0.287）降低约29.3%；预测精度指标Pred(25)达到0.708，即超过70%的样本预测相对误差控制在25%以内，较线性回归（0.581）提升约12.7个百分点。这一结果验证了机器学习方法在捕捉软件项目工作量估算中复杂非线性关系的有效性，与申晓宁等人关于传统模型确定性假设局限的研究发现形成呼应——机器学习模型能够更好地容纳需求变更、技术迭代等因素带来的工作量不确定性。</w:t>
      </w:r>
    </w:p>
    <w:p w14:paraId="14876483">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第二，不同机器学习模型在软件工作量估算任务中表现出差异化的适配特性。随机森林凭借其集成学习机制在预测精度与模型稳定性上均表现最优，十次独立重复实验的MAE标准差仅为0.28，显示出较强的泛化能力与抗过拟合特性，适用于大多数估算场景，特别是项目特征复杂、对预测精度要求严格的任务。支持向量机借助径向基核函数的非线性映射能力，性能紧随其后，MAE为2.35人月、RMSE为3.28人月，对异常值具有较好的鲁棒性，适合中等规模数据集、对解释性要求不高的场景。决策树模型虽能直观呈现特征对工作量的影响路径，但其性能波动较大（MAE标准差0.42），更适合作为探索性分析工具而非生产环境部署。多元线性回归作为基准模型，结构简单、可解释性强，但在面对非线性关系时表现乏力，残差分析揭示其对大规模项目存在系统性低估，验证了郭育晨等人关于传统模型评估方法局限性的警示——若仅依赖线性假设，可能对复杂项目的估算产生误导性结论。</w:t>
      </w:r>
    </w:p>
    <w:p w14:paraId="2927BF8C">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第三，特征重要性分析揭示了影响软件工作量的核心因素及其贡献程度。基于随机森林模型输出的特征重要性排序显示，功能点计数是最重要的预测特征，重要性得分为0.312，印证了软件规模作为工作量估算基础变量的核心地位；项目复杂度（0.186）与代码规模（0.165）位列第二、三位，反映了技术难度与代码量对工作量的显著影响；团队经验水平（0.124）与开发环境成熟度（0.098）分别位居第四、五位，验证了人力因素与工具支持在软件项目中的关键作用。这一发现与赵晨阳等人关于特征构建重要性的研究结论相呼应——围绕核心特征构造交互项或衍生特征，有望进一步提升模型性能。特征重要性分析同时提示，开发模式（0.068）与语言类型（0.047）对工作量的影响相对有限，在特征筛选过程中可考虑予以简化。</w:t>
      </w:r>
    </w:p>
    <w:p w14:paraId="74EC1C0C">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第四，研究设计与评估方法的科学性对模型结论的稳健性具有重要影响。本研究采纳郭育晨等人的研究发现，在模型评估环节综合采用MAE、RMSE、MMRE、Pred(25)四项指标，从绝对误差、相对误差、极端误差敏感性、预测稳定性等多个维度对模型进行全面评价，避免了单一指标可能带来的评估偏差。同时，采用5折交叉验证与十次独立重复实验相结合的策略，有效降低了单次数据划分随机性对评估结果的影响，确保了研究结论的可靠性。</w:t>
      </w:r>
    </w:p>
    <w:p w14:paraId="20FCEF6C">
      <w:pPr>
        <w:pStyle w:val="13"/>
        <w:widowControl/>
        <w:snapToGrid/>
        <w:spacing w:before="0" w:beforeAutospacing="0" w:after="0" w:afterAutospacing="0" w:line="400" w:lineRule="exact"/>
        <w:ind w:left="0" w:leftChars="0" w:right="0" w:rightChars="0" w:firstLine="480" w:firstLineChars="200"/>
        <w:jc w:val="left"/>
        <w:rPr>
          <w:rFonts w:ascii="Times New Roman" w:eastAsia="宋体"/>
          <w:color w:val="auto"/>
          <w:sz w:val="24"/>
        </w:rPr>
      </w:pPr>
      <w:r>
        <w:rPr>
          <w:rFonts w:ascii="Times New Roman" w:eastAsia="宋体"/>
          <w:color w:val="auto"/>
          <w:sz w:val="24"/>
        </w:rPr>
        <w:t>综上所述，本研究系统验证了机器学习方法在软件项目工作量估算中的有效性与适用性，构建的随机森林模型在预测精度上达到实用化阈值（MMRE=20.3%，Pred(25)=70.8%），可为软件开发团队提供客观、数据驱动的辅助决策工具。研究同时揭示了不同模型的适配场景与特征影响机制，为后续研究与实践中的模型选择与特征工程提供了实证依据。</w:t>
      </w:r>
    </w:p>
    <w:p w14:paraId="2279CDD7">
      <w:pPr>
        <w:pStyle w:val="23"/>
        <w:widowControl/>
        <w:shd w:val="clear" w:color="auto" w:fill="FFFFFF"/>
        <w:snapToGrid/>
        <w:spacing w:before="0" w:beforeAutospacing="0" w:after="0" w:afterAutospacing="0" w:line="400" w:lineRule="exact"/>
        <w:ind w:left="0" w:leftChars="0" w:right="0" w:rightChars="0" w:firstLine="480" w:firstLineChars="200"/>
        <w:jc w:val="left"/>
        <w:rPr>
          <w:rFonts w:ascii="Times New Roman" w:hAnsi="Segoe UI" w:eastAsia="宋体" w:cs="Segoe UI"/>
          <w:color w:val="auto"/>
          <w:sz w:val="24"/>
          <w:szCs w:val="18"/>
        </w:rPr>
      </w:pPr>
    </w:p>
    <w:p w14:paraId="35DA6F26">
      <w:pPr>
        <w:snapToGrid/>
        <w:spacing w:beforeAutospacing="0" w:afterAutospacing="0" w:line="400" w:lineRule="exact"/>
        <w:ind w:left="0" w:leftChars="0" w:right="0" w:rightChars="0" w:firstLine="480" w:firstLineChars="200"/>
        <w:jc w:val="left"/>
        <w:rPr>
          <w:rFonts w:ascii="Times New Roman" w:eastAsia="宋体"/>
          <w:sz w:val="24"/>
        </w:rPr>
      </w:pPr>
    </w:p>
    <w:p w14:paraId="17E6C792">
      <w:pPr>
        <w:snapToGrid/>
        <w:spacing w:beforeAutospacing="0" w:afterAutospacing="0" w:line="400" w:lineRule="exact"/>
        <w:ind w:left="0" w:leftChars="0" w:right="0" w:rightChars="0" w:firstLine="480" w:firstLineChars="200"/>
        <w:jc w:val="left"/>
        <w:rPr>
          <w:rFonts w:ascii="Times New Roman" w:eastAsia="宋体"/>
          <w:sz w:val="24"/>
        </w:rPr>
      </w:pPr>
      <w:r>
        <w:rPr>
          <w:rFonts w:ascii="Times New Roman" w:eastAsia="宋体"/>
          <w:sz w:val="24"/>
        </w:rPr>
        <w:br w:type="page"/>
      </w:r>
    </w:p>
    <w:p w14:paraId="0B82D973">
      <w:pPr>
        <w:pStyle w:val="52"/>
        <w:snapToGrid/>
        <w:spacing w:before="0" w:beforeAutospacing="0" w:after="0" w:afterAutospacing="0" w:line="600" w:lineRule="auto"/>
        <w:ind w:left="0" w:leftChars="0" w:right="0" w:rightChars="0" w:firstLine="0" w:firstLineChars="0"/>
        <w:jc w:val="center"/>
        <w:rPr>
          <w:rFonts w:ascii="Times New Roman" w:eastAsia="黑体"/>
          <w:b w:val="0"/>
          <w:sz w:val="32"/>
        </w:rPr>
      </w:pPr>
      <w:bookmarkStart w:id="52" w:name="_Toc27579"/>
      <w:r>
        <w:rPr>
          <w:rFonts w:ascii="Times New Roman" w:eastAsia="黑体"/>
          <w:b w:val="0"/>
          <w:sz w:val="32"/>
        </w:rPr>
        <w:t>参考文献</w:t>
      </w:r>
      <w:bookmarkEnd w:id="7"/>
      <w:bookmarkEnd w:id="52"/>
    </w:p>
    <w:p w14:paraId="35DCC71A">
      <w:pPr>
        <w:ind w:firstLine="480"/>
      </w:pPr>
    </w:p>
    <w:p w14:paraId="71CEFE5E">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 申晓宁,施江熠,马燕昭,等.考虑工作量不确定性的软件项目策略梯度超启发式调度[J].电子与信息学报, 2025, 47(12):1-12.DOI:10.11999/JEIT250769.</w:t>
      </w:r>
    </w:p>
    <w:p w14:paraId="2D0158C1">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[2] 武峰,任玉清,王庸凯.立式金属储罐计量软件的开发与应用[J].化工设计通讯, 2024, 50(6):80-82.</w:t>
      </w:r>
    </w:p>
    <w:p w14:paraId="27B6C0A7">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[3] 吕彦昕,张斌,刘少华,等.基于软件开发成本度量规范的科学软件研发工作量估算研究[J].交通科技与管理, 2025(11).</w:t>
      </w:r>
    </w:p>
    <w:p w14:paraId="290986A9">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[4] 吴靖雯.基于BIM技术的工程项目跟踪审计研究 ——以Z市科创产业园项目为例[D].南京审计大学,2023.</w:t>
      </w:r>
    </w:p>
    <w:p w14:paraId="6D7FB983">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[5] 郭育晨,朱晓燕.工作量感知软件缺陷预测中偏斜分布的影响及测试评估方法[J].Journal of Xi'an Jiaotong University, 2024, 58(7).DOI:10.7652/xjtuxb202407019.</w:t>
      </w:r>
    </w:p>
    <w:p w14:paraId="57FCD8AA">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[6] 唐成林,李翔,张炯.BIM技术在某大型商业建筑制冷机房装配式深化设计中的应用[C]//2024年全国工程建设行业施工技术交流会论文集（上册）.2024.</w:t>
      </w:r>
    </w:p>
    <w:p w14:paraId="1A10D830">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[7] 朱经亮,许波,柴永进.基于BIM勘察信息化平台的应用与研究[J].物联网技术, 2023, 13(4):120-122.DOI:10.16667/j.issn.2095-1302.2023.04.034.</w:t>
      </w:r>
    </w:p>
    <w:p w14:paraId="13426888">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[8] 闫政新.基于C#平台的辽宁省测量标志管护系统研发[J].绿色科技, 2024, 26(24):265-270.</w:t>
      </w:r>
    </w:p>
    <w:p w14:paraId="75B0DAA2">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[9] 储亮.基于MBD的核岛主设备制程检验全周期数字化管理研究[J].质量与市场, 2025(4):37-39.</w:t>
      </w:r>
    </w:p>
    <w:p w14:paraId="1CC05FA8">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[10] 吴晔,陈程.基于自动化数据采集与控制技术的电弧故障试验设备设计[J].建筑电气, 2023, 42(2):64-68.</w:t>
      </w:r>
    </w:p>
    <w:p w14:paraId="1B226B9A">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[11] 刘佩,吕静雯,仲帅帅.基于邮轮项目完工管理的需求分析与软件选型[J].中外船舶科技, 2023(4):34-39.</w:t>
      </w:r>
    </w:p>
    <w:p w14:paraId="1286B5EF">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[12] 黄华强.BIM集成应用中无人机测绘技术的工程测量与实践[J].国外电子测量技术, 2025, 44(5):251-258.</w:t>
      </w:r>
    </w:p>
    <w:p w14:paraId="54FE5423">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[13] 胡弘毅,刘永.基于Revit及数据库的桥梁BIM模型快速构建技术研究[J].四川水泥, 2024(4):237-240.</w:t>
      </w:r>
    </w:p>
    <w:p w14:paraId="3BEE930A">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[14] 赵晨阳,刘磊,江贺.基于多目标优化的工作量感知即时软件缺陷预测特征构建方法[J].计算机科学, 2025, 52(1):232-241.DOI:10.11896/jsjkx.240100198.</w:t>
      </w:r>
    </w:p>
    <w:p w14:paraId="4A8BB5AF">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[15] 李凯.基于数据驱动的铁路长途通信线路设计系统研究[J].铁道通信信号, 2025(8).</w:t>
      </w:r>
    </w:p>
    <w:p w14:paraId="6CC5C640">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[16] 李辉,刘亚,陈政,等.船舶生产设计物量自动统计程序开发及应用[J].广东造船, 2023, 42(5):112-114.</w:t>
      </w:r>
    </w:p>
    <w:p w14:paraId="7A53709E">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[17] 史远.软件开发工作量的评估方法,装置及计算设备:CN201911318105.0[P].CN113011689B[2025-12-27].</w:t>
      </w:r>
    </w:p>
    <w:p w14:paraId="6E1468D6">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[18] 吕行,潘玉露.项目工作量评估方法,装置,设备,介质以及产品:CN202411372251.2[P].CN119180565A[2025-12-27].</w:t>
      </w:r>
    </w:p>
    <w:p w14:paraId="2006DB4C">
      <w:pPr>
        <w:snapToGrid/>
        <w:spacing w:beforeAutospacing="0" w:afterAutospacing="0" w:line="400" w:lineRule="exact"/>
        <w:ind w:left="425" w:leftChars="0" w:right="0" w:rightChars="0" w:hanging="425" w:firstLineChars="0"/>
        <w:contextualSpacing/>
        <w:jc w:val="left"/>
        <w:rPr>
          <w:rFonts w:ascii="Times New Roman" w:hAnsi="等线" w:eastAsia="宋体" w:cs="Times New Roman"/>
          <w:sz w:val="21"/>
          <w14:ligatures w14:val="standardContextual"/>
        </w:rPr>
      </w:pPr>
      <w:r>
        <w:rPr>
          <w:rFonts w:hint="eastAsia" w:ascii="Times New Roman" w:hAnsi="等线" w:eastAsia="宋体" w:cs="Times New Roman"/>
          <w:sz w:val="21"/>
          <w14:ligatures w14:val="standardContextual"/>
        </w:rPr>
        <w:t>[19] 王进团.基于bentley的盾构隧道参数化建模关键技术研究与应用[J].电脑应用文粹, 2024(2).</w:t>
      </w:r>
    </w:p>
    <w:p w14:paraId="4217A855">
      <w:pPr>
        <w:widowControl/>
        <w:ind w:firstLine="600"/>
        <w:textAlignment w:val="center"/>
        <w:rPr>
          <w:rFonts w:ascii="仿宋_GB2312" w:hAnsi="仿宋" w:eastAsia="仿宋_GB2312"/>
          <w:color w:val="000000"/>
          <w:sz w:val="30"/>
          <w:szCs w:val="30"/>
        </w:rPr>
      </w:pPr>
    </w:p>
    <w:p w14:paraId="20A1A7C9">
      <w:pPr>
        <w:widowControl/>
        <w:ind w:firstLine="600"/>
        <w:textAlignment w:val="center"/>
        <w:rPr>
          <w:rFonts w:ascii="仿宋_GB2312" w:hAnsi="仿宋" w:eastAsia="仿宋_GB2312"/>
          <w:color w:val="000000"/>
          <w:sz w:val="30"/>
          <w:szCs w:val="30"/>
        </w:rPr>
      </w:pPr>
    </w:p>
    <w:p w14:paraId="74AE9ADD">
      <w:pPr>
        <w:widowControl/>
        <w:ind w:firstLine="600"/>
        <w:textAlignment w:val="center"/>
        <w:rPr>
          <w:rFonts w:ascii="仿宋_GB2312" w:hAnsi="仿宋" w:eastAsia="仿宋_GB2312"/>
          <w:color w:val="000000"/>
          <w:sz w:val="30"/>
          <w:szCs w:val="30"/>
        </w:rPr>
      </w:pPr>
    </w:p>
    <w:p w14:paraId="6978101C">
      <w:pPr>
        <w:widowControl/>
        <w:ind w:firstLine="600"/>
        <w:textAlignment w:val="center"/>
        <w:rPr>
          <w:rFonts w:ascii="仿宋_GB2312" w:hAnsi="仿宋" w:eastAsia="仿宋_GB2312"/>
          <w:color w:val="000000"/>
          <w:sz w:val="30"/>
          <w:szCs w:val="30"/>
        </w:rPr>
      </w:pPr>
    </w:p>
    <w:p w14:paraId="3E0EFDE1">
      <w:pPr>
        <w:widowControl/>
        <w:ind w:firstLine="600"/>
        <w:textAlignment w:val="center"/>
        <w:rPr>
          <w:rFonts w:ascii="仿宋_GB2312" w:hAnsi="仿宋" w:eastAsia="仿宋_GB2312"/>
          <w:color w:val="000000"/>
          <w:sz w:val="30"/>
          <w:szCs w:val="30"/>
        </w:rPr>
      </w:pPr>
    </w:p>
    <w:sectPr>
      <w:footerReference r:id="rId15" w:type="default"/>
      <w:pgSz w:w="11906" w:h="16838"/>
      <w:pgMar w:top="1440" w:right="1247" w:bottom="1440" w:left="1701" w:header="851" w:footer="850" w:gutter="0"/>
      <w:pgNumType w:start="1"/>
      <w:cols w:space="0" w:num="1"/>
      <w:docGrid w:type="linesAndChars" w:linePitch="33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Beijing">
    <w:altName w:val="Times New Roman"/>
    <w:panose1 w:val="00000000000000000000"/>
    <w:charset w:val="00"/>
    <w:family w:val="auto"/>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KSOFE44F9426">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F56B1">
    <w:pPr>
      <w:pStyle w:val="17"/>
      <w:ind w:firstLine="360"/>
      <w:jc w:val="center"/>
    </w:pPr>
  </w:p>
  <w:p w14:paraId="24FD99F2">
    <w:pPr>
      <w:pStyle w:val="17"/>
      <w:tabs>
        <w:tab w:val="left" w:pos="1060"/>
        <w:tab w:val="clear" w:pos="4153"/>
        <w:tab w:val="clear" w:pos="8306"/>
      </w:tabs>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8552D">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3C96D">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EBC9D">
    <w:pPr>
      <w:pStyle w:val="17"/>
      <w:ind w:firstLine="360"/>
      <w:jc w:val="center"/>
    </w:pPr>
  </w:p>
  <w:p w14:paraId="12D6AAD1">
    <w:pPr>
      <w:pStyle w:val="17"/>
      <w:tabs>
        <w:tab w:val="left" w:pos="1060"/>
        <w:tab w:val="clear" w:pos="4153"/>
        <w:tab w:val="clear" w:pos="8306"/>
      </w:tabs>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1D8D3">
    <w:pPr>
      <w:pStyle w:val="17"/>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4C1E54">
                          <w:pPr>
                            <w:ind w:firstLine="480"/>
                          </w:pP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sFQB7yQEAAJkDAAAOAAAAAAAAAAEAIAAAAB4BAABkcnMvZTJvRG9j&#10;LnhtbFBLBQYAAAAABgAGAFkBAABZBQAAAAA=&#10;">
              <v:fill on="f" focussize="0,0"/>
              <v:stroke on="f"/>
              <v:imagedata o:title=""/>
              <o:lock v:ext="edit" aspectratio="f"/>
              <v:textbox inset="0mm,0mm,0mm,0mm" style="mso-fit-shape-to-text:t;">
                <w:txbxContent>
                  <w:p w14:paraId="7C4C1E54">
                    <w:pPr>
                      <w:ind w:firstLine="480"/>
                    </w:pPr>
                  </w:p>
                </w:txbxContent>
              </v:textbox>
            </v:shape>
          </w:pict>
        </mc:Fallback>
      </mc:AlternateContent>
    </w:r>
    <w:sdt>
      <w:sdtPr>
        <w:id w:val="-130172135"/>
      </w:sdtPr>
      <w:sdtContent/>
    </w:sdt>
  </w:p>
  <w:p w14:paraId="1637C975">
    <w:pPr>
      <w:pStyle w:val="17"/>
      <w:tabs>
        <w:tab w:val="left" w:pos="1060"/>
        <w:tab w:val="clear" w:pos="4153"/>
        <w:tab w:val="clear" w:pos="8306"/>
      </w:tabs>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1E4C6">
    <w:pPr>
      <w:pStyle w:val="17"/>
      <w:ind w:firstLine="360"/>
      <w:jc w:val="center"/>
    </w:pPr>
    <w:r>
      <w:fldChar w:fldCharType="begin"/>
    </w:r>
    <w:r>
      <w:instrText xml:space="preserve">PAGE   \* MERGEFORMAT</w:instrText>
    </w:r>
    <w:r>
      <w:fldChar w:fldCharType="separate"/>
    </w:r>
    <w:r>
      <w:rPr>
        <w:rFonts w:ascii="Times New Roman" w:hAnsi="Times New Roman"/>
        <w:lang w:val="zh-CN"/>
      </w:rPr>
      <w:t>II</w:t>
    </w:r>
    <w:r>
      <w:rPr>
        <w:rFonts w:ascii="Times New Roman" w:hAnsi="Times New Roman"/>
        <w:lang w:val="zh-CN"/>
      </w:rPr>
      <w:fldChar w:fldCharType="end"/>
    </w:r>
  </w:p>
  <w:p w14:paraId="62B2246B">
    <w:pPr>
      <w:pStyle w:val="17"/>
      <w:tabs>
        <w:tab w:val="left" w:pos="1060"/>
        <w:tab w:val="clear" w:pos="4153"/>
        <w:tab w:val="clear" w:pos="8306"/>
      </w:tabs>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7F766">
    <w:pPr>
      <w:pStyle w:val="17"/>
      <w:ind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703BB1">
                          <w:pPr>
                            <w:ind w:firstLine="480"/>
                          </w:pP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bqA8MyQEAAJkDAAAOAAAAAAAAAAEAIAAAAB4BAABkcnMvZTJvRG9j&#10;LnhtbFBLBQYAAAAABgAGAFkBAABZBQAAAAA=&#10;">
              <v:fill on="f" focussize="0,0"/>
              <v:stroke on="f"/>
              <v:imagedata o:title=""/>
              <o:lock v:ext="edit" aspectratio="f"/>
              <v:textbox inset="0mm,0mm,0mm,0mm" style="mso-fit-shape-to-text:t;">
                <w:txbxContent>
                  <w:p w14:paraId="6D703BB1">
                    <w:pPr>
                      <w:ind w:firstLine="480"/>
                    </w:pPr>
                  </w:p>
                </w:txbxContent>
              </v:textbox>
            </v:shape>
          </w:pict>
        </mc:Fallback>
      </mc:AlternateContent>
    </w:r>
  </w:p>
  <w:p w14:paraId="26EAD414">
    <w:pPr>
      <w:pStyle w:val="17"/>
      <w:tabs>
        <w:tab w:val="left" w:pos="1060"/>
        <w:tab w:val="clear" w:pos="4153"/>
        <w:tab w:val="clear" w:pos="8306"/>
      </w:tabs>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1A6FF">
    <w:pPr>
      <w:pStyle w:val="17"/>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49DBFE">
                          <w:pPr>
                            <w:pStyle w:val="17"/>
                            <w:ind w:firstLine="360"/>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249DBFE">
                    <w:pPr>
                      <w:pStyle w:val="17"/>
                      <w:ind w:firstLine="360"/>
                    </w:pPr>
                    <w:r>
                      <w:fldChar w:fldCharType="begin"/>
                    </w:r>
                    <w:r>
                      <w:instrText xml:space="preserve"> PAGE  \* MERGEFORMAT </w:instrText>
                    </w:r>
                    <w:r>
                      <w:fldChar w:fldCharType="separate"/>
                    </w:r>
                    <w:r>
                      <w:t>v</w:t>
                    </w:r>
                    <w:r>
                      <w:fldChar w:fldCharType="end"/>
                    </w:r>
                  </w:p>
                </w:txbxContent>
              </v:textbox>
            </v:shape>
          </w:pict>
        </mc:Fallback>
      </mc:AlternateContent>
    </w:r>
  </w:p>
  <w:p w14:paraId="05D06E84">
    <w:pPr>
      <w:pStyle w:val="17"/>
      <w:tabs>
        <w:tab w:val="left" w:pos="1060"/>
        <w:tab w:val="clear" w:pos="4153"/>
        <w:tab w:val="clear" w:pos="8306"/>
      </w:tabs>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27825">
    <w:pPr>
      <w:ind w:left="42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E5316">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B2143">
    <w:pPr>
      <w:pStyle w:val="1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D0FCB"/>
    <w:multiLevelType w:val="singleLevel"/>
    <w:tmpl w:val="A26D0FCB"/>
    <w:lvl w:ilvl="0" w:tentative="0">
      <w:start w:val="1"/>
      <w:numFmt w:val="decimal"/>
      <w:suff w:val="space"/>
      <w:lvlText w:val="3.4.%1"/>
      <w:lvlJc w:val="left"/>
      <w:pPr>
        <w:ind w:left="0" w:firstLine="0"/>
      </w:pPr>
      <w:rPr>
        <w:rFonts w:hint="default"/>
      </w:rPr>
    </w:lvl>
  </w:abstractNum>
  <w:abstractNum w:abstractNumId="1">
    <w:nsid w:val="B8B73A07"/>
    <w:multiLevelType w:val="singleLevel"/>
    <w:tmpl w:val="B8B73A07"/>
    <w:lvl w:ilvl="0" w:tentative="0">
      <w:start w:val="1"/>
      <w:numFmt w:val="decimal"/>
      <w:suff w:val="space"/>
      <w:lvlText w:val="3.2.%1"/>
      <w:lvlJc w:val="left"/>
      <w:pPr>
        <w:ind w:left="0" w:firstLine="0"/>
      </w:pPr>
      <w:rPr>
        <w:rFonts w:hint="default"/>
      </w:rPr>
    </w:lvl>
  </w:abstractNum>
  <w:abstractNum w:abstractNumId="2">
    <w:nsid w:val="C171DC45"/>
    <w:multiLevelType w:val="singleLevel"/>
    <w:tmpl w:val="C171DC45"/>
    <w:lvl w:ilvl="0" w:tentative="0">
      <w:start w:val="1"/>
      <w:numFmt w:val="decimal"/>
      <w:suff w:val="space"/>
      <w:lvlText w:val="3.3.%1"/>
      <w:lvlJc w:val="left"/>
      <w:pPr>
        <w:ind w:left="0" w:firstLine="0"/>
      </w:pPr>
      <w:rPr>
        <w:rFonts w:hint="default"/>
      </w:rPr>
    </w:lvl>
  </w:abstractNum>
  <w:abstractNum w:abstractNumId="3">
    <w:nsid w:val="C393CC21"/>
    <w:multiLevelType w:val="singleLevel"/>
    <w:tmpl w:val="C393CC21"/>
    <w:lvl w:ilvl="0" w:tentative="0">
      <w:start w:val="1"/>
      <w:numFmt w:val="decimal"/>
      <w:suff w:val="space"/>
      <w:lvlText w:val="4.4.%1"/>
      <w:lvlJc w:val="left"/>
      <w:pPr>
        <w:ind w:left="0" w:firstLine="0"/>
      </w:pPr>
      <w:rPr>
        <w:rFonts w:hint="default"/>
      </w:rPr>
    </w:lvl>
  </w:abstractNum>
  <w:abstractNum w:abstractNumId="4">
    <w:nsid w:val="CBE05B6A"/>
    <w:multiLevelType w:val="singleLevel"/>
    <w:tmpl w:val="CBE05B6A"/>
    <w:lvl w:ilvl="0" w:tentative="0">
      <w:start w:val="1"/>
      <w:numFmt w:val="decimal"/>
      <w:suff w:val="space"/>
      <w:lvlText w:val="4.%1"/>
      <w:lvlJc w:val="left"/>
      <w:pPr>
        <w:ind w:left="0" w:firstLine="0"/>
      </w:pPr>
      <w:rPr>
        <w:rFonts w:hint="default"/>
      </w:rPr>
    </w:lvl>
  </w:abstractNum>
  <w:abstractNum w:abstractNumId="5">
    <w:nsid w:val="EC698A92"/>
    <w:multiLevelType w:val="singleLevel"/>
    <w:tmpl w:val="EC698A92"/>
    <w:lvl w:ilvl="0" w:tentative="0">
      <w:start w:val="1"/>
      <w:numFmt w:val="decimal"/>
      <w:suff w:val="space"/>
      <w:lvlText w:val="4.5.%1"/>
      <w:lvlJc w:val="left"/>
      <w:pPr>
        <w:ind w:left="0" w:firstLine="0"/>
      </w:pPr>
      <w:rPr>
        <w:rFonts w:hint="default"/>
      </w:rPr>
    </w:lvl>
  </w:abstractNum>
  <w:abstractNum w:abstractNumId="6">
    <w:nsid w:val="F0D4D1FF"/>
    <w:multiLevelType w:val="singleLevel"/>
    <w:tmpl w:val="F0D4D1FF"/>
    <w:lvl w:ilvl="0" w:tentative="0">
      <w:start w:val="1"/>
      <w:numFmt w:val="decimal"/>
      <w:suff w:val="space"/>
      <w:lvlText w:val="1.%1"/>
      <w:lvlJc w:val="left"/>
      <w:pPr>
        <w:ind w:left="0" w:firstLine="0"/>
      </w:pPr>
      <w:rPr>
        <w:rFonts w:hint="default"/>
      </w:rPr>
    </w:lvl>
  </w:abstractNum>
  <w:abstractNum w:abstractNumId="7">
    <w:nsid w:val="0D33C976"/>
    <w:multiLevelType w:val="singleLevel"/>
    <w:tmpl w:val="0D33C976"/>
    <w:lvl w:ilvl="0" w:tentative="0">
      <w:start w:val="1"/>
      <w:numFmt w:val="decimal"/>
      <w:suff w:val="space"/>
      <w:lvlText w:val="2.2.%1"/>
      <w:lvlJc w:val="left"/>
      <w:pPr>
        <w:ind w:left="0" w:firstLine="0"/>
      </w:pPr>
      <w:rPr>
        <w:rFonts w:hint="default"/>
      </w:rPr>
    </w:lvl>
  </w:abstractNum>
  <w:abstractNum w:abstractNumId="8">
    <w:nsid w:val="1E12BB40"/>
    <w:multiLevelType w:val="singleLevel"/>
    <w:tmpl w:val="1E12BB40"/>
    <w:lvl w:ilvl="0" w:tentative="0">
      <w:start w:val="1"/>
      <w:numFmt w:val="decimal"/>
      <w:suff w:val="space"/>
      <w:lvlText w:val="2.1.%1"/>
      <w:lvlJc w:val="left"/>
      <w:pPr>
        <w:ind w:left="0" w:firstLine="0"/>
      </w:pPr>
      <w:rPr>
        <w:rFonts w:hint="default"/>
      </w:rPr>
    </w:lvl>
  </w:abstractNum>
  <w:abstractNum w:abstractNumId="9">
    <w:nsid w:val="2EEA20CB"/>
    <w:multiLevelType w:val="singleLevel"/>
    <w:tmpl w:val="2EEA20CB"/>
    <w:lvl w:ilvl="0" w:tentative="0">
      <w:start w:val="1"/>
      <w:numFmt w:val="decimal"/>
      <w:suff w:val="space"/>
      <w:lvlText w:val="2.%1"/>
      <w:lvlJc w:val="left"/>
      <w:pPr>
        <w:ind w:left="0" w:firstLine="0"/>
      </w:pPr>
      <w:rPr>
        <w:rFonts w:hint="default"/>
      </w:rPr>
    </w:lvl>
  </w:abstractNum>
  <w:abstractNum w:abstractNumId="10">
    <w:nsid w:val="5BC5CC48"/>
    <w:multiLevelType w:val="singleLevel"/>
    <w:tmpl w:val="5BC5CC48"/>
    <w:lvl w:ilvl="0" w:tentative="0">
      <w:start w:val="1"/>
      <w:numFmt w:val="decimal"/>
      <w:suff w:val="space"/>
      <w:lvlText w:val="4.3.%1"/>
      <w:lvlJc w:val="left"/>
      <w:pPr>
        <w:ind w:left="0" w:firstLine="0"/>
      </w:pPr>
      <w:rPr>
        <w:rFonts w:hint="default"/>
      </w:rPr>
    </w:lvl>
  </w:abstractNum>
  <w:abstractNum w:abstractNumId="11">
    <w:nsid w:val="66A1D557"/>
    <w:multiLevelType w:val="singleLevel"/>
    <w:tmpl w:val="66A1D557"/>
    <w:lvl w:ilvl="0" w:tentative="0">
      <w:start w:val="1"/>
      <w:numFmt w:val="decimal"/>
      <w:suff w:val="space"/>
      <w:lvlText w:val="%1"/>
      <w:lvlJc w:val="left"/>
      <w:pPr>
        <w:ind w:left="0" w:firstLine="0"/>
      </w:pPr>
      <w:rPr>
        <w:rFonts w:hint="default"/>
      </w:rPr>
    </w:lvl>
  </w:abstractNum>
  <w:num w:numId="1">
    <w:abstractNumId w:val="11"/>
  </w:num>
  <w:num w:numId="2">
    <w:abstractNumId w:val="6"/>
  </w:num>
  <w:num w:numId="3">
    <w:abstractNumId w:val="9"/>
  </w:num>
  <w:num w:numId="4">
    <w:abstractNumId w:val="8"/>
  </w:num>
  <w:num w:numId="5">
    <w:abstractNumId w:val="7"/>
  </w:num>
  <w:num w:numId="6">
    <w:abstractNumId w:val="1"/>
  </w:num>
  <w:num w:numId="7">
    <w:abstractNumId w:val="2"/>
  </w:num>
  <w:num w:numId="8">
    <w:abstractNumId w:val="0"/>
  </w:num>
  <w:num w:numId="9">
    <w:abstractNumId w:val="4"/>
  </w:num>
  <w:num w:numId="10">
    <w:abstractNumId w:val="1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240"/>
  <w:drawingGridVerticalSpacing w:val="16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D5D"/>
    <w:rsid w:val="0001661F"/>
    <w:rsid w:val="00023B0B"/>
    <w:rsid w:val="000249E6"/>
    <w:rsid w:val="0003021E"/>
    <w:rsid w:val="000322FF"/>
    <w:rsid w:val="00042D31"/>
    <w:rsid w:val="00046622"/>
    <w:rsid w:val="0007040D"/>
    <w:rsid w:val="000732FB"/>
    <w:rsid w:val="000760A5"/>
    <w:rsid w:val="0007696A"/>
    <w:rsid w:val="000858B5"/>
    <w:rsid w:val="00091BA5"/>
    <w:rsid w:val="000A154F"/>
    <w:rsid w:val="000A4064"/>
    <w:rsid w:val="000A543D"/>
    <w:rsid w:val="000B089C"/>
    <w:rsid w:val="000B0C83"/>
    <w:rsid w:val="000D4233"/>
    <w:rsid w:val="000D47CC"/>
    <w:rsid w:val="000D60A2"/>
    <w:rsid w:val="000D7D68"/>
    <w:rsid w:val="000E2070"/>
    <w:rsid w:val="000E7CFF"/>
    <w:rsid w:val="00100957"/>
    <w:rsid w:val="00111DE9"/>
    <w:rsid w:val="001174D0"/>
    <w:rsid w:val="001200E3"/>
    <w:rsid w:val="00122A52"/>
    <w:rsid w:val="0013039B"/>
    <w:rsid w:val="00130612"/>
    <w:rsid w:val="001308B1"/>
    <w:rsid w:val="001310FE"/>
    <w:rsid w:val="001328E9"/>
    <w:rsid w:val="001334E5"/>
    <w:rsid w:val="00133613"/>
    <w:rsid w:val="00133A65"/>
    <w:rsid w:val="001420BA"/>
    <w:rsid w:val="00144760"/>
    <w:rsid w:val="001464B9"/>
    <w:rsid w:val="00165743"/>
    <w:rsid w:val="00166DB6"/>
    <w:rsid w:val="00167083"/>
    <w:rsid w:val="00181C0B"/>
    <w:rsid w:val="00190745"/>
    <w:rsid w:val="001A08FF"/>
    <w:rsid w:val="001A4772"/>
    <w:rsid w:val="001A5CF4"/>
    <w:rsid w:val="001C4975"/>
    <w:rsid w:val="001D215E"/>
    <w:rsid w:val="001D3A88"/>
    <w:rsid w:val="001E0C61"/>
    <w:rsid w:val="001E1E42"/>
    <w:rsid w:val="001E6B22"/>
    <w:rsid w:val="001F2719"/>
    <w:rsid w:val="001F43A3"/>
    <w:rsid w:val="002123A4"/>
    <w:rsid w:val="002150B7"/>
    <w:rsid w:val="00221530"/>
    <w:rsid w:val="0022225E"/>
    <w:rsid w:val="00226A93"/>
    <w:rsid w:val="00227D7E"/>
    <w:rsid w:val="00234AC7"/>
    <w:rsid w:val="00237D74"/>
    <w:rsid w:val="00250177"/>
    <w:rsid w:val="002534B4"/>
    <w:rsid w:val="00263BB4"/>
    <w:rsid w:val="00267A19"/>
    <w:rsid w:val="00267E77"/>
    <w:rsid w:val="0027397A"/>
    <w:rsid w:val="00280EBE"/>
    <w:rsid w:val="00286EA6"/>
    <w:rsid w:val="002A79AE"/>
    <w:rsid w:val="002C0086"/>
    <w:rsid w:val="002C766D"/>
    <w:rsid w:val="002D1BA8"/>
    <w:rsid w:val="002D5336"/>
    <w:rsid w:val="002E2261"/>
    <w:rsid w:val="002E4337"/>
    <w:rsid w:val="002E5C99"/>
    <w:rsid w:val="002E5D24"/>
    <w:rsid w:val="00300100"/>
    <w:rsid w:val="00301D7C"/>
    <w:rsid w:val="00302F0B"/>
    <w:rsid w:val="0030307D"/>
    <w:rsid w:val="00303252"/>
    <w:rsid w:val="00304D85"/>
    <w:rsid w:val="003101F8"/>
    <w:rsid w:val="0031040D"/>
    <w:rsid w:val="00320552"/>
    <w:rsid w:val="003257DC"/>
    <w:rsid w:val="0033056C"/>
    <w:rsid w:val="00342C9E"/>
    <w:rsid w:val="00346CBA"/>
    <w:rsid w:val="00352763"/>
    <w:rsid w:val="00355364"/>
    <w:rsid w:val="00355780"/>
    <w:rsid w:val="00367018"/>
    <w:rsid w:val="003730BA"/>
    <w:rsid w:val="003754C4"/>
    <w:rsid w:val="003766A2"/>
    <w:rsid w:val="003824BB"/>
    <w:rsid w:val="00386B76"/>
    <w:rsid w:val="003A0C38"/>
    <w:rsid w:val="003A3652"/>
    <w:rsid w:val="003A7DA5"/>
    <w:rsid w:val="003B3DA8"/>
    <w:rsid w:val="003B630A"/>
    <w:rsid w:val="003C535F"/>
    <w:rsid w:val="003C782E"/>
    <w:rsid w:val="003E0BFB"/>
    <w:rsid w:val="003E0D5A"/>
    <w:rsid w:val="003E478D"/>
    <w:rsid w:val="003E6C42"/>
    <w:rsid w:val="00402F2C"/>
    <w:rsid w:val="00407791"/>
    <w:rsid w:val="004119AD"/>
    <w:rsid w:val="00412F18"/>
    <w:rsid w:val="004142BC"/>
    <w:rsid w:val="00421B0F"/>
    <w:rsid w:val="00426DF8"/>
    <w:rsid w:val="00431DA4"/>
    <w:rsid w:val="00431E5F"/>
    <w:rsid w:val="0043607E"/>
    <w:rsid w:val="00444359"/>
    <w:rsid w:val="00446C0A"/>
    <w:rsid w:val="00450A89"/>
    <w:rsid w:val="004621D7"/>
    <w:rsid w:val="004633B8"/>
    <w:rsid w:val="004670BE"/>
    <w:rsid w:val="0048064E"/>
    <w:rsid w:val="00491078"/>
    <w:rsid w:val="00491DD4"/>
    <w:rsid w:val="00495F9C"/>
    <w:rsid w:val="004A0DF3"/>
    <w:rsid w:val="004A5F2E"/>
    <w:rsid w:val="004A71B8"/>
    <w:rsid w:val="004B2462"/>
    <w:rsid w:val="004B3D34"/>
    <w:rsid w:val="004D640A"/>
    <w:rsid w:val="004E0BA5"/>
    <w:rsid w:val="004E2177"/>
    <w:rsid w:val="004E28C3"/>
    <w:rsid w:val="004E3730"/>
    <w:rsid w:val="004F146A"/>
    <w:rsid w:val="004F1C3B"/>
    <w:rsid w:val="004F3C31"/>
    <w:rsid w:val="004F3D3B"/>
    <w:rsid w:val="004F708A"/>
    <w:rsid w:val="005000C3"/>
    <w:rsid w:val="0052200B"/>
    <w:rsid w:val="00522834"/>
    <w:rsid w:val="005313DD"/>
    <w:rsid w:val="005328E8"/>
    <w:rsid w:val="005344E7"/>
    <w:rsid w:val="00546BED"/>
    <w:rsid w:val="00551D03"/>
    <w:rsid w:val="0055220A"/>
    <w:rsid w:val="005561F2"/>
    <w:rsid w:val="00557E8A"/>
    <w:rsid w:val="00560A3C"/>
    <w:rsid w:val="005621BF"/>
    <w:rsid w:val="0057647A"/>
    <w:rsid w:val="0058405C"/>
    <w:rsid w:val="00587D9B"/>
    <w:rsid w:val="00590E34"/>
    <w:rsid w:val="0059127A"/>
    <w:rsid w:val="00592289"/>
    <w:rsid w:val="005A657B"/>
    <w:rsid w:val="005B103B"/>
    <w:rsid w:val="005B2FFC"/>
    <w:rsid w:val="005C0F3F"/>
    <w:rsid w:val="005C2174"/>
    <w:rsid w:val="005C363F"/>
    <w:rsid w:val="005D1A1A"/>
    <w:rsid w:val="005D629B"/>
    <w:rsid w:val="005D6315"/>
    <w:rsid w:val="005D67C7"/>
    <w:rsid w:val="005E0BF5"/>
    <w:rsid w:val="005E7F8C"/>
    <w:rsid w:val="005F06A9"/>
    <w:rsid w:val="005F789B"/>
    <w:rsid w:val="00605A79"/>
    <w:rsid w:val="00640285"/>
    <w:rsid w:val="006462A0"/>
    <w:rsid w:val="0065038D"/>
    <w:rsid w:val="00654096"/>
    <w:rsid w:val="0067536A"/>
    <w:rsid w:val="006A223B"/>
    <w:rsid w:val="006A6527"/>
    <w:rsid w:val="006A6EF9"/>
    <w:rsid w:val="006B3EB9"/>
    <w:rsid w:val="006B5EDA"/>
    <w:rsid w:val="006C2A46"/>
    <w:rsid w:val="006C3684"/>
    <w:rsid w:val="006C7477"/>
    <w:rsid w:val="006E0F3F"/>
    <w:rsid w:val="006F3F5D"/>
    <w:rsid w:val="0070789D"/>
    <w:rsid w:val="007169F6"/>
    <w:rsid w:val="007226D9"/>
    <w:rsid w:val="00723761"/>
    <w:rsid w:val="00724C00"/>
    <w:rsid w:val="00724C68"/>
    <w:rsid w:val="00733E4F"/>
    <w:rsid w:val="00733FAF"/>
    <w:rsid w:val="0073461F"/>
    <w:rsid w:val="00746C21"/>
    <w:rsid w:val="00755FBA"/>
    <w:rsid w:val="00786B02"/>
    <w:rsid w:val="007911E5"/>
    <w:rsid w:val="007944D1"/>
    <w:rsid w:val="00797A3C"/>
    <w:rsid w:val="007A2D2C"/>
    <w:rsid w:val="007A3CC1"/>
    <w:rsid w:val="007A4F83"/>
    <w:rsid w:val="007A6353"/>
    <w:rsid w:val="007A74D7"/>
    <w:rsid w:val="007B2DF2"/>
    <w:rsid w:val="007B44ED"/>
    <w:rsid w:val="007B4F77"/>
    <w:rsid w:val="007B605F"/>
    <w:rsid w:val="007B63B8"/>
    <w:rsid w:val="007D3D94"/>
    <w:rsid w:val="007D4FFC"/>
    <w:rsid w:val="007F280A"/>
    <w:rsid w:val="007F4C1F"/>
    <w:rsid w:val="008266BA"/>
    <w:rsid w:val="00833BD7"/>
    <w:rsid w:val="00835AA4"/>
    <w:rsid w:val="00846F0F"/>
    <w:rsid w:val="0085615E"/>
    <w:rsid w:val="00863B9E"/>
    <w:rsid w:val="00863DA7"/>
    <w:rsid w:val="00870DF8"/>
    <w:rsid w:val="00881007"/>
    <w:rsid w:val="00887D8F"/>
    <w:rsid w:val="00896BA0"/>
    <w:rsid w:val="008A43EE"/>
    <w:rsid w:val="008B64D0"/>
    <w:rsid w:val="008C0847"/>
    <w:rsid w:val="008C220B"/>
    <w:rsid w:val="008C47A5"/>
    <w:rsid w:val="008D0894"/>
    <w:rsid w:val="008D106E"/>
    <w:rsid w:val="008E3A38"/>
    <w:rsid w:val="008F5B71"/>
    <w:rsid w:val="00913389"/>
    <w:rsid w:val="00927E7E"/>
    <w:rsid w:val="00930BB4"/>
    <w:rsid w:val="009340D2"/>
    <w:rsid w:val="009407F3"/>
    <w:rsid w:val="009433B6"/>
    <w:rsid w:val="0094527F"/>
    <w:rsid w:val="0095226A"/>
    <w:rsid w:val="009551B3"/>
    <w:rsid w:val="009600FE"/>
    <w:rsid w:val="009762AD"/>
    <w:rsid w:val="00976A41"/>
    <w:rsid w:val="00984226"/>
    <w:rsid w:val="00991A71"/>
    <w:rsid w:val="009A3D8C"/>
    <w:rsid w:val="009B2539"/>
    <w:rsid w:val="009B2AF6"/>
    <w:rsid w:val="009B30AC"/>
    <w:rsid w:val="009D2436"/>
    <w:rsid w:val="009D289C"/>
    <w:rsid w:val="009D5788"/>
    <w:rsid w:val="009D5CD5"/>
    <w:rsid w:val="009E6CFF"/>
    <w:rsid w:val="009F371F"/>
    <w:rsid w:val="009F6F28"/>
    <w:rsid w:val="009F7A3E"/>
    <w:rsid w:val="00A0306A"/>
    <w:rsid w:val="00A06C32"/>
    <w:rsid w:val="00A06E5D"/>
    <w:rsid w:val="00A13219"/>
    <w:rsid w:val="00A144F2"/>
    <w:rsid w:val="00A237EA"/>
    <w:rsid w:val="00A241E3"/>
    <w:rsid w:val="00A24FA1"/>
    <w:rsid w:val="00A30798"/>
    <w:rsid w:val="00A30D69"/>
    <w:rsid w:val="00A3331B"/>
    <w:rsid w:val="00A33F26"/>
    <w:rsid w:val="00A46A62"/>
    <w:rsid w:val="00A503F8"/>
    <w:rsid w:val="00A513C5"/>
    <w:rsid w:val="00A531A7"/>
    <w:rsid w:val="00A5517F"/>
    <w:rsid w:val="00A61A20"/>
    <w:rsid w:val="00A70F95"/>
    <w:rsid w:val="00A776E9"/>
    <w:rsid w:val="00A82715"/>
    <w:rsid w:val="00A83559"/>
    <w:rsid w:val="00A91395"/>
    <w:rsid w:val="00A96ED2"/>
    <w:rsid w:val="00AA3DE8"/>
    <w:rsid w:val="00AB4AD1"/>
    <w:rsid w:val="00AB5F24"/>
    <w:rsid w:val="00AC34F8"/>
    <w:rsid w:val="00AC482D"/>
    <w:rsid w:val="00AC7C2C"/>
    <w:rsid w:val="00AD01C4"/>
    <w:rsid w:val="00AD6539"/>
    <w:rsid w:val="00AE0BD1"/>
    <w:rsid w:val="00AE2CCE"/>
    <w:rsid w:val="00AE3753"/>
    <w:rsid w:val="00AE393F"/>
    <w:rsid w:val="00AE4E7E"/>
    <w:rsid w:val="00AF67DD"/>
    <w:rsid w:val="00B00FCD"/>
    <w:rsid w:val="00B03125"/>
    <w:rsid w:val="00B06EB0"/>
    <w:rsid w:val="00B12419"/>
    <w:rsid w:val="00B14CA8"/>
    <w:rsid w:val="00B2329C"/>
    <w:rsid w:val="00B303FA"/>
    <w:rsid w:val="00B31454"/>
    <w:rsid w:val="00B35E15"/>
    <w:rsid w:val="00B55B73"/>
    <w:rsid w:val="00B55BC0"/>
    <w:rsid w:val="00B65570"/>
    <w:rsid w:val="00B66702"/>
    <w:rsid w:val="00B6754F"/>
    <w:rsid w:val="00B7051A"/>
    <w:rsid w:val="00B81F23"/>
    <w:rsid w:val="00B84F6E"/>
    <w:rsid w:val="00B86221"/>
    <w:rsid w:val="00B90884"/>
    <w:rsid w:val="00BA6161"/>
    <w:rsid w:val="00BB19CF"/>
    <w:rsid w:val="00BB750A"/>
    <w:rsid w:val="00BB759D"/>
    <w:rsid w:val="00BC66B0"/>
    <w:rsid w:val="00BD3A84"/>
    <w:rsid w:val="00BD43B8"/>
    <w:rsid w:val="00BD709B"/>
    <w:rsid w:val="00BE44B4"/>
    <w:rsid w:val="00BE53DB"/>
    <w:rsid w:val="00BF1993"/>
    <w:rsid w:val="00C01354"/>
    <w:rsid w:val="00C01955"/>
    <w:rsid w:val="00C05EA5"/>
    <w:rsid w:val="00C10B1A"/>
    <w:rsid w:val="00C17405"/>
    <w:rsid w:val="00C208D6"/>
    <w:rsid w:val="00C21669"/>
    <w:rsid w:val="00C219F4"/>
    <w:rsid w:val="00C34E68"/>
    <w:rsid w:val="00C462F7"/>
    <w:rsid w:val="00C50EA3"/>
    <w:rsid w:val="00C57D81"/>
    <w:rsid w:val="00C60733"/>
    <w:rsid w:val="00C61B61"/>
    <w:rsid w:val="00C67023"/>
    <w:rsid w:val="00C6762F"/>
    <w:rsid w:val="00C72652"/>
    <w:rsid w:val="00C8080B"/>
    <w:rsid w:val="00CA15B2"/>
    <w:rsid w:val="00CA22FF"/>
    <w:rsid w:val="00CA3B8D"/>
    <w:rsid w:val="00CA5593"/>
    <w:rsid w:val="00CB11A1"/>
    <w:rsid w:val="00CC5D44"/>
    <w:rsid w:val="00CC753E"/>
    <w:rsid w:val="00CD4A3C"/>
    <w:rsid w:val="00CE5132"/>
    <w:rsid w:val="00CF2021"/>
    <w:rsid w:val="00CF63FF"/>
    <w:rsid w:val="00CF7291"/>
    <w:rsid w:val="00D0221C"/>
    <w:rsid w:val="00D0401F"/>
    <w:rsid w:val="00D061C7"/>
    <w:rsid w:val="00D1502F"/>
    <w:rsid w:val="00D318DE"/>
    <w:rsid w:val="00D34ED9"/>
    <w:rsid w:val="00D417D3"/>
    <w:rsid w:val="00D45B87"/>
    <w:rsid w:val="00D52C9B"/>
    <w:rsid w:val="00D53B44"/>
    <w:rsid w:val="00D561BE"/>
    <w:rsid w:val="00D6040D"/>
    <w:rsid w:val="00D624D5"/>
    <w:rsid w:val="00D63E65"/>
    <w:rsid w:val="00D70A16"/>
    <w:rsid w:val="00D70D23"/>
    <w:rsid w:val="00D7228B"/>
    <w:rsid w:val="00D767BF"/>
    <w:rsid w:val="00D9154E"/>
    <w:rsid w:val="00D9308B"/>
    <w:rsid w:val="00D96891"/>
    <w:rsid w:val="00D97E77"/>
    <w:rsid w:val="00DA2681"/>
    <w:rsid w:val="00DA2B75"/>
    <w:rsid w:val="00DA5CE1"/>
    <w:rsid w:val="00DB62FE"/>
    <w:rsid w:val="00DC3D5D"/>
    <w:rsid w:val="00DD0426"/>
    <w:rsid w:val="00DD4B1D"/>
    <w:rsid w:val="00DD68C5"/>
    <w:rsid w:val="00DE0987"/>
    <w:rsid w:val="00DE52A6"/>
    <w:rsid w:val="00DE6914"/>
    <w:rsid w:val="00DF17AA"/>
    <w:rsid w:val="00E14332"/>
    <w:rsid w:val="00E16027"/>
    <w:rsid w:val="00E2062D"/>
    <w:rsid w:val="00E23BDD"/>
    <w:rsid w:val="00E25273"/>
    <w:rsid w:val="00E26B21"/>
    <w:rsid w:val="00E33520"/>
    <w:rsid w:val="00E3613E"/>
    <w:rsid w:val="00E42EA9"/>
    <w:rsid w:val="00E51B53"/>
    <w:rsid w:val="00E56C4C"/>
    <w:rsid w:val="00E71C01"/>
    <w:rsid w:val="00E7242B"/>
    <w:rsid w:val="00E82266"/>
    <w:rsid w:val="00E91677"/>
    <w:rsid w:val="00E92AF7"/>
    <w:rsid w:val="00EA1839"/>
    <w:rsid w:val="00EA2ABE"/>
    <w:rsid w:val="00EA6ADC"/>
    <w:rsid w:val="00EB2F22"/>
    <w:rsid w:val="00EB3331"/>
    <w:rsid w:val="00EB37FC"/>
    <w:rsid w:val="00EB3D64"/>
    <w:rsid w:val="00EB3DF8"/>
    <w:rsid w:val="00EC6930"/>
    <w:rsid w:val="00ED34F0"/>
    <w:rsid w:val="00EE0373"/>
    <w:rsid w:val="00EF2C61"/>
    <w:rsid w:val="00EF7B5D"/>
    <w:rsid w:val="00F015CD"/>
    <w:rsid w:val="00F07854"/>
    <w:rsid w:val="00F07AA9"/>
    <w:rsid w:val="00F07EC2"/>
    <w:rsid w:val="00F1150E"/>
    <w:rsid w:val="00F14567"/>
    <w:rsid w:val="00F1628D"/>
    <w:rsid w:val="00F21799"/>
    <w:rsid w:val="00F21E57"/>
    <w:rsid w:val="00F2490B"/>
    <w:rsid w:val="00F30182"/>
    <w:rsid w:val="00F31CE6"/>
    <w:rsid w:val="00F329D4"/>
    <w:rsid w:val="00F333DD"/>
    <w:rsid w:val="00F57BF9"/>
    <w:rsid w:val="00F60A76"/>
    <w:rsid w:val="00F623A8"/>
    <w:rsid w:val="00F63158"/>
    <w:rsid w:val="00F653FB"/>
    <w:rsid w:val="00F87BCF"/>
    <w:rsid w:val="00F90930"/>
    <w:rsid w:val="00F9692D"/>
    <w:rsid w:val="00FA22CA"/>
    <w:rsid w:val="00FA3197"/>
    <w:rsid w:val="00FB1C18"/>
    <w:rsid w:val="00FB6A0B"/>
    <w:rsid w:val="00FC24D7"/>
    <w:rsid w:val="00FC7D14"/>
    <w:rsid w:val="00FD0E0F"/>
    <w:rsid w:val="00FD7B3F"/>
    <w:rsid w:val="0593177D"/>
    <w:rsid w:val="0CAF4DBF"/>
    <w:rsid w:val="0D1334D2"/>
    <w:rsid w:val="113C6D34"/>
    <w:rsid w:val="16F06BB2"/>
    <w:rsid w:val="1A872F7D"/>
    <w:rsid w:val="1B9F6203"/>
    <w:rsid w:val="2B471542"/>
    <w:rsid w:val="32F53057"/>
    <w:rsid w:val="33AE25D9"/>
    <w:rsid w:val="34B739EA"/>
    <w:rsid w:val="35791B81"/>
    <w:rsid w:val="36645C20"/>
    <w:rsid w:val="37D41EF7"/>
    <w:rsid w:val="419E2E9E"/>
    <w:rsid w:val="431C2915"/>
    <w:rsid w:val="43C85EEB"/>
    <w:rsid w:val="497746FA"/>
    <w:rsid w:val="52721AD0"/>
    <w:rsid w:val="5529639B"/>
    <w:rsid w:val="5A503120"/>
    <w:rsid w:val="5B1932D1"/>
    <w:rsid w:val="647F198E"/>
    <w:rsid w:val="6D471519"/>
    <w:rsid w:val="6DE60E4E"/>
    <w:rsid w:val="6ED84193"/>
    <w:rsid w:val="718B3232"/>
    <w:rsid w:val="74CD7639"/>
    <w:rsid w:val="7847636A"/>
    <w:rsid w:val="7A9C4D78"/>
    <w:rsid w:val="7F5A3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1"/>
    <w:next w:val="1"/>
    <w:link w:val="34"/>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val="en-US" w:eastAsia="zh-CN" w:bidi="ar-SA"/>
    </w:rPr>
  </w:style>
  <w:style w:type="paragraph" w:styleId="3">
    <w:name w:val="heading 2"/>
    <w:next w:val="1"/>
    <w:link w:val="33"/>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val="en-US" w:eastAsia="zh-CN" w:bidi="ar-SA"/>
    </w:rPr>
  </w:style>
  <w:style w:type="paragraph" w:styleId="4">
    <w:name w:val="heading 3"/>
    <w:next w:val="1"/>
    <w:link w:val="35"/>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val="en-US" w:eastAsia="zh-CN" w:bidi="ar-SA"/>
    </w:rPr>
  </w:style>
  <w:style w:type="paragraph" w:styleId="5">
    <w:name w:val="heading 4"/>
    <w:next w:val="1"/>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val="en-US" w:eastAsia="zh-CN" w:bidi="ar-SA"/>
    </w:rPr>
  </w:style>
  <w:style w:type="paragraph" w:styleId="6">
    <w:name w:val="heading 5"/>
    <w:next w:val="1"/>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val="en-US" w:eastAsia="zh-CN" w:bidi="ar-SA"/>
    </w:rPr>
  </w:style>
  <w:style w:type="paragraph" w:styleId="7">
    <w:name w:val="heading 6"/>
    <w:next w:val="1"/>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8">
    <w:name w:val="heading 7"/>
    <w:next w:val="1"/>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9">
    <w:name w:val="heading 8"/>
    <w:next w:val="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qFormat/>
    <w:uiPriority w:val="99"/>
    <w:pPr>
      <w:jc w:val="left"/>
    </w:pPr>
  </w:style>
  <w:style w:type="paragraph" w:styleId="13">
    <w:name w:val="Body Text"/>
    <w:semiHidden/>
    <w:unhideWhenUsed/>
    <w:qFormat/>
    <w:uiPriority w:val="99"/>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14">
    <w:name w:val="toc 3"/>
    <w:basedOn w:val="1"/>
    <w:next w:val="1"/>
    <w:unhideWhenUsed/>
    <w:qFormat/>
    <w:uiPriority w:val="39"/>
    <w:pPr>
      <w:ind w:left="840" w:leftChars="400"/>
    </w:pPr>
  </w:style>
  <w:style w:type="paragraph" w:styleId="15">
    <w:name w:val="Date"/>
    <w:basedOn w:val="1"/>
    <w:next w:val="1"/>
    <w:link w:val="50"/>
    <w:semiHidden/>
    <w:unhideWhenUsed/>
    <w:qFormat/>
    <w:uiPriority w:val="99"/>
    <w:pPr>
      <w:ind w:left="100" w:leftChars="2500"/>
    </w:pPr>
  </w:style>
  <w:style w:type="paragraph" w:styleId="16">
    <w:name w:val="Balloon Text"/>
    <w:basedOn w:val="1"/>
    <w:link w:val="47"/>
    <w:semiHidden/>
    <w:unhideWhenUsed/>
    <w:qFormat/>
    <w:uiPriority w:val="99"/>
    <w:rPr>
      <w:sz w:val="18"/>
      <w:szCs w:val="18"/>
    </w:rPr>
  </w:style>
  <w:style w:type="paragraph" w:styleId="17">
    <w:name w:val="footer"/>
    <w:basedOn w:val="1"/>
    <w:link w:val="38"/>
    <w:unhideWhenUsed/>
    <w:qFormat/>
    <w:uiPriority w:val="99"/>
    <w:pPr>
      <w:tabs>
        <w:tab w:val="center" w:pos="4153"/>
        <w:tab w:val="right" w:pos="8306"/>
      </w:tabs>
      <w:snapToGrid w:val="0"/>
      <w:jc w:val="left"/>
    </w:pPr>
    <w:rPr>
      <w:sz w:val="18"/>
      <w:szCs w:val="18"/>
    </w:rPr>
  </w:style>
  <w:style w:type="paragraph" w:styleId="18">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style>
  <w:style w:type="paragraph" w:styleId="20">
    <w:name w:val="Subtitle"/>
    <w:qFormat/>
    <w:uiPriority w:val="11"/>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21">
    <w:name w:val="Body Text Indent 3"/>
    <w:basedOn w:val="1"/>
    <w:qFormat/>
    <w:uiPriority w:val="0"/>
    <w:pPr>
      <w:ind w:firstLine="358" w:firstLineChars="149"/>
    </w:pPr>
    <w:rPr>
      <w:rFonts w:ascii="Times New Roman" w:hAnsi="Times New Roman" w:cs="Times New Roman"/>
      <w:szCs w:val="24"/>
    </w:rPr>
  </w:style>
  <w:style w:type="paragraph" w:styleId="22">
    <w:name w:val="toc 2"/>
    <w:basedOn w:val="1"/>
    <w:next w:val="1"/>
    <w:unhideWhenUsed/>
    <w:qFormat/>
    <w:uiPriority w:val="39"/>
    <w:pPr>
      <w:ind w:left="420" w:leftChars="200"/>
    </w:pPr>
  </w:style>
  <w:style w:type="paragraph" w:styleId="23">
    <w:name w:val="Normal (Web)"/>
    <w:basedOn w:val="1"/>
    <w:qFormat/>
    <w:uiPriority w:val="0"/>
    <w:pPr>
      <w:spacing w:before="100" w:beforeAutospacing="1" w:after="100" w:afterAutospacing="1"/>
      <w:ind w:firstLine="0" w:firstLineChars="0"/>
      <w:jc w:val="left"/>
    </w:pPr>
    <w:rPr>
      <w:rFonts w:ascii="Times New Roman" w:hAnsi="Times New Roman" w:cs="Times New Roman"/>
      <w:kern w:val="0"/>
      <w:szCs w:val="24"/>
    </w:rPr>
  </w:style>
  <w:style w:type="paragraph" w:styleId="24">
    <w:name w:val="Title"/>
    <w:qFormat/>
    <w:uiPriority w:val="1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paragraph" w:styleId="25">
    <w:name w:val="annotation subject"/>
    <w:basedOn w:val="12"/>
    <w:next w:val="12"/>
    <w:link w:val="46"/>
    <w:semiHidden/>
    <w:unhideWhenUsed/>
    <w:qFormat/>
    <w:uiPriority w:val="99"/>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rPr>
  </w:style>
  <w:style w:type="character" w:styleId="30">
    <w:name w:val="Emphasis"/>
    <w:basedOn w:val="28"/>
    <w:qFormat/>
    <w:uiPriority w:val="20"/>
    <w:rPr>
      <w:i/>
    </w:rPr>
  </w:style>
  <w:style w:type="character" w:styleId="31">
    <w:name w:val="Hyperlink"/>
    <w:basedOn w:val="28"/>
    <w:unhideWhenUsed/>
    <w:qFormat/>
    <w:uiPriority w:val="99"/>
    <w:rPr>
      <w:color w:val="0000FF"/>
      <w:u w:val="single"/>
    </w:rPr>
  </w:style>
  <w:style w:type="character" w:styleId="32">
    <w:name w:val="annotation reference"/>
    <w:basedOn w:val="28"/>
    <w:semiHidden/>
    <w:unhideWhenUsed/>
    <w:qFormat/>
    <w:uiPriority w:val="99"/>
    <w:rPr>
      <w:sz w:val="21"/>
      <w:szCs w:val="21"/>
    </w:rPr>
  </w:style>
  <w:style w:type="character" w:customStyle="1" w:styleId="33">
    <w:name w:val="标题 2 字符"/>
    <w:basedOn w:val="28"/>
    <w:link w:val="3"/>
    <w:qFormat/>
    <w:uiPriority w:val="9"/>
    <w:rPr>
      <w:rFonts w:eastAsia="黑体" w:asciiTheme="majorHAnsi" w:hAnsiTheme="majorHAnsi" w:cstheme="majorBidi"/>
      <w:bCs/>
      <w:sz w:val="28"/>
      <w:szCs w:val="32"/>
    </w:rPr>
  </w:style>
  <w:style w:type="character" w:customStyle="1" w:styleId="34">
    <w:name w:val="标题 1 字符"/>
    <w:basedOn w:val="28"/>
    <w:link w:val="2"/>
    <w:qFormat/>
    <w:uiPriority w:val="0"/>
    <w:rPr>
      <w:rFonts w:eastAsia="黑体" w:asciiTheme="minorHAnsi" w:hAnsiTheme="minorHAnsi"/>
      <w:bCs/>
      <w:kern w:val="44"/>
      <w:sz w:val="30"/>
      <w:szCs w:val="44"/>
    </w:rPr>
  </w:style>
  <w:style w:type="character" w:customStyle="1" w:styleId="35">
    <w:name w:val="标题 3 字符"/>
    <w:basedOn w:val="28"/>
    <w:link w:val="4"/>
    <w:qFormat/>
    <w:uiPriority w:val="9"/>
    <w:rPr>
      <w:rFonts w:eastAsia="宋体" w:asciiTheme="minorHAnsi" w:hAnsiTheme="minorHAnsi"/>
      <w:b/>
      <w:bCs/>
      <w:kern w:val="2"/>
      <w:sz w:val="24"/>
      <w:szCs w:val="32"/>
    </w:rPr>
  </w:style>
  <w:style w:type="table" w:customStyle="1" w:styleId="36">
    <w:name w:val="三线表"/>
    <w:basedOn w:val="26"/>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4" w:space="0"/>
          <w:right w:val="nil"/>
          <w:insideH w:val="nil"/>
          <w:insideV w:val="nil"/>
          <w:tl2br w:val="nil"/>
          <w:tr2bl w:val="nil"/>
        </w:tcBorders>
      </w:tcPr>
    </w:tblStylePr>
  </w:style>
  <w:style w:type="character" w:customStyle="1" w:styleId="37">
    <w:name w:val="页眉 字符"/>
    <w:basedOn w:val="28"/>
    <w:link w:val="18"/>
    <w:qFormat/>
    <w:uiPriority w:val="99"/>
    <w:rPr>
      <w:rFonts w:eastAsia="宋体"/>
      <w:sz w:val="18"/>
      <w:szCs w:val="18"/>
    </w:rPr>
  </w:style>
  <w:style w:type="character" w:customStyle="1" w:styleId="38">
    <w:name w:val="页脚 字符"/>
    <w:basedOn w:val="28"/>
    <w:link w:val="17"/>
    <w:qFormat/>
    <w:uiPriority w:val="99"/>
    <w:rPr>
      <w:rFonts w:eastAsia="宋体"/>
      <w:sz w:val="18"/>
      <w:szCs w:val="18"/>
    </w:rPr>
  </w:style>
  <w:style w:type="paragraph" w:styleId="39">
    <w:name w:val="List Paragraph"/>
    <w:basedOn w:val="1"/>
    <w:qFormat/>
    <w:uiPriority w:val="34"/>
    <w:pPr>
      <w:snapToGrid w:val="0"/>
      <w:ind w:firstLine="420"/>
    </w:pPr>
  </w:style>
  <w:style w:type="paragraph" w:customStyle="1" w:styleId="40">
    <w:name w:val="标准正文"/>
    <w:basedOn w:val="1"/>
    <w:link w:val="41"/>
    <w:qFormat/>
    <w:uiPriority w:val="0"/>
    <w:pPr>
      <w:spacing w:line="300" w:lineRule="auto"/>
    </w:pPr>
    <w:rPr>
      <w:rFonts w:ascii="宋体" w:hAnsi="宋体"/>
    </w:rPr>
  </w:style>
  <w:style w:type="character" w:customStyle="1" w:styleId="41">
    <w:name w:val="标准正文 字符"/>
    <w:basedOn w:val="28"/>
    <w:link w:val="40"/>
    <w:qFormat/>
    <w:uiPriority w:val="0"/>
    <w:rPr>
      <w:rFonts w:ascii="宋体" w:hAnsi="宋体" w:eastAsia="宋体"/>
      <w:sz w:val="24"/>
    </w:rPr>
  </w:style>
  <w:style w:type="table" w:customStyle="1" w:styleId="42">
    <w:name w:val="三线表1"/>
    <w:basedOn w:val="26"/>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4" w:space="0"/>
          <w:right w:val="nil"/>
          <w:insideH w:val="nil"/>
          <w:insideV w:val="nil"/>
          <w:tl2br w:val="nil"/>
          <w:tr2bl w:val="nil"/>
        </w:tcBorders>
      </w:tcPr>
    </w:tblStylePr>
  </w:style>
  <w:style w:type="paragraph" w:customStyle="1" w:styleId="43">
    <w:name w:val="TOC 标题1"/>
    <w:basedOn w:val="2"/>
    <w:next w:val="1"/>
    <w:unhideWhenUsed/>
    <w:qFormat/>
    <w:uiPriority w:val="39"/>
    <w:pPr>
      <w:widowControl/>
      <w:spacing w:line="259" w:lineRule="auto"/>
      <w:outlineLvl w:val="9"/>
    </w:pPr>
    <w:rPr>
      <w:rFonts w:asciiTheme="majorHAnsi" w:hAnsiTheme="majorHAnsi" w:eastAsiaTheme="majorEastAsia" w:cstheme="majorBidi"/>
      <w:color w:val="2E54A1" w:themeColor="accent1" w:themeShade="BF"/>
      <w:kern w:val="0"/>
      <w:szCs w:val="32"/>
    </w:rPr>
  </w:style>
  <w:style w:type="character" w:customStyle="1" w:styleId="44">
    <w:name w:val="未处理的提及1"/>
    <w:basedOn w:val="28"/>
    <w:semiHidden/>
    <w:unhideWhenUsed/>
    <w:qFormat/>
    <w:uiPriority w:val="99"/>
    <w:rPr>
      <w:color w:val="605E5C"/>
      <w:shd w:val="clear" w:color="auto" w:fill="E1DFDD"/>
    </w:rPr>
  </w:style>
  <w:style w:type="character" w:customStyle="1" w:styleId="45">
    <w:name w:val="批注文字 字符"/>
    <w:basedOn w:val="28"/>
    <w:link w:val="12"/>
    <w:semiHidden/>
    <w:qFormat/>
    <w:uiPriority w:val="99"/>
    <w:rPr>
      <w:rFonts w:eastAsia="宋体"/>
      <w:sz w:val="24"/>
    </w:rPr>
  </w:style>
  <w:style w:type="character" w:customStyle="1" w:styleId="46">
    <w:name w:val="批注主题 字符"/>
    <w:basedOn w:val="45"/>
    <w:link w:val="25"/>
    <w:semiHidden/>
    <w:qFormat/>
    <w:uiPriority w:val="99"/>
    <w:rPr>
      <w:rFonts w:eastAsia="宋体"/>
      <w:b/>
      <w:bCs/>
      <w:sz w:val="24"/>
    </w:rPr>
  </w:style>
  <w:style w:type="character" w:customStyle="1" w:styleId="47">
    <w:name w:val="批注框文本 字符"/>
    <w:basedOn w:val="28"/>
    <w:link w:val="16"/>
    <w:semiHidden/>
    <w:qFormat/>
    <w:uiPriority w:val="99"/>
    <w:rPr>
      <w:rFonts w:eastAsia="宋体"/>
      <w:sz w:val="18"/>
      <w:szCs w:val="18"/>
    </w:rPr>
  </w:style>
  <w:style w:type="paragraph" w:customStyle="1" w:styleId="48">
    <w:name w:val="参考文献"/>
    <w:basedOn w:val="1"/>
    <w:qFormat/>
    <w:uiPriority w:val="0"/>
    <w:pPr>
      <w:overflowPunct w:val="0"/>
      <w:autoSpaceDN w:val="0"/>
      <w:spacing w:line="400" w:lineRule="atLeast"/>
      <w:ind w:firstLine="420"/>
      <w:jc w:val="center"/>
    </w:pPr>
    <w:rPr>
      <w:rFonts w:ascii="黑体" w:hAnsi="黑体" w:eastAsia="黑体" w:cs="Times New Roman"/>
      <w:snapToGrid w:val="0"/>
      <w:sz w:val="21"/>
      <w:szCs w:val="21"/>
    </w:rPr>
  </w:style>
  <w:style w:type="character" w:customStyle="1" w:styleId="49">
    <w:name w:val="content_normal1"/>
    <w:basedOn w:val="28"/>
    <w:qFormat/>
    <w:uiPriority w:val="0"/>
    <w:rPr>
      <w:color w:val="000033"/>
      <w:sz w:val="17"/>
      <w:szCs w:val="17"/>
    </w:rPr>
  </w:style>
  <w:style w:type="character" w:customStyle="1" w:styleId="50">
    <w:name w:val="日期 字符"/>
    <w:basedOn w:val="28"/>
    <w:link w:val="15"/>
    <w:semiHidden/>
    <w:qFormat/>
    <w:uiPriority w:val="99"/>
    <w:rPr>
      <w:rFonts w:eastAsia="宋体"/>
      <w:kern w:val="2"/>
      <w:sz w:val="24"/>
      <w:szCs w:val="22"/>
    </w:rPr>
  </w:style>
  <w:style w:type="character" w:customStyle="1" w:styleId="51">
    <w:name w:val="关键词"/>
    <w:qFormat/>
    <w:uiPriority w:val="0"/>
    <w:rPr>
      <w:rFonts w:ascii="Times New Roman" w:hAnsi="Times New Roman" w:eastAsia="宋体" w:cs="宋体"/>
      <w:b/>
      <w:bCs/>
      <w:sz w:val="24"/>
    </w:rPr>
  </w:style>
  <w:style w:type="paragraph" w:customStyle="1" w:styleId="52">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585263-3091-4F74-A4D0-C3C98187D5E2}">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11408</Words>
  <Characters>14791</Characters>
  <Lines>363</Lines>
  <Paragraphs>102</Paragraphs>
  <TotalTime>24</TotalTime>
  <ScaleCrop>false</ScaleCrop>
  <LinksUpToDate>false</LinksUpToDate>
  <CharactersWithSpaces>15508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2026-04-06T13:29:00Z</dcterms:created>
  <dc:creator>王宇祥</dc:creator>
  <cp:lastModifiedBy>刘思佳</cp:lastModifiedBy>
  <cp:lastPrinted>2021-03-16T06:55:00Z</cp:lastPrinted>
  <dcterms:modified xsi:type="dcterms:W3CDTF">2026-04-14T13:50:37Z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B459BF6D01AF4A9DA37F867AA78A40FB_13</vt:lpwstr>
  </property>
  <property fmtid="{D5CDD505-2E9C-101B-9397-08002B2CF9AE}" pid="4" name="KSOTemplateDocerSaveRecord">
    <vt:lpwstr>eyJoZGlkIjoiOTQzYjk2ZGE2YzJhZjM5OTZjZDg5ZWQ4ODMzZWI5NGQiLCJ1c2VySWQiOiI1NzI3MDc3NzMifQ==</vt:lpwstr>
  </property>
</Properties>
</file>