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AF39F">
      <w:pPr>
        <w:jc w:val="center"/>
        <w:rPr>
          <w:rFonts w:hint="eastAsia"/>
          <w:b/>
          <w:bCs/>
          <w:sz w:val="28"/>
          <w:szCs w:val="28"/>
          <w:lang w:val="en-US" w:eastAsia="zh-CN"/>
        </w:rPr>
      </w:pPr>
      <w:r>
        <w:rPr>
          <w:rFonts w:hint="eastAsia"/>
          <w:b/>
          <w:bCs/>
          <w:sz w:val="28"/>
          <w:szCs w:val="28"/>
          <w:lang w:val="en-US" w:eastAsia="zh-CN"/>
        </w:rPr>
        <w:t>M202014B-《高级语言程序设计》研究性教学训练载体</w:t>
      </w:r>
    </w:p>
    <w:p w14:paraId="5A4A9B46">
      <w:pPr>
        <w:numPr>
          <w:ilvl w:val="0"/>
          <w:numId w:val="0"/>
        </w:numPr>
        <w:ind w:firstLine="480" w:firstLineChars="200"/>
        <w:jc w:val="both"/>
        <w:rPr>
          <w:rFonts w:hint="eastAsia"/>
          <w:b w:val="0"/>
          <w:bCs w:val="0"/>
          <w:sz w:val="24"/>
          <w:szCs w:val="24"/>
          <w:lang w:val="en-US" w:eastAsia="zh-CN"/>
        </w:rPr>
      </w:pPr>
    </w:p>
    <w:p w14:paraId="7B8561C6">
      <w:pPr>
        <w:numPr>
          <w:ilvl w:val="0"/>
          <w:numId w:val="0"/>
        </w:numPr>
        <w:ind w:firstLine="480" w:firstLineChars="200"/>
        <w:jc w:val="both"/>
        <w:rPr>
          <w:rFonts w:hint="eastAsia"/>
          <w:b w:val="0"/>
          <w:bCs w:val="0"/>
          <w:sz w:val="24"/>
          <w:szCs w:val="24"/>
          <w:lang w:val="en-US" w:eastAsia="zh-CN"/>
        </w:rPr>
      </w:pPr>
      <w:r>
        <w:rPr>
          <w:rFonts w:hint="eastAsia"/>
          <w:b w:val="0"/>
          <w:bCs w:val="0"/>
          <w:sz w:val="24"/>
          <w:szCs w:val="24"/>
          <w:lang w:val="en-US" w:eastAsia="zh-CN"/>
        </w:rPr>
        <w:t>《高级语言程序设计》是面向詹天佑学院大一本科新生开设的程序设计基础课程。詹天佑学院具有多学科交叉融合的培养特色，涵盖信息学部（包括计算科学与技术、电子信息工程、软件工程等专业）与智能学部（包括交通运输、自动化、机械、理学等相关专业）。不同专业背景的学生对程序设计能力的需求存在差异，这为该课程的教学实践带来了挑战。本课程经过几年的建设，初步形成了一套研究型教学思路和方案。具体举措如下：</w:t>
      </w:r>
    </w:p>
    <w:p w14:paraId="76371BAF">
      <w:pPr>
        <w:numPr>
          <w:ilvl w:val="0"/>
          <w:numId w:val="1"/>
        </w:numPr>
        <w:ind w:firstLine="480" w:firstLineChars="200"/>
        <w:jc w:val="both"/>
        <w:rPr>
          <w:rFonts w:hint="default"/>
          <w:b w:val="0"/>
          <w:bCs w:val="0"/>
          <w:sz w:val="24"/>
          <w:szCs w:val="24"/>
          <w:lang w:val="en-US" w:eastAsia="zh-CN"/>
        </w:rPr>
      </w:pPr>
      <w:r>
        <w:rPr>
          <w:rFonts w:hint="eastAsia"/>
          <w:b w:val="0"/>
          <w:bCs w:val="0"/>
          <w:sz w:val="24"/>
          <w:szCs w:val="24"/>
          <w:lang w:val="en-US" w:eastAsia="zh-CN"/>
        </w:rPr>
        <w:t>借助当前流行的程序自动判题系统，采用多阶段考核的方式，以多次机试并结合比赛的方式加强学生程序实践能力的培养。</w:t>
      </w:r>
    </w:p>
    <w:p w14:paraId="2BA3F345">
      <w:pPr>
        <w:numPr>
          <w:ilvl w:val="0"/>
          <w:numId w:val="0"/>
        </w:numPr>
        <w:ind w:firstLine="480" w:firstLineChars="200"/>
        <w:jc w:val="both"/>
        <w:rPr>
          <w:rFonts w:hint="default"/>
          <w:b w:val="0"/>
          <w:bCs w:val="0"/>
          <w:sz w:val="24"/>
          <w:szCs w:val="24"/>
          <w:lang w:val="en-US" w:eastAsia="zh-CN"/>
        </w:rPr>
      </w:pPr>
      <w:r>
        <w:rPr>
          <w:rFonts w:hint="eastAsia"/>
          <w:b w:val="0"/>
          <w:bCs w:val="0"/>
          <w:sz w:val="24"/>
          <w:szCs w:val="24"/>
          <w:lang w:val="en-US" w:eastAsia="zh-CN"/>
        </w:rPr>
        <w:t>包括计算机学院课程平台citel.bjtu.edu.cn上2025级詹天佑学院公共课教学资源（如图1示例），以及程序设计竞赛平台icpc.bjtu.edu.cn上的测试及考试资源（如图2所示）。学生在这两个教学平台上不但锻炼和提高了程序设计实践能力，还激发了同学们的学习热情。</w:t>
      </w:r>
    </w:p>
    <w:p w14:paraId="6119BD2B">
      <w:pPr>
        <w:numPr>
          <w:ilvl w:val="0"/>
          <w:numId w:val="0"/>
        </w:numPr>
        <w:ind w:firstLine="480" w:firstLineChars="200"/>
        <w:jc w:val="both"/>
        <w:rPr>
          <w:rFonts w:hint="eastAsia"/>
          <w:b w:val="0"/>
          <w:bCs w:val="0"/>
          <w:sz w:val="24"/>
          <w:szCs w:val="24"/>
          <w:lang w:val="en-US" w:eastAsia="zh-CN"/>
        </w:rPr>
      </w:pPr>
    </w:p>
    <w:p w14:paraId="047D32CD">
      <w:pPr>
        <w:numPr>
          <w:ilvl w:val="0"/>
          <w:numId w:val="0"/>
        </w:numPr>
        <w:jc w:val="both"/>
      </w:pPr>
      <w:r>
        <w:drawing>
          <wp:inline distT="0" distB="0" distL="114300" distR="114300">
            <wp:extent cx="5312410" cy="2560955"/>
            <wp:effectExtent l="0" t="0" r="254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312410" cy="2560955"/>
                    </a:xfrm>
                    <a:prstGeom prst="rect">
                      <a:avLst/>
                    </a:prstGeom>
                    <a:noFill/>
                    <a:ln>
                      <a:noFill/>
                    </a:ln>
                  </pic:spPr>
                </pic:pic>
              </a:graphicData>
            </a:graphic>
          </wp:inline>
        </w:drawing>
      </w:r>
    </w:p>
    <w:p w14:paraId="77D7BBA2">
      <w:pPr>
        <w:numPr>
          <w:ilvl w:val="0"/>
          <w:numId w:val="0"/>
        </w:numPr>
        <w:jc w:val="center"/>
        <w:rPr>
          <w:rFonts w:hint="eastAsia"/>
          <w:lang w:val="en-US" w:eastAsia="zh-CN"/>
        </w:rPr>
      </w:pPr>
      <w:r>
        <w:rPr>
          <w:rFonts w:hint="eastAsia"/>
          <w:lang w:val="en-US" w:eastAsia="zh-CN"/>
        </w:rPr>
        <w:t>图1 计算机学院本科生教学平台2025詹天佑学院公共课教学实践示例</w:t>
      </w:r>
    </w:p>
    <w:p w14:paraId="1AFB4CEB">
      <w:pPr>
        <w:numPr>
          <w:ilvl w:val="0"/>
          <w:numId w:val="0"/>
        </w:numPr>
        <w:jc w:val="center"/>
      </w:pPr>
      <w:r>
        <w:drawing>
          <wp:inline distT="0" distB="0" distL="114300" distR="114300">
            <wp:extent cx="5257800" cy="226568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57800" cy="2265680"/>
                    </a:xfrm>
                    <a:prstGeom prst="rect">
                      <a:avLst/>
                    </a:prstGeom>
                    <a:noFill/>
                    <a:ln>
                      <a:noFill/>
                    </a:ln>
                  </pic:spPr>
                </pic:pic>
              </a:graphicData>
            </a:graphic>
          </wp:inline>
        </w:drawing>
      </w:r>
    </w:p>
    <w:p w14:paraId="4B798A42">
      <w:pPr>
        <w:numPr>
          <w:ilvl w:val="0"/>
          <w:numId w:val="0"/>
        </w:numPr>
        <w:jc w:val="center"/>
        <w:rPr>
          <w:rFonts w:hint="default" w:eastAsiaTheme="minorEastAsia"/>
          <w:lang w:val="en-US" w:eastAsia="zh-CN"/>
        </w:rPr>
      </w:pPr>
      <w:r>
        <w:rPr>
          <w:rFonts w:hint="eastAsia"/>
          <w:lang w:val="en-US" w:eastAsia="zh-CN"/>
        </w:rPr>
        <w:t>图2  北京交通大学程序设计竞赛平强2025詹天佑学院期中练习示例</w:t>
      </w:r>
    </w:p>
    <w:p w14:paraId="68074F4B">
      <w:pPr>
        <w:numPr>
          <w:ilvl w:val="0"/>
          <w:numId w:val="0"/>
        </w:numPr>
        <w:ind w:firstLine="480" w:firstLineChars="200"/>
        <w:jc w:val="both"/>
        <w:rPr>
          <w:rFonts w:hint="eastAsia"/>
          <w:b w:val="0"/>
          <w:bCs w:val="0"/>
          <w:sz w:val="24"/>
          <w:szCs w:val="24"/>
          <w:lang w:val="en-US" w:eastAsia="zh-CN"/>
        </w:rPr>
      </w:pPr>
    </w:p>
    <w:p w14:paraId="3044F24D">
      <w:pPr>
        <w:numPr>
          <w:ilvl w:val="0"/>
          <w:numId w:val="0"/>
        </w:numPr>
        <w:ind w:firstLine="480" w:firstLineChars="200"/>
        <w:jc w:val="both"/>
        <w:rPr>
          <w:rFonts w:hint="default"/>
          <w:b w:val="0"/>
          <w:bCs w:val="0"/>
          <w:sz w:val="24"/>
          <w:szCs w:val="24"/>
          <w:lang w:val="en-US" w:eastAsia="zh-CN"/>
        </w:rPr>
      </w:pPr>
    </w:p>
    <w:p w14:paraId="3C2F6965">
      <w:pPr>
        <w:numPr>
          <w:ilvl w:val="0"/>
          <w:numId w:val="0"/>
        </w:numPr>
        <w:ind w:firstLine="480" w:firstLineChars="200"/>
        <w:jc w:val="both"/>
        <w:rPr>
          <w:rFonts w:hint="default"/>
          <w:b w:val="0"/>
          <w:bCs w:val="0"/>
          <w:sz w:val="24"/>
          <w:szCs w:val="24"/>
          <w:lang w:val="en-US" w:eastAsia="zh-CN"/>
        </w:rPr>
      </w:pPr>
    </w:p>
    <w:p w14:paraId="47A3EDA8">
      <w:pPr>
        <w:numPr>
          <w:ilvl w:val="0"/>
          <w:numId w:val="1"/>
        </w:numPr>
        <w:ind w:left="0" w:leftChars="0" w:firstLine="480" w:firstLineChars="200"/>
        <w:jc w:val="both"/>
        <w:rPr>
          <w:rFonts w:hint="eastAsia"/>
          <w:b w:val="0"/>
          <w:bCs w:val="0"/>
          <w:sz w:val="24"/>
          <w:szCs w:val="24"/>
          <w:lang w:val="en-US" w:eastAsia="zh-CN"/>
        </w:rPr>
      </w:pPr>
      <w:r>
        <w:rPr>
          <w:rFonts w:hint="eastAsia"/>
          <w:b w:val="0"/>
          <w:bCs w:val="0"/>
          <w:sz w:val="24"/>
          <w:szCs w:val="24"/>
          <w:lang w:val="en-US" w:eastAsia="zh-CN"/>
        </w:rPr>
        <w:t>为强化学生的算法思维，课程组围绕数据挖掘十大经典算法之一的k-means算法，设置了实践与调研任务（详见压缩包内材料）。要求学生自主实现k-means算法，并探究其在实际应用中可能存在的问题及解决方案。该任务面向学有余力的同学，旨在提供以研究为导向的综合训练。</w:t>
      </w:r>
    </w:p>
    <w:p w14:paraId="5E042C1E">
      <w:pPr>
        <w:numPr>
          <w:numId w:val="0"/>
        </w:numPr>
        <w:ind w:leftChars="200"/>
        <w:jc w:val="both"/>
        <w:rPr>
          <w:rFonts w:hint="eastAsia"/>
          <w:b w:val="0"/>
          <w:bCs w:val="0"/>
          <w:sz w:val="24"/>
          <w:szCs w:val="24"/>
          <w:lang w:val="en-US" w:eastAsia="zh-CN"/>
        </w:rPr>
      </w:pPr>
      <w:bookmarkStart w:id="0" w:name="_GoBack"/>
      <w:bookmarkEnd w:id="0"/>
    </w:p>
    <w:p w14:paraId="250D208A">
      <w:pPr>
        <w:numPr>
          <w:numId w:val="0"/>
        </w:numPr>
        <w:ind w:firstLine="480" w:firstLineChars="200"/>
        <w:jc w:val="both"/>
        <w:rPr>
          <w:rFonts w:hint="eastAsia"/>
          <w:b w:val="0"/>
          <w:bCs w:val="0"/>
          <w:sz w:val="24"/>
          <w:szCs w:val="24"/>
          <w:lang w:val="en-US" w:eastAsia="zh-CN"/>
        </w:rPr>
      </w:pPr>
      <w:r>
        <w:rPr>
          <w:rFonts w:hint="eastAsia"/>
          <w:b w:val="0"/>
          <w:bCs w:val="0"/>
          <w:sz w:val="24"/>
          <w:szCs w:val="24"/>
          <w:lang w:val="en-US" w:eastAsia="zh-CN"/>
        </w:rPr>
        <w:t>在教学实践中，课程组持续探索适合詹天佑学院多学科交叉特色的程序设计教学与考核模式，逐步建立并完善练习及考试题库，以满足不同专业背景、不同能力水平学生的学习需求，帮助他们在课程中更好地衔接各自专业的发展要求。</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028C4C"/>
    <w:multiLevelType w:val="singleLevel"/>
    <w:tmpl w:val="C9028C4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Q4MGFjZTIxNTE2Mzc4NWRjOTM0MzA0MjVlYzNhZjIifQ=="/>
  </w:docVars>
  <w:rsids>
    <w:rsidRoot w:val="00000000"/>
    <w:rsid w:val="017671E5"/>
    <w:rsid w:val="3718449E"/>
    <w:rsid w:val="3E1A2543"/>
    <w:rsid w:val="3E60340F"/>
    <w:rsid w:val="6DB20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529</Words>
  <Characters>619</Characters>
  <Lines>0</Lines>
  <Paragraphs>0</Paragraphs>
  <TotalTime>27</TotalTime>
  <ScaleCrop>false</ScaleCrop>
  <LinksUpToDate>false</LinksUpToDate>
  <CharactersWithSpaces>619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2021-12-09T03:22:00Z</dcterms:created>
  <dc:creator>dell</dc:creator>
  <cp:lastModifiedBy>贾彩燕</cp:lastModifiedBy>
  <dcterms:modified xsi:type="dcterms:W3CDTF">2025-12-04T02:57:11Z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B8076D1A4212405393B7985C90A7D728</vt:lpwstr>
  </property>
  <property fmtid="{D5CDD505-2E9C-101B-9397-08002B2CF9AE}" pid="4" name="KSOTemplateDocerSaveRecord">
    <vt:lpwstr>eyJoZGlkIjoiMzEwNTM5NzYwMDRjMzkwZTVkZjY2ODkwMGIxNGU0OTUiLCJ1c2VySWQiOiIxMTQ4OTAyMzM4In0=</vt:lpwstr>
  </property>
</Properties>
</file>