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7D3A1C">
      <w:pPr>
        <w:pStyle w:val="2"/>
        <w:numPr>
          <w:numId w:val="0"/>
        </w:numPr>
        <w:bidi w:val="0"/>
        <w:ind w:leftChars="0"/>
        <w:rPr>
          <w:rFonts w:hint="eastAsia"/>
          <w:lang w:val="en-US" w:eastAsia="zh-CN"/>
        </w:rPr>
      </w:pPr>
      <w:bookmarkStart w:id="0" w:name="_Toc1144264028"/>
      <w:r>
        <w:rPr>
          <w:rFonts w:hint="eastAsia"/>
          <w:lang w:val="en-US" w:eastAsia="zh-CN"/>
        </w:rPr>
        <w:t>1</w:t>
      </w:r>
      <w:bookmarkStart w:id="39" w:name="_GoBack"/>
      <w:bookmarkEnd w:id="39"/>
      <w:r>
        <w:rPr>
          <w:rFonts w:hint="eastAsia"/>
          <w:lang w:val="en-US" w:eastAsia="zh-CN"/>
        </w:rPr>
        <w:t>典型走滑断裂带大地电磁二维反演与电性结构分析</w:t>
      </w:r>
      <w:bookmarkEnd w:id="0"/>
    </w:p>
    <w:p w14:paraId="3F39C4B9">
      <w:pPr>
        <w:pStyle w:val="3"/>
        <w:bidi w:val="0"/>
        <w:rPr>
          <w:rFonts w:hint="eastAsia"/>
          <w:lang w:val="en-US" w:eastAsia="zh-CN"/>
        </w:rPr>
      </w:pPr>
      <w:bookmarkStart w:id="1" w:name="_Toc929459711"/>
      <w:r>
        <w:rPr>
          <w:rFonts w:hint="eastAsia"/>
          <w:lang w:val="en-US" w:eastAsia="zh-CN"/>
        </w:rPr>
        <w:t>实验目的与原理</w:t>
      </w:r>
      <w:bookmarkEnd w:id="1"/>
    </w:p>
    <w:p w14:paraId="2225B737">
      <w:pPr>
        <w:widowControl w:val="0"/>
        <w:numPr>
          <w:ilvl w:val="0"/>
          <w:numId w:val="0"/>
        </w:numPr>
        <w:adjustRightInd w:val="0"/>
        <w:snapToGrid w:val="0"/>
        <w:spacing w:line="360" w:lineRule="auto"/>
        <w:ind w:firstLine="420" w:firstLineChars="200"/>
        <w:jc w:val="both"/>
        <w:rPr>
          <w:rFonts w:hint="eastAsia"/>
          <w:lang w:val="en-US" w:eastAsia="zh-CN"/>
        </w:rPr>
      </w:pPr>
      <w:r>
        <w:rPr>
          <w:rFonts w:hint="eastAsia"/>
          <w:lang w:val="en-US" w:eastAsia="zh-CN"/>
        </w:rPr>
        <w:t>本实验以圣安德烈斯断裂（SAF，San Andreas Fault）和阿尔金断裂（ATF，Altyn Tagh Fault）两条典型大型走滑断裂为对象，通过二维大地电磁反演获得断裂带地下电阻率结构，并结合已有研究对高、低阻异常及其构造意义进行分析。并且通过调整反演参数、比较不同反演模式和测点处理方案，认识二维 MT 反演方法及其结果的不确定性，并进一步理解大型走滑断裂的深部结构特征。</w:t>
      </w:r>
    </w:p>
    <w:p w14:paraId="75A91F2B">
      <w:pPr>
        <w:widowControl w:val="0"/>
        <w:numPr>
          <w:ilvl w:val="0"/>
          <w:numId w:val="0"/>
        </w:numPr>
        <w:adjustRightInd w:val="0"/>
        <w:snapToGrid w:val="0"/>
        <w:spacing w:line="360" w:lineRule="auto"/>
        <w:ind w:firstLine="420" w:firstLineChars="200"/>
        <w:jc w:val="both"/>
        <w:rPr>
          <w:rFonts w:hint="default"/>
          <w:lang w:val="en-US" w:eastAsia="zh-CN"/>
        </w:rPr>
      </w:pPr>
      <w:r>
        <w:rPr>
          <w:rFonts w:hint="eastAsia"/>
          <w:lang w:val="en-US" w:eastAsia="zh-CN"/>
        </w:rPr>
        <w:t>大地电磁法（MT，Magnetotelluric Method）利用天然变化电磁场探测地下电性结构。不同频率的电磁信号具有不同的探测深度，其中高频主要反映浅部结构，低频能够探测更深部介质。通过地表观测得到的电磁响应进行反演，可以将不同频率下的响应转换为地下电阻率随位置和深度的分布。本实验采用二维 MT 反演，在兼顾观测数据拟合程度和模型平滑性的基础上获得电阻率模型，并据此识别断裂带附近的主要电性异常。</w:t>
      </w:r>
    </w:p>
    <w:p w14:paraId="6BE2FAC4">
      <w:pPr>
        <w:rPr>
          <w:rFonts w:hint="default"/>
          <w:lang w:val="en-US" w:eastAsia="zh-CN"/>
        </w:rPr>
      </w:pPr>
    </w:p>
    <w:p w14:paraId="42C863B0">
      <w:pPr>
        <w:pStyle w:val="3"/>
        <w:bidi w:val="0"/>
        <w:rPr>
          <w:rFonts w:hint="eastAsia"/>
          <w:lang w:val="en-US" w:eastAsia="zh-CN"/>
        </w:rPr>
      </w:pPr>
      <w:bookmarkStart w:id="2" w:name="_Toc633314499"/>
      <w:r>
        <w:rPr>
          <w:rFonts w:hint="eastAsia"/>
          <w:lang w:val="en-US" w:eastAsia="zh-CN"/>
        </w:rPr>
        <w:t>数据处理与二维反演方法</w:t>
      </w:r>
      <w:bookmarkEnd w:id="2"/>
    </w:p>
    <w:p w14:paraId="3198EEEE">
      <w:pPr>
        <w:rPr>
          <w:rFonts w:hint="eastAsia"/>
          <w:lang w:val="en-US" w:eastAsia="zh-CN"/>
        </w:rPr>
      </w:pPr>
      <w:r>
        <w:rPr>
          <w:rFonts w:hint="eastAsia"/>
          <w:lang w:val="en-US" w:eastAsia="zh-CN"/>
        </w:rPr>
        <w:t>（1）运行环境与基础配置</w:t>
      </w:r>
    </w:p>
    <w:p w14:paraId="4485BFE7">
      <w:pPr>
        <w:ind w:left="0" w:leftChars="0" w:firstLine="420" w:firstLineChars="200"/>
        <w:rPr>
          <w:rFonts w:hint="eastAsia"/>
          <w:lang w:val="en-US" w:eastAsia="zh-CN"/>
        </w:rPr>
      </w:pPr>
      <w:r>
        <w:rPr>
          <w:rFonts w:hint="eastAsia"/>
          <w:lang w:val="en-US" w:eastAsia="zh-CN"/>
        </w:rPr>
        <w:t>本实验采用已完成常规处理的 MT 测深 EDI 数据作为输入，基于 Docker Desktop 容器化平台（版本 v29.6.1），拉取 GeoEm 地理模拟镜像作为运行环境，并通过映射端口在本地 Jupyter Notebook（v7.5.6，Python 3.10.20 内核）中利用 Python 环境下的 MTpy 软件包进行数据读取、质量检查和可视化分析，并采用 Occam2D 方法开展二维电阻率反演。</w:t>
      </w:r>
    </w:p>
    <w:p w14:paraId="6859D9AA">
      <w:pPr>
        <w:ind w:left="0" w:leftChars="0" w:firstLine="0" w:firstLineChars="0"/>
        <w:rPr>
          <w:rFonts w:hint="default"/>
          <w:lang w:val="en-US" w:eastAsia="zh-CN"/>
        </w:rPr>
      </w:pPr>
      <w:r>
        <w:rPr>
          <w:rFonts w:hint="eastAsia"/>
          <w:lang w:val="en-US" w:eastAsia="zh-CN"/>
        </w:rPr>
        <w:t>（2）二维反演过程</w:t>
      </w:r>
    </w:p>
    <w:p w14:paraId="56BC8BCC">
      <w:pPr>
        <w:ind w:left="0" w:leftChars="0" w:firstLine="420" w:firstLineChars="200"/>
        <w:rPr>
          <w:rFonts w:hint="eastAsia"/>
          <w:lang w:val="en-US" w:eastAsia="zh-CN"/>
        </w:rPr>
      </w:pPr>
      <w:r>
        <w:rPr>
          <w:rFonts w:hint="eastAsia"/>
          <w:lang w:val="en-US" w:eastAsia="zh-CN"/>
        </w:rPr>
        <w:t>本次二维反演实验采用 Occam2D 方法开展。为比较不同数据模式对二维电性结构反演结果的影响，本实验分别进行了不同模式的反演。由于各模式的基本处理流程相同，本文以ATF中拟合效果较好的 TM 模式反演为例介绍具体反演过程。</w:t>
      </w:r>
    </w:p>
    <w:p w14:paraId="2C375317">
      <w:pPr>
        <w:ind w:left="0" w:leftChars="0" w:firstLine="420" w:firstLineChars="200"/>
        <w:rPr>
          <w:rFonts w:hint="eastAsia"/>
          <w:lang w:val="en-US" w:eastAsia="zh-CN"/>
        </w:rPr>
      </w:pPr>
      <w:r>
        <w:rPr>
          <w:rFonts w:hint="eastAsia"/>
          <w:lang w:val="en-US" w:eastAsia="zh-CN"/>
        </w:rPr>
        <w:t>首先对测线上的 MT 数据进行预处理。本次共采用 21 个测站的数据，站点分布如</w:t>
      </w:r>
      <w:r>
        <w:rPr>
          <w:rFonts w:hint="eastAsia"/>
          <w:lang w:val="en-US" w:eastAsia="zh-CN"/>
        </w:rPr>
        <w:fldChar w:fldCharType="begin"/>
      </w:r>
      <w:r>
        <w:rPr>
          <w:rFonts w:hint="eastAsia"/>
          <w:lang w:val="en-US" w:eastAsia="zh-CN"/>
        </w:rPr>
        <w:instrText xml:space="preserve"> REF _Ref329585703 \h </w:instrText>
      </w:r>
      <w:r>
        <w:rPr>
          <w:rFonts w:hint="eastAsia"/>
          <w:lang w:val="en-US" w:eastAsia="zh-CN"/>
        </w:rPr>
        <w:fldChar w:fldCharType="separate"/>
      </w:r>
      <w:r>
        <w:t xml:space="preserve">图 </w:t>
      </w:r>
      <w:r>
        <w:fldChar w:fldCharType="begin"/>
      </w:r>
      <w:r>
        <w:instrText xml:space="preserve"> STYLEREF 1 \s </w:instrText>
      </w:r>
      <w:r>
        <w:fldChar w:fldCharType="separate"/>
      </w:r>
      <w:r>
        <w:t>5</w:t>
      </w:r>
      <w:r>
        <w:fldChar w:fldCharType="end"/>
      </w:r>
      <w:r>
        <w:rPr>
          <w:rFonts w:hint="eastAsia"/>
          <w:lang w:eastAsia="zh-CN"/>
        </w:rPr>
        <w:t>-</w:t>
      </w:r>
      <w:r>
        <w:t>1</w:t>
      </w:r>
      <w:r>
        <w:rPr>
          <w:rFonts w:hint="eastAsia"/>
          <w:lang w:val="en-US" w:eastAsia="zh-CN"/>
        </w:rPr>
        <w:fldChar w:fldCharType="end"/>
      </w:r>
      <w:r>
        <w:rPr>
          <w:rFonts w:hint="eastAsia"/>
          <w:lang w:val="en-US" w:eastAsia="zh-CN"/>
        </w:rPr>
        <w:t>。反演前对阻抗张量进行旋转，使其与区域地电走向及剖面方向相匹配。其中，区域电性走向角设置为 87°，剖面方向角设置为 177°，二者相差约 90°，表明剖面方向基本垂直于区域电性走向，符合二维 MT 反演中测线尽量垂直于主要电性走向的基本要求。</w:t>
      </w:r>
    </w:p>
    <w:p w14:paraId="23FFBDE1">
      <w:pPr>
        <w:ind w:left="0" w:leftChars="0" w:firstLine="0" w:firstLineChars="0"/>
        <w:jc w:val="center"/>
        <w:rPr>
          <w:rFonts w:hint="eastAsia"/>
          <w:lang w:val="en-US" w:eastAsia="zh-CN"/>
        </w:rPr>
      </w:pPr>
      <w:r>
        <w:rPr>
          <w:rFonts w:hint="eastAsia"/>
          <w:lang w:val="en-US" w:eastAsia="zh-CN"/>
        </w:rPr>
        <w:drawing>
          <wp:inline distT="0" distB="0" distL="114300" distR="114300">
            <wp:extent cx="4214495" cy="3101975"/>
            <wp:effectExtent l="0" t="0" r="1905" b="22225"/>
            <wp:docPr id="30" name="图片 30" descr="AT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ATF"/>
                    <pic:cNvPicPr>
                      <a:picLocks noChangeAspect="1"/>
                    </pic:cNvPicPr>
                  </pic:nvPicPr>
                  <pic:blipFill>
                    <a:blip r:embed="rId8"/>
                    <a:stretch>
                      <a:fillRect/>
                    </a:stretch>
                  </pic:blipFill>
                  <pic:spPr>
                    <a:xfrm>
                      <a:off x="0" y="0"/>
                      <a:ext cx="4214495" cy="3101975"/>
                    </a:xfrm>
                    <a:prstGeom prst="rect">
                      <a:avLst/>
                    </a:prstGeom>
                  </pic:spPr>
                </pic:pic>
              </a:graphicData>
            </a:graphic>
          </wp:inline>
        </w:drawing>
      </w:r>
    </w:p>
    <w:p w14:paraId="545BF608">
      <w:pPr>
        <w:pStyle w:val="9"/>
        <w:ind w:left="0" w:leftChars="0" w:firstLine="0" w:firstLineChars="0"/>
        <w:jc w:val="center"/>
        <w:rPr>
          <w:rFonts w:hint="eastAsia"/>
          <w:lang w:val="en-US" w:eastAsia="zh-CN"/>
        </w:rPr>
      </w:pPr>
      <w:bookmarkStart w:id="3" w:name="_Ref329585703"/>
      <w:r>
        <w:t xml:space="preserve">图 </w:t>
      </w:r>
      <w:r>
        <w:fldChar w:fldCharType="begin"/>
      </w:r>
      <w:r>
        <w:instrText xml:space="preserve"> STYLEREF 1 \s </w:instrText>
      </w:r>
      <w:r>
        <w:fldChar w:fldCharType="separate"/>
      </w:r>
      <w:r>
        <w:t>5</w:t>
      </w:r>
      <w:r>
        <w:fldChar w:fldCharType="end"/>
      </w:r>
      <w:r>
        <w:rPr>
          <w:rFonts w:hint="eastAsia"/>
          <w:lang w:eastAsia="zh-CN"/>
        </w:rPr>
        <w:t>-</w:t>
      </w:r>
      <w:r>
        <w:fldChar w:fldCharType="begin"/>
      </w:r>
      <w:r>
        <w:instrText xml:space="preserve"> SEQ 图 \* ARABIC \s 1 </w:instrText>
      </w:r>
      <w:r>
        <w:fldChar w:fldCharType="separate"/>
      </w:r>
      <w:r>
        <w:t>1</w:t>
      </w:r>
      <w:r>
        <w:fldChar w:fldCharType="end"/>
      </w:r>
      <w:bookmarkEnd w:id="3"/>
      <w:bookmarkStart w:id="4" w:name="_Toc1141326978"/>
      <w:r>
        <w:rPr>
          <w:rFonts w:hint="eastAsia"/>
          <w:lang w:val="en-US" w:eastAsia="zh-CN"/>
        </w:rPr>
        <w:t xml:space="preserve"> 阿尔金断裂台站分布</w:t>
      </w:r>
      <w:bookmarkEnd w:id="4"/>
    </w:p>
    <w:p w14:paraId="3D0F9E70">
      <w:pPr>
        <w:ind w:left="0" w:leftChars="0" w:firstLine="420" w:firstLineChars="200"/>
        <w:rPr>
          <w:rFonts w:hint="eastAsia"/>
          <w:lang w:val="en-US" w:eastAsia="zh-CN"/>
        </w:rPr>
      </w:pPr>
      <w:r>
        <w:rPr>
          <w:rFonts w:hint="eastAsia"/>
          <w:lang w:val="en-US" w:eastAsia="zh-CN"/>
        </w:rPr>
        <w:t>反演数据选取 20 个对数等间隔频点，频率范围为 0.001-17.38 Hz，对应周期约为 1000-0.058 s。不同频率的电磁场具有不同的探测深度，高频数据主要反映较浅部的电性结构，而低频数据对深部结构更加敏感，因此该频率范围能够同时对浅部及中深部电性结构提供约束。</w:t>
      </w:r>
    </w:p>
    <w:p w14:paraId="0AC04F21">
      <w:pPr>
        <w:ind w:left="0" w:leftChars="0" w:firstLine="420" w:firstLineChars="200"/>
        <w:rPr>
          <w:rFonts w:hint="eastAsia"/>
          <w:lang w:val="en-US" w:eastAsia="zh-CN"/>
        </w:rPr>
      </w:pPr>
      <w:r>
        <w:rPr>
          <w:rFonts w:hint="eastAsia"/>
          <w:lang w:val="en-US" w:eastAsia="zh-CN"/>
        </w:rPr>
        <w:t>本次采用 TM 单模式反演（TM_only，model mode = 6），即仅使用 TM 模式的视电阻率和相位数据参与反演，不加入 TE 模式及 Tipper 数据。数据误差方面，TM 视电阻率误差设置为 10%，相位误差设置为 5%。在 Occam2D 反演中，误差大小决定相应数据在目标函数中的权重，误差越小，相应数据所占权重越大。该误差设置能够在保证主要观测特征得到拟合的同时，避免反演模型过度追随局部噪声。</w:t>
      </w:r>
    </w:p>
    <w:p w14:paraId="3BB24F8D">
      <w:pPr>
        <w:ind w:left="0" w:leftChars="0" w:firstLine="420" w:firstLineChars="200"/>
        <w:rPr>
          <w:rFonts w:hint="eastAsia"/>
          <w:lang w:val="en-US" w:eastAsia="zh-CN"/>
        </w:rPr>
      </w:pPr>
      <w:r>
        <w:rPr>
          <w:rFonts w:hint="eastAsia"/>
          <w:lang w:val="en-US" w:eastAsia="zh-CN"/>
        </w:rPr>
        <w:t>模型离散方面，水平方向基本网格宽度设置为 600 m，垂向设置 40 层，第一层厚度为 20 m；目标解释深度设置为 100 km，深部边界参数设置为 200 km，同时在测线两端设置逐渐加宽的扩展网格，以减小模型边界对研究区内部反演结果的影响。最终用于反演的模型包含 1709 个自由参数。这种网格设置使浅部具有相对较高的空间分辨率，并为中深部结构提供足够的模型空间。</w:t>
      </w:r>
    </w:p>
    <w:p w14:paraId="2988FC57">
      <w:pPr>
        <w:ind w:left="0" w:leftChars="0" w:firstLine="420" w:firstLineChars="200"/>
        <w:rPr>
          <w:rFonts w:hint="eastAsia"/>
          <w:lang w:val="en-US" w:eastAsia="zh-CN"/>
        </w:rPr>
      </w:pPr>
      <w:r>
        <w:rPr>
          <w:rFonts w:hint="eastAsia"/>
          <w:lang w:val="en-US" w:eastAsia="zh-CN"/>
        </w:rPr>
        <w:t>反演采用均一半空间作为初始模型，初始电阻率设置为 100 Ω·m（见</w:t>
      </w:r>
      <w:r>
        <w:rPr>
          <w:rFonts w:hint="eastAsia"/>
          <w:lang w:val="en-US" w:eastAsia="zh-CN"/>
        </w:rPr>
        <w:fldChar w:fldCharType="begin"/>
      </w:r>
      <w:r>
        <w:rPr>
          <w:rFonts w:hint="eastAsia"/>
          <w:lang w:val="en-US" w:eastAsia="zh-CN"/>
        </w:rPr>
        <w:instrText xml:space="preserve"> REF _Ref353821397 \h </w:instrText>
      </w:r>
      <w:r>
        <w:rPr>
          <w:rFonts w:hint="eastAsia"/>
          <w:lang w:val="en-US" w:eastAsia="zh-CN"/>
        </w:rPr>
        <w:fldChar w:fldCharType="separate"/>
      </w:r>
      <w:r>
        <w:t xml:space="preserve">表 </w:t>
      </w:r>
      <w:r>
        <w:fldChar w:fldCharType="begin"/>
      </w:r>
      <w:r>
        <w:instrText xml:space="preserve"> STYLEREF 1 \s </w:instrText>
      </w:r>
      <w:r>
        <w:fldChar w:fldCharType="separate"/>
      </w:r>
      <w:r>
        <w:t>5</w:t>
      </w:r>
      <w:r>
        <w:fldChar w:fldCharType="end"/>
      </w:r>
      <w:r>
        <w:rPr>
          <w:rFonts w:hint="eastAsia"/>
          <w:lang w:eastAsia="zh-CN"/>
        </w:rPr>
        <w:t>-</w:t>
      </w:r>
      <w:r>
        <w:t>1</w:t>
      </w:r>
      <w:r>
        <w:rPr>
          <w:rFonts w:hint="eastAsia"/>
          <w:lang w:val="en-US" w:eastAsia="zh-CN"/>
        </w:rPr>
        <w:fldChar w:fldCharType="end"/>
      </w:r>
      <w:r>
        <w:rPr>
          <w:rFonts w:hint="eastAsia"/>
          <w:lang w:val="en-US" w:eastAsia="zh-CN"/>
        </w:rPr>
        <w:t>），即 log10ρ=2.0。最大迭代次数设置为 30 次，目标 RMS 拟合差设为 1.2。初始模型的 RMS misfit 约为 6.49，随着迭代进行，观测数据与模型响应之间的失配逐渐降低。最终反演进行至第 14 次迭代，RMS misfit 降至 1.306，模型粗糙度为 194.48，步长为 2.38×10⁻²。此时 RMS 已非常接近预设目标值 1.2，相比初始模型显著降低，说明 TM 数据与二维模型之间获得了较好的拟合。程序同时提示拟合差可能已经接近当前参数设置下能够达到的最低水平，因此最终采用第 14 次迭代模型作为 TM 模式的反演结果。</w:t>
      </w:r>
    </w:p>
    <w:p w14:paraId="254B2B33">
      <w:pPr>
        <w:ind w:left="0" w:leftChars="0" w:firstLine="420" w:firstLineChars="200"/>
        <w:rPr>
          <w:rFonts w:hint="eastAsia"/>
          <w:lang w:val="en-US" w:eastAsia="zh-CN"/>
        </w:rPr>
      </w:pPr>
    </w:p>
    <w:p w14:paraId="557ABA92">
      <w:pPr>
        <w:pStyle w:val="9"/>
        <w:rPr>
          <w:rFonts w:hint="eastAsia" w:eastAsia="仿宋"/>
          <w:lang w:val="en-US" w:eastAsia="zh-CN"/>
        </w:rPr>
      </w:pPr>
      <w:bookmarkStart w:id="5" w:name="_Ref353821397"/>
      <w:r>
        <w:t xml:space="preserve">表 </w:t>
      </w:r>
      <w:r>
        <w:fldChar w:fldCharType="begin"/>
      </w:r>
      <w:r>
        <w:instrText xml:space="preserve"> STYLEREF 1 \s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1</w:t>
      </w:r>
      <w:r>
        <w:fldChar w:fldCharType="end"/>
      </w:r>
      <w:bookmarkEnd w:id="5"/>
      <w:bookmarkStart w:id="6" w:name="_Toc1696652618"/>
      <w:r>
        <w:rPr>
          <w:rFonts w:hint="eastAsia"/>
          <w:lang w:val="en-US" w:eastAsia="zh-CN"/>
        </w:rPr>
        <w:t xml:space="preserve"> TM 模式二维反演主要参数及结果</w:t>
      </w:r>
      <w:bookmarkEnd w:id="6"/>
    </w:p>
    <w:tbl>
      <w:tblPr>
        <w:tblStyle w:val="23"/>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59"/>
        <w:gridCol w:w="4535"/>
      </w:tblGrid>
      <w:tr w14:paraId="09A9BE04">
        <w:trPr>
          <w:tblHeader/>
          <w:tblCellSpacing w:w="15" w:type="dxa"/>
          <w:jc w:val="center"/>
        </w:trPr>
        <w:tc>
          <w:tcPr>
            <w:tcW w:w="2114" w:type="dxa"/>
            <w:tcBorders>
              <w:top w:val="single" w:color="auto" w:sz="18" w:space="0"/>
              <w:bottom w:val="single" w:color="auto" w:sz="12" w:space="0"/>
            </w:tcBorders>
            <w:shd w:val="clear" w:color="auto" w:fill="auto"/>
            <w:vAlign w:val="center"/>
          </w:tcPr>
          <w:p w14:paraId="44BE944B">
            <w:pPr>
              <w:rPr>
                <w:rFonts w:hint="eastAsia"/>
                <w:lang w:val="en-US" w:eastAsia="zh-CN"/>
              </w:rPr>
            </w:pPr>
            <w:r>
              <w:rPr>
                <w:rFonts w:hint="eastAsia"/>
                <w:lang w:val="en-US" w:eastAsia="zh-CN"/>
              </w:rPr>
              <w:t>类别</w:t>
            </w:r>
          </w:p>
        </w:tc>
        <w:tc>
          <w:tcPr>
            <w:tcW w:w="4490" w:type="dxa"/>
            <w:tcBorders>
              <w:top w:val="single" w:color="auto" w:sz="18" w:space="0"/>
              <w:bottom w:val="single" w:color="auto" w:sz="12" w:space="0"/>
            </w:tcBorders>
            <w:shd w:val="clear" w:color="auto" w:fill="auto"/>
            <w:vAlign w:val="center"/>
          </w:tcPr>
          <w:p w14:paraId="188BCF7C">
            <w:pPr>
              <w:rPr>
                <w:rFonts w:hint="eastAsia"/>
                <w:lang w:val="en-US" w:eastAsia="zh-CN"/>
              </w:rPr>
            </w:pPr>
            <w:r>
              <w:rPr>
                <w:rFonts w:hint="eastAsia"/>
                <w:lang w:val="en-US" w:eastAsia="zh-CN"/>
              </w:rPr>
              <w:t>本次设置</w:t>
            </w:r>
          </w:p>
        </w:tc>
      </w:tr>
      <w:tr w14:paraId="074825C4">
        <w:trPr>
          <w:tblCellSpacing w:w="15" w:type="dxa"/>
          <w:jc w:val="center"/>
        </w:trPr>
        <w:tc>
          <w:tcPr>
            <w:tcW w:w="2114" w:type="dxa"/>
            <w:shd w:val="clear" w:color="auto" w:fill="auto"/>
            <w:vAlign w:val="center"/>
          </w:tcPr>
          <w:p w14:paraId="1ECCC085">
            <w:pPr>
              <w:ind w:left="0" w:leftChars="0" w:firstLine="0" w:firstLineChars="0"/>
              <w:jc w:val="left"/>
              <w:rPr>
                <w:rFonts w:hint="eastAsia"/>
                <w:lang w:val="en-US" w:eastAsia="zh-CN"/>
              </w:rPr>
            </w:pPr>
            <w:r>
              <w:rPr>
                <w:rFonts w:hint="eastAsia"/>
                <w:lang w:val="en-US" w:eastAsia="zh-CN"/>
              </w:rPr>
              <w:t>测站数</w:t>
            </w:r>
          </w:p>
        </w:tc>
        <w:tc>
          <w:tcPr>
            <w:tcW w:w="4490" w:type="dxa"/>
            <w:shd w:val="clear" w:color="auto" w:fill="auto"/>
            <w:vAlign w:val="center"/>
          </w:tcPr>
          <w:p w14:paraId="7576B542">
            <w:pPr>
              <w:rPr>
                <w:rFonts w:hint="eastAsia"/>
                <w:lang w:val="en-US" w:eastAsia="zh-CN"/>
              </w:rPr>
            </w:pPr>
            <w:r>
              <w:rPr>
                <w:rFonts w:hint="eastAsia"/>
                <w:lang w:val="en-US" w:eastAsia="zh-CN"/>
              </w:rPr>
              <w:t>21</w:t>
            </w:r>
          </w:p>
        </w:tc>
      </w:tr>
      <w:tr w14:paraId="40A0D513">
        <w:trPr>
          <w:tblCellSpacing w:w="15" w:type="dxa"/>
          <w:jc w:val="center"/>
        </w:trPr>
        <w:tc>
          <w:tcPr>
            <w:tcW w:w="2114" w:type="dxa"/>
            <w:shd w:val="clear" w:color="auto" w:fill="auto"/>
            <w:vAlign w:val="center"/>
          </w:tcPr>
          <w:p w14:paraId="56CC40E6">
            <w:pPr>
              <w:ind w:left="0" w:leftChars="0" w:firstLine="0" w:firstLineChars="0"/>
              <w:jc w:val="left"/>
              <w:rPr>
                <w:rFonts w:hint="eastAsia"/>
                <w:lang w:val="en-US" w:eastAsia="zh-CN"/>
              </w:rPr>
            </w:pPr>
            <w:r>
              <w:rPr>
                <w:rFonts w:hint="eastAsia"/>
                <w:lang w:val="en-US" w:eastAsia="zh-CN"/>
              </w:rPr>
              <w:t>反演模式</w:t>
            </w:r>
          </w:p>
        </w:tc>
        <w:tc>
          <w:tcPr>
            <w:tcW w:w="4490" w:type="dxa"/>
            <w:shd w:val="clear" w:color="auto" w:fill="auto"/>
            <w:vAlign w:val="center"/>
          </w:tcPr>
          <w:p w14:paraId="0EFE6AB8">
            <w:pPr>
              <w:rPr>
                <w:rFonts w:hint="eastAsia"/>
                <w:lang w:val="en-US" w:eastAsia="zh-CN"/>
              </w:rPr>
            </w:pPr>
            <w:r>
              <w:rPr>
                <w:rFonts w:hint="eastAsia"/>
                <w:lang w:val="en-US" w:eastAsia="zh-CN"/>
              </w:rPr>
              <w:t>TM 单模式反演（TM_only）</w:t>
            </w:r>
          </w:p>
        </w:tc>
      </w:tr>
      <w:tr w14:paraId="007F1D07">
        <w:trPr>
          <w:tblCellSpacing w:w="15" w:type="dxa"/>
          <w:jc w:val="center"/>
        </w:trPr>
        <w:tc>
          <w:tcPr>
            <w:tcW w:w="2114" w:type="dxa"/>
            <w:shd w:val="clear" w:color="auto" w:fill="auto"/>
            <w:vAlign w:val="center"/>
          </w:tcPr>
          <w:p w14:paraId="155E34A8">
            <w:pPr>
              <w:ind w:left="0" w:leftChars="0" w:firstLine="0" w:firstLineChars="0"/>
              <w:jc w:val="left"/>
              <w:rPr>
                <w:rFonts w:hint="eastAsia"/>
                <w:lang w:val="en-US" w:eastAsia="zh-CN"/>
              </w:rPr>
            </w:pPr>
            <w:r>
              <w:rPr>
                <w:rFonts w:hint="eastAsia"/>
                <w:lang w:val="en-US" w:eastAsia="zh-CN"/>
              </w:rPr>
              <w:t>频点数</w:t>
            </w:r>
          </w:p>
        </w:tc>
        <w:tc>
          <w:tcPr>
            <w:tcW w:w="4490" w:type="dxa"/>
            <w:shd w:val="clear" w:color="auto" w:fill="auto"/>
            <w:vAlign w:val="center"/>
          </w:tcPr>
          <w:p w14:paraId="5FEE0952">
            <w:pPr>
              <w:rPr>
                <w:rFonts w:hint="eastAsia"/>
                <w:lang w:val="en-US" w:eastAsia="zh-CN"/>
              </w:rPr>
            </w:pPr>
            <w:r>
              <w:rPr>
                <w:rFonts w:hint="eastAsia"/>
                <w:lang w:val="en-US" w:eastAsia="zh-CN"/>
              </w:rPr>
              <w:t>20</w:t>
            </w:r>
          </w:p>
        </w:tc>
      </w:tr>
      <w:tr w14:paraId="78E69650">
        <w:trPr>
          <w:tblCellSpacing w:w="15" w:type="dxa"/>
          <w:jc w:val="center"/>
        </w:trPr>
        <w:tc>
          <w:tcPr>
            <w:tcW w:w="2114" w:type="dxa"/>
            <w:shd w:val="clear" w:color="auto" w:fill="auto"/>
            <w:vAlign w:val="center"/>
          </w:tcPr>
          <w:p w14:paraId="5244D7A3">
            <w:pPr>
              <w:ind w:left="0" w:leftChars="0" w:firstLine="0" w:firstLineChars="0"/>
              <w:jc w:val="left"/>
              <w:rPr>
                <w:rFonts w:hint="eastAsia"/>
                <w:lang w:val="en-US" w:eastAsia="zh-CN"/>
              </w:rPr>
            </w:pPr>
            <w:r>
              <w:rPr>
                <w:rFonts w:hint="eastAsia"/>
                <w:lang w:val="en-US" w:eastAsia="zh-CN"/>
              </w:rPr>
              <w:t>频率范围</w:t>
            </w:r>
          </w:p>
        </w:tc>
        <w:tc>
          <w:tcPr>
            <w:tcW w:w="4490" w:type="dxa"/>
            <w:shd w:val="clear" w:color="auto" w:fill="auto"/>
            <w:vAlign w:val="center"/>
          </w:tcPr>
          <w:p w14:paraId="35C82EA2">
            <w:pPr>
              <w:rPr>
                <w:rFonts w:hint="eastAsia"/>
                <w:lang w:val="en-US" w:eastAsia="zh-CN"/>
              </w:rPr>
            </w:pPr>
            <w:r>
              <w:rPr>
                <w:rFonts w:hint="eastAsia"/>
                <w:lang w:val="en-US" w:eastAsia="zh-CN"/>
              </w:rPr>
              <w:t>0.001–17.38 Hz</w:t>
            </w:r>
          </w:p>
        </w:tc>
      </w:tr>
      <w:tr w14:paraId="58AB6E06">
        <w:trPr>
          <w:tblCellSpacing w:w="15" w:type="dxa"/>
          <w:jc w:val="center"/>
        </w:trPr>
        <w:tc>
          <w:tcPr>
            <w:tcW w:w="2114" w:type="dxa"/>
            <w:shd w:val="clear" w:color="auto" w:fill="auto"/>
            <w:vAlign w:val="center"/>
          </w:tcPr>
          <w:p w14:paraId="72610FD2">
            <w:pPr>
              <w:ind w:left="0" w:leftChars="0" w:firstLine="0" w:firstLineChars="0"/>
              <w:jc w:val="left"/>
              <w:rPr>
                <w:rFonts w:hint="eastAsia"/>
                <w:lang w:val="en-US" w:eastAsia="zh-CN"/>
              </w:rPr>
            </w:pPr>
            <w:r>
              <w:rPr>
                <w:rFonts w:hint="eastAsia"/>
                <w:lang w:val="en-US" w:eastAsia="zh-CN"/>
              </w:rPr>
              <w:t>地电走向角</w:t>
            </w:r>
          </w:p>
        </w:tc>
        <w:tc>
          <w:tcPr>
            <w:tcW w:w="4490" w:type="dxa"/>
            <w:shd w:val="clear" w:color="auto" w:fill="auto"/>
            <w:vAlign w:val="center"/>
          </w:tcPr>
          <w:p w14:paraId="12D5CE61">
            <w:pPr>
              <w:rPr>
                <w:rFonts w:hint="eastAsia"/>
                <w:lang w:val="en-US" w:eastAsia="zh-CN"/>
              </w:rPr>
            </w:pPr>
            <w:r>
              <w:rPr>
                <w:rFonts w:hint="eastAsia"/>
                <w:lang w:val="en-US" w:eastAsia="zh-CN"/>
              </w:rPr>
              <w:t>87°</w:t>
            </w:r>
          </w:p>
        </w:tc>
      </w:tr>
      <w:tr w14:paraId="048B5165">
        <w:trPr>
          <w:tblCellSpacing w:w="15" w:type="dxa"/>
          <w:jc w:val="center"/>
        </w:trPr>
        <w:tc>
          <w:tcPr>
            <w:tcW w:w="2114" w:type="dxa"/>
            <w:shd w:val="clear" w:color="auto" w:fill="auto"/>
            <w:vAlign w:val="center"/>
          </w:tcPr>
          <w:p w14:paraId="09EC542D">
            <w:pPr>
              <w:ind w:left="0" w:leftChars="0" w:firstLine="0" w:firstLineChars="0"/>
              <w:jc w:val="left"/>
              <w:rPr>
                <w:rFonts w:hint="eastAsia"/>
                <w:lang w:val="en-US" w:eastAsia="zh-CN"/>
              </w:rPr>
            </w:pPr>
            <w:r>
              <w:rPr>
                <w:rFonts w:hint="eastAsia"/>
                <w:lang w:val="en-US" w:eastAsia="zh-CN"/>
              </w:rPr>
              <w:t>剖面方向角</w:t>
            </w:r>
          </w:p>
        </w:tc>
        <w:tc>
          <w:tcPr>
            <w:tcW w:w="4490" w:type="dxa"/>
            <w:shd w:val="clear" w:color="auto" w:fill="auto"/>
            <w:vAlign w:val="center"/>
          </w:tcPr>
          <w:p w14:paraId="22586D1C">
            <w:pPr>
              <w:rPr>
                <w:rFonts w:hint="eastAsia"/>
                <w:lang w:val="en-US" w:eastAsia="zh-CN"/>
              </w:rPr>
            </w:pPr>
            <w:r>
              <w:rPr>
                <w:rFonts w:hint="eastAsia"/>
                <w:lang w:val="en-US" w:eastAsia="zh-CN"/>
              </w:rPr>
              <w:t>177°</w:t>
            </w:r>
          </w:p>
        </w:tc>
      </w:tr>
      <w:tr w14:paraId="7C0B8CCA">
        <w:trPr>
          <w:tblCellSpacing w:w="15" w:type="dxa"/>
          <w:jc w:val="center"/>
        </w:trPr>
        <w:tc>
          <w:tcPr>
            <w:tcW w:w="2114" w:type="dxa"/>
            <w:shd w:val="clear" w:color="auto" w:fill="auto"/>
            <w:vAlign w:val="center"/>
          </w:tcPr>
          <w:p w14:paraId="69CD5304">
            <w:pPr>
              <w:ind w:left="0" w:leftChars="0" w:firstLine="0" w:firstLineChars="0"/>
              <w:jc w:val="left"/>
              <w:rPr>
                <w:rFonts w:hint="eastAsia"/>
                <w:lang w:val="en-US" w:eastAsia="zh-CN"/>
              </w:rPr>
            </w:pPr>
            <w:r>
              <w:rPr>
                <w:rFonts w:hint="eastAsia"/>
                <w:lang w:val="en-US" w:eastAsia="zh-CN"/>
              </w:rPr>
              <w:t>TM视电阻率误差</w:t>
            </w:r>
          </w:p>
        </w:tc>
        <w:tc>
          <w:tcPr>
            <w:tcW w:w="4490" w:type="dxa"/>
            <w:shd w:val="clear" w:color="auto" w:fill="auto"/>
            <w:vAlign w:val="center"/>
          </w:tcPr>
          <w:p w14:paraId="6C4C2C4F">
            <w:pPr>
              <w:rPr>
                <w:rFonts w:hint="eastAsia"/>
                <w:lang w:val="en-US" w:eastAsia="zh-CN"/>
              </w:rPr>
            </w:pPr>
            <w:r>
              <w:rPr>
                <w:rFonts w:hint="eastAsia"/>
                <w:lang w:val="en-US" w:eastAsia="zh-CN"/>
              </w:rPr>
              <w:t>10%</w:t>
            </w:r>
          </w:p>
        </w:tc>
      </w:tr>
      <w:tr w14:paraId="7B99DE6D">
        <w:trPr>
          <w:tblCellSpacing w:w="15" w:type="dxa"/>
          <w:jc w:val="center"/>
        </w:trPr>
        <w:tc>
          <w:tcPr>
            <w:tcW w:w="2114" w:type="dxa"/>
            <w:shd w:val="clear" w:color="auto" w:fill="auto"/>
            <w:vAlign w:val="center"/>
          </w:tcPr>
          <w:p w14:paraId="7B971490">
            <w:pPr>
              <w:ind w:left="0" w:leftChars="0" w:firstLine="0" w:firstLineChars="0"/>
              <w:jc w:val="left"/>
              <w:rPr>
                <w:rFonts w:hint="eastAsia"/>
                <w:lang w:val="en-US" w:eastAsia="zh-CN"/>
              </w:rPr>
            </w:pPr>
            <w:r>
              <w:rPr>
                <w:rFonts w:hint="eastAsia"/>
                <w:lang w:val="en-US" w:eastAsia="zh-CN"/>
              </w:rPr>
              <w:t>TM相位误差</w:t>
            </w:r>
          </w:p>
        </w:tc>
        <w:tc>
          <w:tcPr>
            <w:tcW w:w="4490" w:type="dxa"/>
            <w:shd w:val="clear" w:color="auto" w:fill="auto"/>
            <w:vAlign w:val="center"/>
          </w:tcPr>
          <w:p w14:paraId="62438FF1">
            <w:pPr>
              <w:rPr>
                <w:rFonts w:hint="eastAsia"/>
                <w:lang w:val="en-US" w:eastAsia="zh-CN"/>
              </w:rPr>
            </w:pPr>
            <w:r>
              <w:rPr>
                <w:rFonts w:hint="eastAsia"/>
                <w:lang w:val="en-US" w:eastAsia="zh-CN"/>
              </w:rPr>
              <w:t>5%</w:t>
            </w:r>
          </w:p>
        </w:tc>
      </w:tr>
      <w:tr w14:paraId="7A28E776">
        <w:trPr>
          <w:tblCellSpacing w:w="15" w:type="dxa"/>
          <w:jc w:val="center"/>
        </w:trPr>
        <w:tc>
          <w:tcPr>
            <w:tcW w:w="2114" w:type="dxa"/>
            <w:shd w:val="clear" w:color="auto" w:fill="auto"/>
            <w:vAlign w:val="center"/>
          </w:tcPr>
          <w:p w14:paraId="3EE9FC83">
            <w:pPr>
              <w:ind w:left="0" w:leftChars="0" w:firstLine="0" w:firstLineChars="0"/>
              <w:jc w:val="left"/>
              <w:rPr>
                <w:rFonts w:hint="eastAsia"/>
                <w:lang w:val="en-US" w:eastAsia="zh-CN"/>
              </w:rPr>
            </w:pPr>
            <w:r>
              <w:rPr>
                <w:rFonts w:hint="eastAsia"/>
                <w:lang w:val="en-US" w:eastAsia="zh-CN"/>
              </w:rPr>
              <w:t>初始模型</w:t>
            </w:r>
          </w:p>
        </w:tc>
        <w:tc>
          <w:tcPr>
            <w:tcW w:w="4490" w:type="dxa"/>
            <w:shd w:val="clear" w:color="auto" w:fill="auto"/>
            <w:vAlign w:val="center"/>
          </w:tcPr>
          <w:p w14:paraId="1D236D6F">
            <w:pPr>
              <w:rPr>
                <w:rFonts w:hint="eastAsia"/>
                <w:lang w:val="en-US" w:eastAsia="zh-CN"/>
              </w:rPr>
            </w:pPr>
            <w:r>
              <w:rPr>
                <w:rFonts w:hint="eastAsia"/>
                <w:lang w:val="en-US" w:eastAsia="zh-CN"/>
              </w:rPr>
              <w:t>100 Ω·m 均匀半空间</w:t>
            </w:r>
          </w:p>
        </w:tc>
      </w:tr>
      <w:tr w14:paraId="5B61921B">
        <w:trPr>
          <w:tblCellSpacing w:w="15" w:type="dxa"/>
          <w:jc w:val="center"/>
        </w:trPr>
        <w:tc>
          <w:tcPr>
            <w:tcW w:w="2114" w:type="dxa"/>
            <w:shd w:val="clear" w:color="auto" w:fill="auto"/>
            <w:vAlign w:val="center"/>
          </w:tcPr>
          <w:p w14:paraId="699D907D">
            <w:pPr>
              <w:ind w:left="0" w:leftChars="0" w:firstLine="0" w:firstLineChars="0"/>
              <w:jc w:val="left"/>
              <w:rPr>
                <w:rFonts w:hint="eastAsia"/>
                <w:lang w:val="en-US" w:eastAsia="zh-CN"/>
              </w:rPr>
            </w:pPr>
            <w:r>
              <w:rPr>
                <w:rFonts w:hint="eastAsia"/>
                <w:lang w:val="en-US" w:eastAsia="zh-CN"/>
              </w:rPr>
              <w:t>水平基本网格宽度</w:t>
            </w:r>
          </w:p>
        </w:tc>
        <w:tc>
          <w:tcPr>
            <w:tcW w:w="4490" w:type="dxa"/>
            <w:shd w:val="clear" w:color="auto" w:fill="auto"/>
            <w:vAlign w:val="center"/>
          </w:tcPr>
          <w:p w14:paraId="530B514A">
            <w:pPr>
              <w:rPr>
                <w:rFonts w:hint="eastAsia"/>
                <w:lang w:val="en-US" w:eastAsia="zh-CN"/>
              </w:rPr>
            </w:pPr>
            <w:r>
              <w:rPr>
                <w:rFonts w:hint="eastAsia"/>
                <w:lang w:val="en-US" w:eastAsia="zh-CN"/>
              </w:rPr>
              <w:t>600 m</w:t>
            </w:r>
          </w:p>
        </w:tc>
      </w:tr>
      <w:tr w14:paraId="03AFD019">
        <w:trPr>
          <w:tblCellSpacing w:w="15" w:type="dxa"/>
          <w:jc w:val="center"/>
        </w:trPr>
        <w:tc>
          <w:tcPr>
            <w:tcW w:w="2114" w:type="dxa"/>
            <w:shd w:val="clear" w:color="auto" w:fill="auto"/>
            <w:vAlign w:val="center"/>
          </w:tcPr>
          <w:p w14:paraId="36328865">
            <w:pPr>
              <w:ind w:left="0" w:leftChars="0" w:firstLine="0" w:firstLineChars="0"/>
              <w:jc w:val="left"/>
              <w:rPr>
                <w:rFonts w:hint="eastAsia"/>
                <w:lang w:val="en-US" w:eastAsia="zh-CN"/>
              </w:rPr>
            </w:pPr>
            <w:r>
              <w:rPr>
                <w:rFonts w:hint="eastAsia"/>
                <w:lang w:val="en-US" w:eastAsia="zh-CN"/>
              </w:rPr>
              <w:t>垂向网格</w:t>
            </w:r>
          </w:p>
        </w:tc>
        <w:tc>
          <w:tcPr>
            <w:tcW w:w="4490" w:type="dxa"/>
            <w:shd w:val="clear" w:color="auto" w:fill="auto"/>
            <w:vAlign w:val="center"/>
          </w:tcPr>
          <w:p w14:paraId="68DA8912">
            <w:pPr>
              <w:rPr>
                <w:rFonts w:hint="eastAsia"/>
                <w:lang w:val="en-US" w:eastAsia="zh-CN"/>
              </w:rPr>
            </w:pPr>
            <w:r>
              <w:rPr>
                <w:rFonts w:hint="eastAsia"/>
                <w:lang w:val="en-US" w:eastAsia="zh-CN"/>
              </w:rPr>
              <w:t>40 层，首层厚度 20 m</w:t>
            </w:r>
          </w:p>
        </w:tc>
      </w:tr>
      <w:tr w14:paraId="1DA8B306">
        <w:trPr>
          <w:tblCellSpacing w:w="15" w:type="dxa"/>
          <w:jc w:val="center"/>
        </w:trPr>
        <w:tc>
          <w:tcPr>
            <w:tcW w:w="2114" w:type="dxa"/>
            <w:tcBorders>
              <w:bottom w:val="single" w:color="auto" w:sz="18" w:space="0"/>
            </w:tcBorders>
            <w:shd w:val="clear" w:color="auto" w:fill="auto"/>
            <w:vAlign w:val="center"/>
          </w:tcPr>
          <w:p w14:paraId="2D0E6A02">
            <w:pPr>
              <w:ind w:left="0" w:leftChars="0" w:firstLine="0" w:firstLineChars="0"/>
              <w:jc w:val="left"/>
              <w:rPr>
                <w:rFonts w:hint="eastAsia"/>
                <w:lang w:val="en-US" w:eastAsia="zh-CN"/>
              </w:rPr>
            </w:pPr>
            <w:r>
              <w:rPr>
                <w:rFonts w:hint="eastAsia"/>
                <w:lang w:val="en-US" w:eastAsia="zh-CN"/>
              </w:rPr>
              <w:t>目标解释深度</w:t>
            </w:r>
          </w:p>
        </w:tc>
        <w:tc>
          <w:tcPr>
            <w:tcW w:w="4490" w:type="dxa"/>
            <w:tcBorders>
              <w:bottom w:val="single" w:color="auto" w:sz="18" w:space="0"/>
            </w:tcBorders>
            <w:shd w:val="clear" w:color="auto" w:fill="auto"/>
            <w:vAlign w:val="center"/>
          </w:tcPr>
          <w:p w14:paraId="34AF9C80">
            <w:pPr>
              <w:rPr>
                <w:rFonts w:hint="eastAsia"/>
                <w:lang w:val="en-US" w:eastAsia="zh-CN"/>
              </w:rPr>
            </w:pPr>
            <w:r>
              <w:rPr>
                <w:rFonts w:hint="eastAsia"/>
                <w:lang w:val="en-US" w:eastAsia="zh-CN"/>
              </w:rPr>
              <w:t>100 km</w:t>
            </w:r>
          </w:p>
        </w:tc>
      </w:tr>
    </w:tbl>
    <w:p w14:paraId="0CCB77A0">
      <w:pPr>
        <w:rPr>
          <w:rFonts w:hint="eastAsia"/>
          <w:lang w:val="en-US" w:eastAsia="zh-CN"/>
        </w:rPr>
      </w:pPr>
    </w:p>
    <w:p w14:paraId="5D7E3BE7">
      <w:pPr>
        <w:numPr>
          <w:ilvl w:val="0"/>
          <w:numId w:val="6"/>
        </w:numPr>
        <w:ind w:left="0" w:leftChars="0" w:firstLine="0" w:firstLineChars="0"/>
        <w:rPr>
          <w:rFonts w:hint="eastAsia"/>
          <w:lang w:val="en-US" w:eastAsia="zh-CN"/>
        </w:rPr>
      </w:pPr>
      <w:r>
        <w:rPr>
          <w:rFonts w:hint="eastAsia"/>
          <w:lang w:val="en-US" w:eastAsia="zh-CN"/>
        </w:rPr>
        <w:t>过程图件分析</w:t>
      </w:r>
    </w:p>
    <w:p w14:paraId="0A46EF21">
      <w:pPr>
        <w:numPr>
          <w:ilvl w:val="0"/>
          <w:numId w:val="0"/>
        </w:numPr>
        <w:ind w:leftChars="0" w:firstLine="420" w:firstLineChars="200"/>
        <w:rPr>
          <w:rFonts w:hint="eastAsia"/>
          <w:lang w:val="en-US" w:eastAsia="zh-CN"/>
        </w:rPr>
      </w:pPr>
      <w:r>
        <w:rPr>
          <w:rFonts w:hint="eastAsia"/>
          <w:lang w:val="en-US" w:eastAsia="zh-CN"/>
        </w:rPr>
        <w:t>下面以ATF的TM反演模式为例进行分析。首先读取EDI格式的MT观测数据，并对单个测点的视电阻率和阻抗相位曲线进行检查。以QLM22c测点为例，其不同阻抗分量的视电阻率和相位随周期变化总体连续（如</w:t>
      </w:r>
      <w:r>
        <w:rPr>
          <w:rFonts w:hint="eastAsia"/>
          <w:lang w:val="en-US" w:eastAsia="zh-CN"/>
        </w:rPr>
        <w:fldChar w:fldCharType="begin"/>
      </w:r>
      <w:r>
        <w:rPr>
          <w:rFonts w:hint="eastAsia"/>
          <w:lang w:val="en-US" w:eastAsia="zh-CN"/>
        </w:rPr>
        <w:instrText xml:space="preserve"> REF _Ref330173948 \h </w:instrText>
      </w:r>
      <w:r>
        <w:rPr>
          <w:rFonts w:hint="eastAsia"/>
          <w:lang w:val="en-US" w:eastAsia="zh-CN"/>
        </w:rPr>
        <w:fldChar w:fldCharType="separate"/>
      </w:r>
      <w:r>
        <w:t xml:space="preserve">图 </w:t>
      </w:r>
      <w:r>
        <w:fldChar w:fldCharType="begin"/>
      </w:r>
      <w:r>
        <w:instrText xml:space="preserve"> STYLEREF 1 \s </w:instrText>
      </w:r>
      <w:r>
        <w:fldChar w:fldCharType="separate"/>
      </w:r>
      <w:r>
        <w:t>5</w:t>
      </w:r>
      <w:r>
        <w:fldChar w:fldCharType="end"/>
      </w:r>
      <w:r>
        <w:rPr>
          <w:rFonts w:hint="eastAsia"/>
          <w:lang w:eastAsia="zh-CN"/>
        </w:rPr>
        <w:t>-</w:t>
      </w:r>
      <w:r>
        <w:t>2</w:t>
      </w:r>
      <w:r>
        <w:rPr>
          <w:rFonts w:hint="eastAsia"/>
          <w:lang w:val="en-US" w:eastAsia="zh-CN"/>
        </w:rPr>
        <w:fldChar w:fldCharType="end"/>
      </w:r>
      <w:r>
        <w:rPr>
          <w:rFonts w:hint="eastAsia"/>
          <w:lang w:val="en-US" w:eastAsia="zh-CN"/>
        </w:rPr>
        <w:t>），可据此初步了解数据随频率的变化特征，并检查数据质量，为后续剖面分析和二维反演提供基础。李满等（2020）在阿尔金断裂昌马段 MT 数据处理中，利用 RhoPlus 检验视电阻率和相位曲线的合理性，并对近场效应、“飞点”及部分异常相位数据进行了筛除</w:t>
      </w:r>
      <w:r>
        <w:rPr>
          <w:rFonts w:hint="default"/>
          <w:vertAlign w:val="superscript"/>
          <w:lang w:val="en-US" w:eastAsia="zh-CN"/>
        </w:rPr>
        <w:t>[10]</w:t>
      </w:r>
      <w:r>
        <w:rPr>
          <w:rFonts w:hint="eastAsia"/>
          <w:lang w:val="en-US" w:eastAsia="zh-CN"/>
        </w:rPr>
        <w:t>。参考这一思想，本实验后续进一步通过剔除可疑测点并重复反演，检验异常数据对最终模型的影响。</w:t>
      </w:r>
    </w:p>
    <w:p w14:paraId="6E646156">
      <w:pPr>
        <w:numPr>
          <w:ilvl w:val="0"/>
          <w:numId w:val="0"/>
        </w:numPr>
        <w:ind w:leftChars="0"/>
        <w:rPr>
          <w:rFonts w:hint="eastAsia"/>
          <w:lang w:val="en-US" w:eastAsia="zh-CN"/>
        </w:rPr>
      </w:pPr>
    </w:p>
    <w:p w14:paraId="4D45EB37">
      <w:pPr>
        <w:numPr>
          <w:ilvl w:val="0"/>
          <w:numId w:val="0"/>
        </w:numPr>
        <w:ind w:leftChars="0"/>
        <w:jc w:val="center"/>
        <w:rPr>
          <w:rFonts w:hint="default"/>
          <w:lang w:val="en-US" w:eastAsia="zh-CN"/>
        </w:rPr>
      </w:pPr>
      <w:r>
        <w:rPr>
          <w:rFonts w:hint="default"/>
          <w:lang w:val="en-US" w:eastAsia="zh-CN"/>
        </w:rPr>
        <w:drawing>
          <wp:inline distT="0" distB="0" distL="114300" distR="114300">
            <wp:extent cx="3437890" cy="3353435"/>
            <wp:effectExtent l="0" t="0" r="16510" b="24765"/>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pic:cNvPicPr>
                      <a:picLocks noChangeAspect="1"/>
                    </pic:cNvPicPr>
                  </pic:nvPicPr>
                  <pic:blipFill>
                    <a:blip r:embed="rId9"/>
                    <a:stretch>
                      <a:fillRect/>
                    </a:stretch>
                  </pic:blipFill>
                  <pic:spPr>
                    <a:xfrm>
                      <a:off x="0" y="0"/>
                      <a:ext cx="3437890" cy="3353435"/>
                    </a:xfrm>
                    <a:prstGeom prst="rect">
                      <a:avLst/>
                    </a:prstGeom>
                    <a:noFill/>
                    <a:ln>
                      <a:noFill/>
                    </a:ln>
                  </pic:spPr>
                </pic:pic>
              </a:graphicData>
            </a:graphic>
          </wp:inline>
        </w:drawing>
      </w:r>
    </w:p>
    <w:p w14:paraId="201F9C42">
      <w:pPr>
        <w:pStyle w:val="9"/>
        <w:numPr>
          <w:ilvl w:val="0"/>
          <w:numId w:val="0"/>
        </w:numPr>
        <w:ind w:leftChars="0"/>
        <w:rPr>
          <w:rFonts w:hint="default"/>
          <w:lang w:val="en-US" w:eastAsia="zh-CN"/>
        </w:rPr>
      </w:pPr>
      <w:bookmarkStart w:id="7" w:name="_Ref330173948"/>
      <w:r>
        <w:t xml:space="preserve">图 </w:t>
      </w:r>
      <w:r>
        <w:fldChar w:fldCharType="begin"/>
      </w:r>
      <w:r>
        <w:instrText xml:space="preserve"> STYLEREF 1 \s </w:instrText>
      </w:r>
      <w:r>
        <w:fldChar w:fldCharType="separate"/>
      </w:r>
      <w:r>
        <w:t>5</w:t>
      </w:r>
      <w:r>
        <w:fldChar w:fldCharType="end"/>
      </w:r>
      <w:r>
        <w:rPr>
          <w:rFonts w:hint="eastAsia"/>
          <w:lang w:eastAsia="zh-CN"/>
        </w:rPr>
        <w:t>-</w:t>
      </w:r>
      <w:r>
        <w:fldChar w:fldCharType="begin"/>
      </w:r>
      <w:r>
        <w:instrText xml:space="preserve"> SEQ 图 \* ARABIC \s 1 </w:instrText>
      </w:r>
      <w:r>
        <w:fldChar w:fldCharType="separate"/>
      </w:r>
      <w:r>
        <w:t>2</w:t>
      </w:r>
      <w:r>
        <w:fldChar w:fldCharType="end"/>
      </w:r>
      <w:bookmarkEnd w:id="7"/>
      <w:bookmarkStart w:id="8" w:name="_Toc503035500"/>
      <w:r>
        <w:rPr>
          <w:rFonts w:hint="eastAsia"/>
          <w:lang w:val="en-US" w:eastAsia="zh-CN"/>
        </w:rPr>
        <w:t xml:space="preserve"> QLM22c测点视电阻率与阻抗相位曲线</w:t>
      </w:r>
      <w:bookmarkEnd w:id="8"/>
    </w:p>
    <w:p w14:paraId="24169CC4">
      <w:pPr>
        <w:numPr>
          <w:ilvl w:val="0"/>
          <w:numId w:val="0"/>
        </w:numPr>
        <w:ind w:leftChars="0"/>
        <w:rPr>
          <w:rFonts w:hint="eastAsia"/>
          <w:lang w:val="en-US" w:eastAsia="zh-CN"/>
        </w:rPr>
      </w:pPr>
    </w:p>
    <w:p w14:paraId="41723376">
      <w:pPr>
        <w:numPr>
          <w:ilvl w:val="0"/>
          <w:numId w:val="0"/>
        </w:numPr>
        <w:ind w:leftChars="0" w:firstLine="420" w:firstLineChars="200"/>
        <w:rPr>
          <w:rFonts w:hint="eastAsia"/>
          <w:lang w:val="en-US" w:eastAsia="zh-CN"/>
        </w:rPr>
      </w:pPr>
      <w:r>
        <w:rPr>
          <w:rFonts w:hint="eastAsia"/>
          <w:lang w:val="en-US" w:eastAsia="zh-CN"/>
        </w:rPr>
        <w:t>在单测点数据检查的基础上，将全部21个MT测点沿剖面排列，绘制视电阻率和阻抗相位拟断面（如</w:t>
      </w:r>
      <w:r>
        <w:rPr>
          <w:rFonts w:hint="eastAsia"/>
          <w:lang w:val="en-US" w:eastAsia="zh-CN"/>
        </w:rPr>
        <w:fldChar w:fldCharType="begin"/>
      </w:r>
      <w:r>
        <w:rPr>
          <w:rFonts w:hint="eastAsia"/>
          <w:lang w:val="en-US" w:eastAsia="zh-CN"/>
        </w:rPr>
        <w:instrText xml:space="preserve"> REF _Ref330476474 \h </w:instrText>
      </w:r>
      <w:r>
        <w:rPr>
          <w:rFonts w:hint="eastAsia"/>
          <w:lang w:val="en-US" w:eastAsia="zh-CN"/>
        </w:rPr>
        <w:fldChar w:fldCharType="separate"/>
      </w:r>
      <w:r>
        <w:t xml:space="preserve">图 </w:t>
      </w:r>
      <w:r>
        <w:fldChar w:fldCharType="begin"/>
      </w:r>
      <w:r>
        <w:instrText xml:space="preserve"> STYLEREF 1 \s </w:instrText>
      </w:r>
      <w:r>
        <w:fldChar w:fldCharType="separate"/>
      </w:r>
      <w:r>
        <w:t>5</w:t>
      </w:r>
      <w:r>
        <w:fldChar w:fldCharType="end"/>
      </w:r>
      <w:r>
        <w:rPr>
          <w:rFonts w:hint="eastAsia"/>
          <w:lang w:eastAsia="zh-CN"/>
        </w:rPr>
        <w:t>-</w:t>
      </w:r>
      <w:r>
        <w:t>3</w:t>
      </w:r>
      <w:r>
        <w:rPr>
          <w:rFonts w:hint="eastAsia"/>
          <w:lang w:val="en-US" w:eastAsia="zh-CN"/>
        </w:rPr>
        <w:fldChar w:fldCharType="end"/>
      </w:r>
      <w:r>
        <w:rPr>
          <w:rFonts w:hint="eastAsia"/>
          <w:lang w:val="en-US" w:eastAsia="zh-CN"/>
        </w:rPr>
        <w:t>）。拟断面能够直观反映电磁响应在测线方向及不同周期范围内的变化，为识别剖面电性结构的横向差异和确定后续反演参数提供参考。图中不同测点和周期范围的视电阻率与相位存在明显变化，表明测线下方电性结构具有一定的空间非均一性。</w:t>
      </w:r>
    </w:p>
    <w:p w14:paraId="759A1941">
      <w:pPr>
        <w:numPr>
          <w:ilvl w:val="0"/>
          <w:numId w:val="0"/>
        </w:numPr>
        <w:ind w:leftChars="0"/>
        <w:jc w:val="center"/>
        <w:rPr>
          <w:rFonts w:hint="eastAsia"/>
          <w:lang w:val="en-US" w:eastAsia="zh-CN"/>
        </w:rPr>
      </w:pPr>
      <w:r>
        <w:rPr>
          <w:rFonts w:hint="eastAsia"/>
          <w:lang w:val="en-US" w:eastAsia="zh-CN"/>
        </w:rPr>
        <w:drawing>
          <wp:inline distT="0" distB="0" distL="114300" distR="114300">
            <wp:extent cx="4369435" cy="2256155"/>
            <wp:effectExtent l="0" t="0" r="24765" b="4445"/>
            <wp:docPr id="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4"/>
                    <pic:cNvPicPr>
                      <a:picLocks noChangeAspect="1"/>
                    </pic:cNvPicPr>
                  </pic:nvPicPr>
                  <pic:blipFill>
                    <a:blip r:embed="rId10"/>
                    <a:stretch>
                      <a:fillRect/>
                    </a:stretch>
                  </pic:blipFill>
                  <pic:spPr>
                    <a:xfrm>
                      <a:off x="0" y="0"/>
                      <a:ext cx="4369435" cy="2256155"/>
                    </a:xfrm>
                    <a:prstGeom prst="rect">
                      <a:avLst/>
                    </a:prstGeom>
                    <a:noFill/>
                    <a:ln>
                      <a:noFill/>
                    </a:ln>
                  </pic:spPr>
                </pic:pic>
              </a:graphicData>
            </a:graphic>
          </wp:inline>
        </w:drawing>
      </w:r>
    </w:p>
    <w:p w14:paraId="38CAED6B">
      <w:pPr>
        <w:pStyle w:val="9"/>
        <w:numPr>
          <w:ilvl w:val="0"/>
          <w:numId w:val="0"/>
        </w:numPr>
        <w:ind w:leftChars="0"/>
        <w:rPr>
          <w:rFonts w:hint="eastAsia"/>
          <w:lang w:val="en-US" w:eastAsia="zh-CN"/>
        </w:rPr>
      </w:pPr>
      <w:bookmarkStart w:id="9" w:name="_Ref330476474"/>
      <w:r>
        <w:t xml:space="preserve">图 </w:t>
      </w:r>
      <w:r>
        <w:fldChar w:fldCharType="begin"/>
      </w:r>
      <w:r>
        <w:instrText xml:space="preserve"> STYLEREF 1 \s </w:instrText>
      </w:r>
      <w:r>
        <w:fldChar w:fldCharType="separate"/>
      </w:r>
      <w:r>
        <w:t>5</w:t>
      </w:r>
      <w:r>
        <w:fldChar w:fldCharType="end"/>
      </w:r>
      <w:r>
        <w:rPr>
          <w:rFonts w:hint="eastAsia"/>
          <w:lang w:eastAsia="zh-CN"/>
        </w:rPr>
        <w:t>-</w:t>
      </w:r>
      <w:r>
        <w:fldChar w:fldCharType="begin"/>
      </w:r>
      <w:r>
        <w:instrText xml:space="preserve"> SEQ 图 \* ARABIC \s 1 </w:instrText>
      </w:r>
      <w:r>
        <w:fldChar w:fldCharType="separate"/>
      </w:r>
      <w:r>
        <w:t>3</w:t>
      </w:r>
      <w:r>
        <w:fldChar w:fldCharType="end"/>
      </w:r>
      <w:bookmarkEnd w:id="9"/>
      <w:bookmarkStart w:id="10" w:name="_Toc59037981"/>
      <w:r>
        <w:rPr>
          <w:rFonts w:hint="eastAsia"/>
          <w:lang w:val="en-US" w:eastAsia="zh-CN"/>
        </w:rPr>
        <w:t>阿尔金断裂MT测线视电阻率与阻抗相位拟断面</w:t>
      </w:r>
      <w:bookmarkEnd w:id="10"/>
    </w:p>
    <w:p w14:paraId="13D56219">
      <w:pPr>
        <w:numPr>
          <w:ilvl w:val="0"/>
          <w:numId w:val="0"/>
        </w:numPr>
        <w:ind w:leftChars="0" w:firstLine="420" w:firstLineChars="200"/>
        <w:rPr>
          <w:rFonts w:hint="eastAsia"/>
          <w:lang w:val="en-US" w:eastAsia="zh-CN"/>
        </w:rPr>
      </w:pPr>
      <w:r>
        <w:rPr>
          <w:rFonts w:hint="eastAsia"/>
          <w:lang w:val="en-US" w:eastAsia="zh-CN"/>
        </w:rPr>
        <w:t>为进一步分析测区电性结构的维性特征，对各测点计算相位张量并绘制相位张量-感应箭头拟断面（如</w:t>
      </w:r>
      <w:r>
        <w:rPr>
          <w:rFonts w:hint="eastAsia"/>
          <w:lang w:val="en-US" w:eastAsia="zh-CN"/>
        </w:rPr>
        <w:fldChar w:fldCharType="begin"/>
      </w:r>
      <w:r>
        <w:rPr>
          <w:rFonts w:hint="eastAsia"/>
          <w:lang w:val="en-US" w:eastAsia="zh-CN"/>
        </w:rPr>
        <w:instrText xml:space="preserve"> REF _Ref331669771 \h </w:instrText>
      </w:r>
      <w:r>
        <w:rPr>
          <w:rFonts w:hint="eastAsia"/>
          <w:lang w:val="en-US" w:eastAsia="zh-CN"/>
        </w:rPr>
        <w:fldChar w:fldCharType="separate"/>
      </w:r>
      <w:r>
        <w:t xml:space="preserve">图 </w:t>
      </w:r>
      <w:r>
        <w:fldChar w:fldCharType="begin"/>
      </w:r>
      <w:r>
        <w:instrText xml:space="preserve"> STYLEREF 1 \s </w:instrText>
      </w:r>
      <w:r>
        <w:fldChar w:fldCharType="separate"/>
      </w:r>
      <w:r>
        <w:t>5</w:t>
      </w:r>
      <w:r>
        <w:fldChar w:fldCharType="end"/>
      </w:r>
      <w:r>
        <w:rPr>
          <w:rFonts w:hint="eastAsia"/>
          <w:lang w:eastAsia="zh-CN"/>
        </w:rPr>
        <w:t>-</w:t>
      </w:r>
      <w:r>
        <w:t>4</w:t>
      </w:r>
      <w:r>
        <w:rPr>
          <w:rFonts w:hint="eastAsia"/>
          <w:lang w:val="en-US" w:eastAsia="zh-CN"/>
        </w:rPr>
        <w:fldChar w:fldCharType="end"/>
      </w:r>
      <w:r>
        <w:rPr>
          <w:rFonts w:hint="eastAsia"/>
          <w:lang w:val="en-US" w:eastAsia="zh-CN"/>
        </w:rPr>
        <w:t>）。相位张量具有对常见电场静态畸变不敏感的特点，可用于分析区域电性结构的维性和主方向，其椭圆的形态和偏斜角（skew angle）可以反映地下电性结构的二维或三维特征</w:t>
      </w:r>
      <w:r>
        <w:rPr>
          <w:rFonts w:hint="default"/>
          <w:vertAlign w:val="superscript"/>
          <w:lang w:val="en-US" w:eastAsia="zh-CN"/>
        </w:rPr>
        <w:t>[11-12]</w:t>
      </w:r>
      <w:r>
        <w:rPr>
          <w:rFonts w:hint="eastAsia"/>
          <w:lang w:val="en-US" w:eastAsia="zh-CN"/>
        </w:rPr>
        <w:t>。实验中以偏斜角作为辅助判断依据，较大的偏斜角（大于约3°）表明局部可能存在较明显的三维效应，可以作为存在三维效应的参考指标。</w:t>
      </w:r>
    </w:p>
    <w:p w14:paraId="585D557F">
      <w:pPr>
        <w:numPr>
          <w:ilvl w:val="0"/>
          <w:numId w:val="0"/>
        </w:numPr>
        <w:ind w:leftChars="0"/>
        <w:jc w:val="center"/>
        <w:rPr>
          <w:rFonts w:hint="default"/>
          <w:lang w:val="en-US" w:eastAsia="zh-CN"/>
        </w:rPr>
      </w:pPr>
      <w:r>
        <w:rPr>
          <w:rFonts w:hint="default"/>
          <w:lang w:val="en-US" w:eastAsia="zh-CN"/>
        </w:rPr>
        <w:drawing>
          <wp:inline distT="0" distB="0" distL="114300" distR="114300">
            <wp:extent cx="4056380" cy="2550795"/>
            <wp:effectExtent l="0" t="0" r="7620" b="14605"/>
            <wp:docPr id="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
                    <pic:cNvPicPr>
                      <a:picLocks noChangeAspect="1"/>
                    </pic:cNvPicPr>
                  </pic:nvPicPr>
                  <pic:blipFill>
                    <a:blip r:embed="rId11"/>
                    <a:stretch>
                      <a:fillRect/>
                    </a:stretch>
                  </pic:blipFill>
                  <pic:spPr>
                    <a:xfrm>
                      <a:off x="0" y="0"/>
                      <a:ext cx="4056380" cy="2550795"/>
                    </a:xfrm>
                    <a:prstGeom prst="rect">
                      <a:avLst/>
                    </a:prstGeom>
                    <a:noFill/>
                    <a:ln>
                      <a:noFill/>
                    </a:ln>
                  </pic:spPr>
                </pic:pic>
              </a:graphicData>
            </a:graphic>
          </wp:inline>
        </w:drawing>
      </w:r>
    </w:p>
    <w:p w14:paraId="4FEEFE36">
      <w:pPr>
        <w:pStyle w:val="9"/>
        <w:numPr>
          <w:ilvl w:val="0"/>
          <w:numId w:val="0"/>
        </w:numPr>
        <w:ind w:leftChars="0"/>
        <w:rPr>
          <w:rFonts w:hint="default"/>
          <w:lang w:val="en-US" w:eastAsia="zh-CN"/>
        </w:rPr>
      </w:pPr>
      <w:bookmarkStart w:id="11" w:name="_Ref331669771"/>
      <w:r>
        <w:t xml:space="preserve">图 </w:t>
      </w:r>
      <w:r>
        <w:fldChar w:fldCharType="begin"/>
      </w:r>
      <w:r>
        <w:instrText xml:space="preserve"> STYLEREF 1 \s </w:instrText>
      </w:r>
      <w:r>
        <w:fldChar w:fldCharType="separate"/>
      </w:r>
      <w:r>
        <w:t>5</w:t>
      </w:r>
      <w:r>
        <w:fldChar w:fldCharType="end"/>
      </w:r>
      <w:r>
        <w:rPr>
          <w:rFonts w:hint="eastAsia"/>
          <w:lang w:eastAsia="zh-CN"/>
        </w:rPr>
        <w:t>-</w:t>
      </w:r>
      <w:r>
        <w:fldChar w:fldCharType="begin"/>
      </w:r>
      <w:r>
        <w:instrText xml:space="preserve"> SEQ 图 \* ARABIC \s 1 </w:instrText>
      </w:r>
      <w:r>
        <w:fldChar w:fldCharType="separate"/>
      </w:r>
      <w:r>
        <w:t>4</w:t>
      </w:r>
      <w:r>
        <w:fldChar w:fldCharType="end"/>
      </w:r>
      <w:bookmarkEnd w:id="11"/>
      <w:bookmarkStart w:id="12" w:name="_Toc938833194"/>
      <w:r>
        <w:rPr>
          <w:rFonts w:hint="eastAsia"/>
          <w:lang w:val="en-US" w:eastAsia="zh-CN"/>
        </w:rPr>
        <w:t xml:space="preserve"> MT测线相位张量与感应箭头拟断面</w:t>
      </w:r>
      <w:bookmarkEnd w:id="12"/>
    </w:p>
    <w:p w14:paraId="399B3005">
      <w:pPr>
        <w:ind w:left="0" w:leftChars="0" w:firstLine="420" w:firstLineChars="200"/>
        <w:rPr>
          <w:rFonts w:hint="eastAsia"/>
          <w:lang w:val="en-US" w:eastAsia="zh-CN"/>
        </w:rPr>
      </w:pPr>
      <w:r>
        <w:rPr>
          <w:rFonts w:hint="eastAsia"/>
          <w:lang w:val="en-US" w:eastAsia="zh-CN"/>
        </w:rPr>
        <w:t>二维反演要求将实际分布的MT测点投影至统一剖面线上。本实验根据测点空间分布设置剖面方位角（profile_angle）为177°，并将测点投影到二维剖面，同时将阻抗数据旋转至相应的大地电构造坐标系，其中设定大地电走向（geoelectric_strike）为87°。投影后的测点位置（如</w:t>
      </w:r>
      <w:r>
        <w:rPr>
          <w:rFonts w:hint="eastAsia"/>
          <w:lang w:val="en-US" w:eastAsia="zh-CN"/>
        </w:rPr>
        <w:fldChar w:fldCharType="begin"/>
      </w:r>
      <w:r>
        <w:rPr>
          <w:rFonts w:hint="eastAsia"/>
          <w:lang w:val="en-US" w:eastAsia="zh-CN"/>
        </w:rPr>
        <w:instrText xml:space="preserve"> REF _Ref332291630 \h </w:instrText>
      </w:r>
      <w:r>
        <w:rPr>
          <w:rFonts w:hint="eastAsia"/>
          <w:lang w:val="en-US" w:eastAsia="zh-CN"/>
        </w:rPr>
        <w:fldChar w:fldCharType="separate"/>
      </w:r>
      <w:r>
        <w:t xml:space="preserve">图 </w:t>
      </w:r>
      <w:r>
        <w:fldChar w:fldCharType="begin"/>
      </w:r>
      <w:r>
        <w:instrText xml:space="preserve"> STYLEREF 1 \s </w:instrText>
      </w:r>
      <w:r>
        <w:fldChar w:fldCharType="separate"/>
      </w:r>
      <w:r>
        <w:t>5</w:t>
      </w:r>
      <w:r>
        <w:fldChar w:fldCharType="end"/>
      </w:r>
      <w:r>
        <w:rPr>
          <w:rFonts w:hint="eastAsia"/>
          <w:lang w:eastAsia="zh-CN"/>
        </w:rPr>
        <w:t>-</w:t>
      </w:r>
      <w:r>
        <w:t>5</w:t>
      </w:r>
      <w:r>
        <w:rPr>
          <w:rFonts w:hint="eastAsia"/>
          <w:lang w:val="en-US" w:eastAsia="zh-CN"/>
        </w:rPr>
        <w:fldChar w:fldCharType="end"/>
      </w:r>
      <w:r>
        <w:rPr>
          <w:rFonts w:hint="eastAsia"/>
          <w:lang w:val="en-US" w:eastAsia="zh-CN"/>
        </w:rPr>
        <w:t>）作为Occam2D反演中的水平位置输入。</w:t>
      </w:r>
    </w:p>
    <w:p w14:paraId="7ABFAC60">
      <w:pPr>
        <w:ind w:left="0" w:leftChars="0" w:firstLine="0" w:firstLineChars="0"/>
        <w:jc w:val="center"/>
        <w:rPr>
          <w:rFonts w:hint="eastAsia"/>
          <w:lang w:val="en-US" w:eastAsia="zh-CN"/>
        </w:rPr>
      </w:pPr>
      <w:r>
        <w:rPr>
          <w:rFonts w:hint="eastAsia"/>
          <w:lang w:val="en-US" w:eastAsia="zh-CN"/>
        </w:rPr>
        <w:drawing>
          <wp:inline distT="0" distB="0" distL="114300" distR="114300">
            <wp:extent cx="1678940" cy="3940810"/>
            <wp:effectExtent l="0" t="0" r="22860" b="21590"/>
            <wp:docPr id="28"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6" descr="IMG_256"/>
                    <pic:cNvPicPr>
                      <a:picLocks noChangeAspect="1"/>
                    </pic:cNvPicPr>
                  </pic:nvPicPr>
                  <pic:blipFill>
                    <a:blip r:embed="rId12"/>
                    <a:stretch>
                      <a:fillRect/>
                    </a:stretch>
                  </pic:blipFill>
                  <pic:spPr>
                    <a:xfrm>
                      <a:off x="0" y="0"/>
                      <a:ext cx="1678940" cy="3940810"/>
                    </a:xfrm>
                    <a:prstGeom prst="rect">
                      <a:avLst/>
                    </a:prstGeom>
                    <a:noFill/>
                    <a:ln w="9525">
                      <a:noFill/>
                    </a:ln>
                  </pic:spPr>
                </pic:pic>
              </a:graphicData>
            </a:graphic>
          </wp:inline>
        </w:drawing>
      </w:r>
    </w:p>
    <w:p w14:paraId="1AED6D63">
      <w:pPr>
        <w:pStyle w:val="9"/>
        <w:ind w:left="0" w:leftChars="0" w:firstLine="0" w:firstLineChars="0"/>
        <w:rPr>
          <w:rFonts w:hint="eastAsia"/>
          <w:lang w:val="en-US" w:eastAsia="zh-CN"/>
        </w:rPr>
      </w:pPr>
      <w:bookmarkStart w:id="13" w:name="_Ref332291630"/>
      <w:r>
        <w:t xml:space="preserve">图 </w:t>
      </w:r>
      <w:r>
        <w:fldChar w:fldCharType="begin"/>
      </w:r>
      <w:r>
        <w:instrText xml:space="preserve"> STYLEREF 1 \s </w:instrText>
      </w:r>
      <w:r>
        <w:fldChar w:fldCharType="separate"/>
      </w:r>
      <w:r>
        <w:t>5</w:t>
      </w:r>
      <w:r>
        <w:fldChar w:fldCharType="end"/>
      </w:r>
      <w:r>
        <w:rPr>
          <w:rFonts w:hint="eastAsia"/>
          <w:lang w:eastAsia="zh-CN"/>
        </w:rPr>
        <w:t>-</w:t>
      </w:r>
      <w:r>
        <w:fldChar w:fldCharType="begin"/>
      </w:r>
      <w:r>
        <w:instrText xml:space="preserve"> SEQ 图 \* ARABIC \s 1 </w:instrText>
      </w:r>
      <w:r>
        <w:fldChar w:fldCharType="separate"/>
      </w:r>
      <w:r>
        <w:t>5</w:t>
      </w:r>
      <w:r>
        <w:fldChar w:fldCharType="end"/>
      </w:r>
      <w:bookmarkEnd w:id="13"/>
      <w:bookmarkStart w:id="14" w:name="_Toc1662461779"/>
      <w:r>
        <w:rPr>
          <w:rFonts w:hint="eastAsia"/>
          <w:lang w:val="en-US" w:eastAsia="zh-CN"/>
        </w:rPr>
        <w:t xml:space="preserve"> MT测点原始位置与二维剖面投影位置</w:t>
      </w:r>
      <w:bookmarkEnd w:id="14"/>
    </w:p>
    <w:p w14:paraId="7E55B251">
      <w:pPr>
        <w:pStyle w:val="9"/>
        <w:ind w:left="0" w:leftChars="0" w:firstLine="0" w:firstLineChars="0"/>
        <w:rPr>
          <w:rFonts w:hint="eastAsia"/>
          <w:lang w:val="en-US" w:eastAsia="zh-CN"/>
        </w:rPr>
      </w:pPr>
    </w:p>
    <w:p w14:paraId="2CCAF01C">
      <w:pPr>
        <w:ind w:left="0" w:leftChars="0" w:firstLine="420" w:firstLineChars="200"/>
        <w:rPr>
          <w:rFonts w:hint="eastAsia"/>
          <w:lang w:val="en-US" w:eastAsia="zh-CN"/>
        </w:rPr>
      </w:pPr>
      <w:r>
        <w:rPr>
          <w:rFonts w:hint="eastAsia"/>
          <w:lang w:val="en-US" w:eastAsia="zh-CN"/>
        </w:rPr>
        <w:t>在完成数据旋转和测点投影后，采用Occam2D建立二维反演模型网格（如</w:t>
      </w:r>
      <w:r>
        <w:rPr>
          <w:rFonts w:hint="eastAsia"/>
          <w:lang w:val="en-US" w:eastAsia="zh-CN"/>
        </w:rPr>
        <w:fldChar w:fldCharType="begin"/>
      </w:r>
      <w:r>
        <w:rPr>
          <w:rFonts w:hint="eastAsia"/>
          <w:lang w:val="en-US" w:eastAsia="zh-CN"/>
        </w:rPr>
        <w:instrText xml:space="preserve"> REF _Ref332577349 \h </w:instrText>
      </w:r>
      <w:r>
        <w:rPr>
          <w:rFonts w:hint="eastAsia"/>
          <w:lang w:val="en-US" w:eastAsia="zh-CN"/>
        </w:rPr>
        <w:fldChar w:fldCharType="separate"/>
      </w:r>
      <w:r>
        <w:t xml:space="preserve">图 </w:t>
      </w:r>
      <w:r>
        <w:fldChar w:fldCharType="begin"/>
      </w:r>
      <w:r>
        <w:instrText xml:space="preserve"> STYLEREF 1 \s </w:instrText>
      </w:r>
      <w:r>
        <w:fldChar w:fldCharType="separate"/>
      </w:r>
      <w:r>
        <w:t>5</w:t>
      </w:r>
      <w:r>
        <w:fldChar w:fldCharType="end"/>
      </w:r>
      <w:r>
        <w:rPr>
          <w:rFonts w:hint="eastAsia"/>
          <w:lang w:eastAsia="zh-CN"/>
        </w:rPr>
        <w:t>-</w:t>
      </w:r>
      <w:r>
        <w:t>6</w:t>
      </w:r>
      <w:r>
        <w:rPr>
          <w:rFonts w:hint="eastAsia"/>
          <w:lang w:val="en-US" w:eastAsia="zh-CN"/>
        </w:rPr>
        <w:fldChar w:fldCharType="end"/>
      </w:r>
      <w:r>
        <w:rPr>
          <w:rFonts w:hint="eastAsia"/>
          <w:lang w:val="en-US" w:eastAsia="zh-CN"/>
        </w:rPr>
        <w:t>）。模型水平方向以MT测点覆盖范围为核心区域，并在剖面两端设置逐渐增大的扩展网格，以减小模型边界对反演结果的影响；垂向网格由浅至深逐渐加粗。实验设置垂向层数为40层，首层厚度为20 m，水平基本网格宽度为600 m，并将模型底界延伸至200 km，以满足不同周期MT数据的反演需求。</w:t>
      </w:r>
    </w:p>
    <w:p w14:paraId="742D3AB4">
      <w:pPr>
        <w:ind w:left="0" w:leftChars="0" w:firstLine="0" w:firstLineChars="0"/>
        <w:jc w:val="center"/>
        <w:rPr>
          <w:rFonts w:hint="eastAsia"/>
          <w:lang w:val="en-US" w:eastAsia="zh-CN"/>
        </w:rPr>
      </w:pPr>
      <w:r>
        <w:rPr>
          <w:rFonts w:hint="eastAsia"/>
          <w:lang w:val="en-US" w:eastAsia="zh-CN"/>
        </w:rPr>
        <w:drawing>
          <wp:inline distT="0" distB="0" distL="114300" distR="114300">
            <wp:extent cx="3745865" cy="4595495"/>
            <wp:effectExtent l="0" t="0" r="13335" b="1905"/>
            <wp:docPr id="29"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7" descr="IMG_256"/>
                    <pic:cNvPicPr>
                      <a:picLocks noChangeAspect="1"/>
                    </pic:cNvPicPr>
                  </pic:nvPicPr>
                  <pic:blipFill>
                    <a:blip r:embed="rId13"/>
                    <a:stretch>
                      <a:fillRect/>
                    </a:stretch>
                  </pic:blipFill>
                  <pic:spPr>
                    <a:xfrm>
                      <a:off x="0" y="0"/>
                      <a:ext cx="3745865" cy="4595495"/>
                    </a:xfrm>
                    <a:prstGeom prst="rect">
                      <a:avLst/>
                    </a:prstGeom>
                    <a:noFill/>
                    <a:ln w="9525">
                      <a:noFill/>
                    </a:ln>
                  </pic:spPr>
                </pic:pic>
              </a:graphicData>
            </a:graphic>
          </wp:inline>
        </w:drawing>
      </w:r>
    </w:p>
    <w:p w14:paraId="00B6FAAB">
      <w:pPr>
        <w:pStyle w:val="9"/>
        <w:ind w:left="0" w:leftChars="0" w:firstLine="0" w:firstLineChars="0"/>
        <w:jc w:val="center"/>
        <w:rPr>
          <w:rFonts w:hint="eastAsia"/>
          <w:lang w:val="en-US" w:eastAsia="zh-CN"/>
        </w:rPr>
      </w:pPr>
      <w:bookmarkStart w:id="15" w:name="_Ref332577349"/>
      <w:r>
        <w:t xml:space="preserve">图 </w:t>
      </w:r>
      <w:r>
        <w:fldChar w:fldCharType="begin"/>
      </w:r>
      <w:r>
        <w:instrText xml:space="preserve"> STYLEREF 1 \s </w:instrText>
      </w:r>
      <w:r>
        <w:fldChar w:fldCharType="separate"/>
      </w:r>
      <w:r>
        <w:t>5</w:t>
      </w:r>
      <w:r>
        <w:fldChar w:fldCharType="end"/>
      </w:r>
      <w:r>
        <w:rPr>
          <w:rFonts w:hint="eastAsia"/>
          <w:lang w:eastAsia="zh-CN"/>
        </w:rPr>
        <w:t>-</w:t>
      </w:r>
      <w:r>
        <w:fldChar w:fldCharType="begin"/>
      </w:r>
      <w:r>
        <w:instrText xml:space="preserve"> SEQ 图 \* ARABIC \s 1 </w:instrText>
      </w:r>
      <w:r>
        <w:fldChar w:fldCharType="separate"/>
      </w:r>
      <w:r>
        <w:t>6</w:t>
      </w:r>
      <w:r>
        <w:fldChar w:fldCharType="end"/>
      </w:r>
      <w:bookmarkEnd w:id="15"/>
      <w:bookmarkStart w:id="16" w:name="_Toc606048356"/>
      <w:r>
        <w:rPr>
          <w:rFonts w:hint="eastAsia"/>
          <w:lang w:val="en-US" w:eastAsia="zh-CN"/>
        </w:rPr>
        <w:t>阿尔金断裂MT剖面Occam2D反演网格</w:t>
      </w:r>
      <w:bookmarkEnd w:id="16"/>
    </w:p>
    <w:p w14:paraId="6075C8D7">
      <w:pPr>
        <w:ind w:left="0" w:leftChars="0" w:firstLine="0" w:firstLineChars="0"/>
        <w:rPr>
          <w:rFonts w:hint="eastAsia"/>
          <w:lang w:val="en-US" w:eastAsia="zh-CN"/>
        </w:rPr>
      </w:pPr>
      <w:r>
        <w:rPr>
          <w:rFonts w:hint="eastAsia"/>
          <w:lang w:val="en-US" w:eastAsia="zh-CN"/>
        </w:rPr>
        <w:t>在完成以上全部过程之后，就可以得到最终的TM单模式下的二维电阻率反演模型，具体结果可见</w:t>
      </w:r>
      <w:r>
        <w:rPr>
          <w:rFonts w:hint="eastAsia"/>
          <w:lang w:val="en-US" w:eastAsia="zh-CN"/>
        </w:rPr>
        <w:fldChar w:fldCharType="begin"/>
      </w:r>
      <w:r>
        <w:rPr>
          <w:rFonts w:hint="eastAsia"/>
          <w:lang w:val="en-US" w:eastAsia="zh-CN"/>
        </w:rPr>
        <w:instrText xml:space="preserve"> REF _Ref333938716 \h </w:instrText>
      </w:r>
      <w:r>
        <w:rPr>
          <w:rFonts w:hint="eastAsia"/>
          <w:lang w:val="en-US" w:eastAsia="zh-CN"/>
        </w:rPr>
        <w:fldChar w:fldCharType="separate"/>
      </w:r>
      <w:r>
        <w:t xml:space="preserve">图 </w:t>
      </w:r>
      <w:r>
        <w:fldChar w:fldCharType="begin"/>
      </w:r>
      <w:r>
        <w:instrText xml:space="preserve"> STYLEREF 1 \s </w:instrText>
      </w:r>
      <w:r>
        <w:fldChar w:fldCharType="separate"/>
      </w:r>
      <w:r>
        <w:t>5</w:t>
      </w:r>
      <w:r>
        <w:fldChar w:fldCharType="end"/>
      </w:r>
      <w:r>
        <w:rPr>
          <w:rFonts w:hint="eastAsia"/>
          <w:lang w:eastAsia="zh-CN"/>
        </w:rPr>
        <w:t>-</w:t>
      </w:r>
      <w:r>
        <w:t>8</w:t>
      </w:r>
      <w:r>
        <w:rPr>
          <w:rFonts w:hint="eastAsia"/>
          <w:lang w:val="en-US" w:eastAsia="zh-CN"/>
        </w:rPr>
        <w:fldChar w:fldCharType="end"/>
      </w:r>
      <w:r>
        <w:rPr>
          <w:rFonts w:hint="eastAsia"/>
          <w:lang w:val="en-US" w:eastAsia="zh-CN"/>
        </w:rPr>
        <w:t xml:space="preserve"> 的子图（b）</w:t>
      </w:r>
    </w:p>
    <w:p w14:paraId="14BC85B1">
      <w:pPr>
        <w:ind w:left="0" w:leftChars="0" w:firstLine="0" w:firstLineChars="0"/>
        <w:rPr>
          <w:rFonts w:hint="default"/>
          <w:lang w:val="en-US" w:eastAsia="zh-CN"/>
        </w:rPr>
      </w:pPr>
    </w:p>
    <w:p w14:paraId="63A1B268">
      <w:pPr>
        <w:pStyle w:val="3"/>
        <w:bidi w:val="0"/>
        <w:rPr>
          <w:rFonts w:hint="eastAsia"/>
          <w:lang w:val="en-US" w:eastAsia="zh-CN"/>
        </w:rPr>
      </w:pPr>
      <w:bookmarkStart w:id="17" w:name="_Toc1187830161"/>
      <w:r>
        <w:rPr>
          <w:rFonts w:hint="eastAsia"/>
          <w:lang w:val="en-US" w:eastAsia="zh-CN"/>
        </w:rPr>
        <w:t>ATF实验设计与结果</w:t>
      </w:r>
      <w:bookmarkEnd w:id="17"/>
    </w:p>
    <w:p w14:paraId="01A559F9">
      <w:pPr>
        <w:ind w:left="0" w:leftChars="0" w:firstLine="0" w:firstLineChars="0"/>
        <w:rPr>
          <w:rFonts w:hint="default"/>
          <w:lang w:val="en-US" w:eastAsia="zh-CN"/>
        </w:rPr>
      </w:pPr>
      <w:r>
        <w:rPr>
          <w:rFonts w:hint="eastAsia"/>
          <w:lang w:val="en-US" w:eastAsia="zh-CN"/>
        </w:rPr>
        <w:t>（1）测点筛选对比实验</w:t>
      </w:r>
    </w:p>
    <w:p w14:paraId="110DD8E9">
      <w:pPr>
        <w:ind w:left="0" w:leftChars="0" w:firstLine="420" w:firstLineChars="200"/>
        <w:rPr>
          <w:rFonts w:hint="default"/>
          <w:lang w:val="en-US" w:eastAsia="zh-CN"/>
        </w:rPr>
      </w:pPr>
      <w:r>
        <w:rPr>
          <w:rFonts w:hint="eastAsia"/>
          <w:lang w:val="en-US" w:eastAsia="zh-CN"/>
        </w:rPr>
        <w:t>参考前人阿尔金断裂二维 MT 研究所做的测点敏感性检验，例如Xiao et al.（2015）通过剔除存在异常响应的测点重新反演，并比较剔除前后的模型变化，以判断主要电性结构的稳定性</w:t>
      </w:r>
      <w:r>
        <w:rPr>
          <w:rFonts w:hint="default"/>
          <w:vertAlign w:val="superscript"/>
          <w:lang w:val="en-US" w:eastAsia="zh-CN"/>
        </w:rPr>
        <w:t>[13]</w:t>
      </w:r>
      <w:r>
        <w:rPr>
          <w:rFonts w:hint="eastAsia"/>
          <w:lang w:val="en-US" w:eastAsia="zh-CN"/>
        </w:rPr>
        <w:t>；本实验也设置了类似的对比。</w:t>
      </w:r>
    </w:p>
    <w:p w14:paraId="1ECEAEB3">
      <w:pPr>
        <w:ind w:left="0" w:leftChars="0" w:firstLine="420" w:firstLineChars="200"/>
        <w:rPr>
          <w:rFonts w:hint="default"/>
          <w:lang w:val="en-US" w:eastAsia="zh-CN"/>
        </w:rPr>
      </w:pPr>
      <w:r>
        <w:rPr>
          <w:rFonts w:hint="eastAsia"/>
          <w:lang w:val="en-US" w:eastAsia="zh-CN"/>
        </w:rPr>
        <w:t>对于原始demo脚本，采用的是TETM联合反演，为检验局部异常测点对二维反演结果的影响，本实验分别采用全部测点和剔除异常测点后的数据进行反演（本案例中即指不让数据质量较差的站点QLM17a参加反演，并非真的删除了该站点数据）。从实验结果的</w:t>
      </w:r>
      <w:r>
        <w:rPr>
          <w:rFonts w:hint="default"/>
          <w:lang w:val="en-US" w:eastAsia="zh-CN"/>
        </w:rPr>
        <w:t>数值来看，剔除 QLM17a 后 RMS 从 5.95 降到了 4.70，数据拟合有所改善；但 Roughness 从 164 增加到 213，模型反而更粗糙一些</w:t>
      </w:r>
      <w:r>
        <w:rPr>
          <w:rFonts w:hint="eastAsia"/>
          <w:lang w:val="en-US" w:eastAsia="zh-CN"/>
        </w:rPr>
        <w:t>（见</w:t>
      </w:r>
      <w:r>
        <w:rPr>
          <w:rFonts w:hint="eastAsia"/>
          <w:lang w:val="en-US" w:eastAsia="zh-CN"/>
        </w:rPr>
        <w:fldChar w:fldCharType="begin"/>
      </w:r>
      <w:r>
        <w:rPr>
          <w:rFonts w:hint="eastAsia"/>
          <w:lang w:val="en-US" w:eastAsia="zh-CN"/>
        </w:rPr>
        <w:instrText xml:space="preserve"> REF _Ref354644940 \h </w:instrText>
      </w:r>
      <w:r>
        <w:rPr>
          <w:rFonts w:hint="eastAsia"/>
          <w:lang w:val="en-US" w:eastAsia="zh-CN"/>
        </w:rPr>
        <w:fldChar w:fldCharType="separate"/>
      </w:r>
      <w:r>
        <w:t xml:space="preserve">表 </w:t>
      </w:r>
      <w:r>
        <w:fldChar w:fldCharType="begin"/>
      </w:r>
      <w:r>
        <w:instrText xml:space="preserve"> STYLEREF 1 \s </w:instrText>
      </w:r>
      <w:r>
        <w:fldChar w:fldCharType="separate"/>
      </w:r>
      <w:r>
        <w:t>5</w:t>
      </w:r>
      <w:r>
        <w:fldChar w:fldCharType="end"/>
      </w:r>
      <w:r>
        <w:rPr>
          <w:rFonts w:hint="eastAsia"/>
          <w:lang w:eastAsia="zh-CN"/>
        </w:rPr>
        <w:t>-</w:t>
      </w:r>
      <w:r>
        <w:t>2</w:t>
      </w:r>
      <w:r>
        <w:rPr>
          <w:rFonts w:hint="eastAsia"/>
          <w:lang w:val="en-US" w:eastAsia="zh-CN"/>
        </w:rPr>
        <w:fldChar w:fldCharType="end"/>
      </w:r>
      <w:r>
        <w:rPr>
          <w:rFonts w:hint="eastAsia"/>
          <w:lang w:val="en-US" w:eastAsia="zh-CN"/>
        </w:rPr>
        <w:t>）；实验前本预期的是剔除质量较差的数据模型能够整体变好（RMS以及粗糙度都降低），实际结果说明数据拟合改善并不意味着模型更加平滑</w:t>
      </w:r>
      <w:r>
        <w:rPr>
          <w:rFonts w:hint="default"/>
          <w:lang w:val="en-US" w:eastAsia="zh-CN"/>
        </w:rPr>
        <w:t>。 </w:t>
      </w:r>
      <w:r>
        <w:rPr>
          <w:rFonts w:hint="eastAsia"/>
          <w:lang w:val="en-US" w:eastAsia="zh-CN"/>
        </w:rPr>
        <w:t>而且</w:t>
      </w:r>
      <w:r>
        <w:rPr>
          <w:rFonts w:hint="default"/>
          <w:lang w:val="en-US" w:eastAsia="zh-CN"/>
        </w:rPr>
        <w:t>从两张电阻率剖面看</w:t>
      </w:r>
      <w:r>
        <w:rPr>
          <w:rFonts w:hint="eastAsia"/>
          <w:lang w:val="en-US" w:eastAsia="zh-CN"/>
        </w:rPr>
        <w:t>（如</w:t>
      </w:r>
      <w:r>
        <w:rPr>
          <w:rFonts w:hint="eastAsia"/>
          <w:lang w:val="en-US" w:eastAsia="zh-CN"/>
        </w:rPr>
        <w:fldChar w:fldCharType="begin"/>
      </w:r>
      <w:r>
        <w:rPr>
          <w:rFonts w:hint="eastAsia"/>
          <w:lang w:val="en-US" w:eastAsia="zh-CN"/>
        </w:rPr>
        <w:instrText xml:space="preserve"> REF _Ref332795840 \h </w:instrText>
      </w:r>
      <w:r>
        <w:rPr>
          <w:rFonts w:hint="eastAsia"/>
          <w:lang w:val="en-US" w:eastAsia="zh-CN"/>
        </w:rPr>
        <w:fldChar w:fldCharType="separate"/>
      </w:r>
      <w:r>
        <w:t xml:space="preserve">图 </w:t>
      </w:r>
      <w:r>
        <w:fldChar w:fldCharType="begin"/>
      </w:r>
      <w:r>
        <w:instrText xml:space="preserve"> STYLEREF 1 \s </w:instrText>
      </w:r>
      <w:r>
        <w:fldChar w:fldCharType="separate"/>
      </w:r>
      <w:r>
        <w:t>5</w:t>
      </w:r>
      <w:r>
        <w:fldChar w:fldCharType="end"/>
      </w:r>
      <w:r>
        <w:rPr>
          <w:rFonts w:hint="eastAsia"/>
          <w:lang w:eastAsia="zh-CN"/>
        </w:rPr>
        <w:t>-</w:t>
      </w:r>
      <w:r>
        <w:t>7</w:t>
      </w:r>
      <w:r>
        <w:rPr>
          <w:rFonts w:hint="eastAsia"/>
          <w:lang w:val="en-US" w:eastAsia="zh-CN"/>
        </w:rPr>
        <w:fldChar w:fldCharType="end"/>
      </w:r>
      <w:r>
        <w:rPr>
          <w:rFonts w:hint="eastAsia"/>
          <w:lang w:val="en-US" w:eastAsia="zh-CN"/>
        </w:rPr>
        <w:t>）</w:t>
      </w:r>
      <w:r>
        <w:rPr>
          <w:rFonts w:hint="default"/>
          <w:lang w:val="en-US" w:eastAsia="zh-CN"/>
        </w:rPr>
        <w:t>，二者总体的大尺度结构其实相当一致：西部相对低阻、中东部深部高阻以及若干浅部低阻异常的位置基本都还在，说明 QLM17a 并没有从根本上控制整个反演模型。</w:t>
      </w:r>
    </w:p>
    <w:p w14:paraId="795D3415">
      <w:pPr>
        <w:ind w:left="0" w:leftChars="0" w:firstLine="420" w:firstLineChars="200"/>
        <w:rPr>
          <w:rFonts w:hint="default"/>
          <w:lang w:val="en-US" w:eastAsia="zh-CN"/>
        </w:rPr>
      </w:pPr>
      <w:r>
        <w:rPr>
          <w:rFonts w:hint="eastAsia"/>
          <w:lang w:val="en-US" w:eastAsia="zh-CN"/>
        </w:rPr>
        <w:t>倘若换个角度，单从高阻与低阻分布来看，不难发现浅部地表靠近横坐标为0处有一个明显的低阻体以近乎水平的低角度从地下延伸至地表，推测该处可能受阿尔金走滑影响；并且图上横坐标靠近0的一侧深部地壳有明显低阻，而横坐标数字更高处的深部为高阻，并且联系图5-1台站分布可见低阻侧即测线的北侧（更加靠近阿尔金断裂一侧），这种分布与</w:t>
      </w:r>
      <w:r>
        <w:rPr>
          <w:rFonts w:hint="default"/>
          <w:lang w:val="en-US" w:eastAsia="zh-CN"/>
        </w:rPr>
        <w:t>Xiao et al. (2011, 2017) 研究</w:t>
      </w:r>
      <w:r>
        <w:rPr>
          <w:rFonts w:hint="eastAsia"/>
          <w:lang w:val="en-US" w:eastAsia="zh-CN"/>
        </w:rPr>
        <w:t>相一致——</w:t>
      </w:r>
      <w:r>
        <w:rPr>
          <w:rFonts w:hint="default"/>
          <w:lang w:val="en-US" w:eastAsia="zh-CN"/>
        </w:rPr>
        <w:t>阿尔金断裂带通常表现为高、低阻异常之间的近直立电性边界，其两侧可发育深部高阻块体和局部低阻剪切带</w:t>
      </w:r>
      <w:r>
        <w:rPr>
          <w:rFonts w:hint="default"/>
          <w:vertAlign w:val="superscript"/>
          <w:lang w:val="en-US" w:eastAsia="zh-CN"/>
        </w:rPr>
        <w:t>[14-15]</w:t>
      </w:r>
      <w:r>
        <w:rPr>
          <w:rFonts w:hint="eastAsia"/>
          <w:lang w:val="en-US" w:eastAsia="zh-CN"/>
        </w:rPr>
        <w:t>。说明本次实验的电阻率模型能够有效反映阿尔金断裂东端的深部电性结构，指示了南侧祁连山内部电性结构更加复杂，同时也为其阿尔金南侧的边界范围提供了一定的深部地球物理约束。</w:t>
      </w:r>
    </w:p>
    <w:p w14:paraId="7B531FA5">
      <w:pPr>
        <w:ind w:left="0" w:leftChars="0" w:firstLine="0" w:firstLineChars="0"/>
        <w:jc w:val="center"/>
        <w:rPr>
          <w:rFonts w:hint="default"/>
          <w:lang w:val="en-US" w:eastAsia="zh-CN"/>
        </w:rPr>
      </w:pPr>
      <w:r>
        <w:rPr>
          <w:rFonts w:hint="default"/>
          <w:lang w:val="en-US" w:eastAsia="zh-CN"/>
        </w:rPr>
        <w:drawing>
          <wp:inline distT="0" distB="0" distL="114300" distR="114300">
            <wp:extent cx="4436745" cy="3982085"/>
            <wp:effectExtent l="0" t="0" r="8255" b="5715"/>
            <wp:docPr id="3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4"/>
                    <pic:cNvPicPr>
                      <a:picLocks noChangeAspect="1"/>
                    </pic:cNvPicPr>
                  </pic:nvPicPr>
                  <pic:blipFill>
                    <a:blip r:embed="rId14"/>
                    <a:stretch>
                      <a:fillRect/>
                    </a:stretch>
                  </pic:blipFill>
                  <pic:spPr>
                    <a:xfrm>
                      <a:off x="0" y="0"/>
                      <a:ext cx="4436745" cy="3982085"/>
                    </a:xfrm>
                    <a:prstGeom prst="rect">
                      <a:avLst/>
                    </a:prstGeom>
                    <a:noFill/>
                    <a:ln>
                      <a:noFill/>
                    </a:ln>
                  </pic:spPr>
                </pic:pic>
              </a:graphicData>
            </a:graphic>
          </wp:inline>
        </w:drawing>
      </w:r>
    </w:p>
    <w:p w14:paraId="1D8BA655">
      <w:pPr>
        <w:pStyle w:val="9"/>
        <w:ind w:left="0" w:leftChars="0" w:firstLine="0" w:firstLineChars="0"/>
        <w:rPr>
          <w:rFonts w:hint="default"/>
          <w:lang w:val="en-US" w:eastAsia="zh-CN"/>
        </w:rPr>
      </w:pPr>
      <w:bookmarkStart w:id="18" w:name="_Ref332795840"/>
      <w:r>
        <w:t xml:space="preserve">图 </w:t>
      </w:r>
      <w:r>
        <w:fldChar w:fldCharType="begin"/>
      </w:r>
      <w:r>
        <w:instrText xml:space="preserve"> STYLEREF 1 \s </w:instrText>
      </w:r>
      <w:r>
        <w:fldChar w:fldCharType="separate"/>
      </w:r>
      <w:r>
        <w:t>5</w:t>
      </w:r>
      <w:r>
        <w:fldChar w:fldCharType="end"/>
      </w:r>
      <w:r>
        <w:rPr>
          <w:rFonts w:hint="eastAsia"/>
          <w:lang w:eastAsia="zh-CN"/>
        </w:rPr>
        <w:t>-</w:t>
      </w:r>
      <w:r>
        <w:fldChar w:fldCharType="begin"/>
      </w:r>
      <w:r>
        <w:instrText xml:space="preserve"> SEQ 图 \* ARABIC \s 1 </w:instrText>
      </w:r>
      <w:r>
        <w:fldChar w:fldCharType="separate"/>
      </w:r>
      <w:r>
        <w:t>7</w:t>
      </w:r>
      <w:r>
        <w:fldChar w:fldCharType="end"/>
      </w:r>
      <w:bookmarkEnd w:id="18"/>
      <w:bookmarkStart w:id="19" w:name="_Toc549846424"/>
      <w:r>
        <w:rPr>
          <w:rFonts w:hint="eastAsia"/>
          <w:lang w:val="en-US" w:eastAsia="zh-CN"/>
        </w:rPr>
        <w:t xml:space="preserve"> ATF</w:t>
      </w:r>
      <w:r>
        <w:rPr>
          <w:rFonts w:hint="default"/>
          <w:lang w:val="en-US" w:eastAsia="zh-CN"/>
        </w:rPr>
        <w:t>剔除 QLM17a 测点前后二维 MT 反演电阻率模型对比</w:t>
      </w:r>
      <w:bookmarkEnd w:id="19"/>
    </w:p>
    <w:p w14:paraId="5BF4D14E">
      <w:pPr>
        <w:ind w:left="0" w:leftChars="0" w:firstLine="0" w:firstLineChars="0"/>
        <w:rPr>
          <w:rFonts w:hint="eastAsia"/>
          <w:lang w:val="en-US" w:eastAsia="zh-CN"/>
        </w:rPr>
      </w:pPr>
      <w:r>
        <w:rPr>
          <w:rFonts w:hint="eastAsia" w:cs="仿宋"/>
          <w:kern w:val="2"/>
          <w:sz w:val="21"/>
          <w:szCs w:val="21"/>
          <w:lang w:val="en-US" w:eastAsia="zh-CN" w:bidi="ar-SA"/>
        </w:rPr>
        <w:t>图中</w:t>
      </w:r>
      <w:r>
        <w:rPr>
          <w:rFonts w:hint="default" w:ascii="Times New Roman" w:hAnsi="Times New Roman" w:eastAsia="仿宋" w:cs="仿宋"/>
          <w:kern w:val="2"/>
          <w:sz w:val="21"/>
          <w:szCs w:val="21"/>
          <w:lang w:val="en-US" w:eastAsia="zh-CN" w:bidi="ar-SA"/>
        </w:rPr>
        <w:t>（a）全部测点参与反演的 TE+TM 联合反演结果；（b）剔除 QLM17a 测点后的 TE+TM 联合反演结果。两组模型采用统一电阻率色标</w:t>
      </w:r>
      <w:r>
        <w:rPr>
          <w:rFonts w:hint="eastAsia" w:ascii="Times New Roman" w:hAnsi="Times New Roman" w:eastAsia="仿宋" w:cs="仿宋"/>
          <w:kern w:val="2"/>
          <w:sz w:val="21"/>
          <w:szCs w:val="21"/>
          <w:lang w:val="en-US" w:eastAsia="zh-CN" w:bidi="ar-SA"/>
        </w:rPr>
        <w:t>及横纵坐标</w:t>
      </w:r>
      <w:r>
        <w:rPr>
          <w:rFonts w:hint="default" w:ascii="Times New Roman" w:hAnsi="Times New Roman" w:eastAsia="仿宋" w:cs="仿宋"/>
          <w:kern w:val="2"/>
          <w:sz w:val="21"/>
          <w:szCs w:val="21"/>
          <w:lang w:val="en-US" w:eastAsia="zh-CN" w:bidi="ar-SA"/>
        </w:rPr>
        <w:t>，用于比较 QLM17a 测点对二维反演电性结构及数据拟合的影响。</w:t>
      </w:r>
    </w:p>
    <w:p w14:paraId="0F1CB426">
      <w:pPr>
        <w:pStyle w:val="9"/>
        <w:rPr>
          <w:rFonts w:hint="eastAsia" w:eastAsia="仿宋"/>
          <w:lang w:val="en-US" w:eastAsia="zh-CN"/>
        </w:rPr>
      </w:pPr>
      <w:bookmarkStart w:id="20" w:name="_Ref354644940"/>
      <w:r>
        <w:t xml:space="preserve">表 </w:t>
      </w:r>
      <w:r>
        <w:fldChar w:fldCharType="begin"/>
      </w:r>
      <w:r>
        <w:instrText xml:space="preserve"> STYLEREF 1 \s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2</w:t>
      </w:r>
      <w:r>
        <w:fldChar w:fldCharType="end"/>
      </w:r>
      <w:bookmarkEnd w:id="20"/>
      <w:bookmarkStart w:id="21" w:name="_Toc1329361878"/>
      <w:r>
        <w:rPr>
          <w:rFonts w:hint="eastAsia"/>
          <w:lang w:val="en-US" w:eastAsia="zh-CN"/>
        </w:rPr>
        <w:t xml:space="preserve"> 剔除异常测点前后的反演参数对比</w:t>
      </w:r>
      <w:bookmarkEnd w:id="21"/>
    </w:p>
    <w:tbl>
      <w:tblPr>
        <w:tblStyle w:val="2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089"/>
        <w:gridCol w:w="1346"/>
        <w:gridCol w:w="1442"/>
        <w:gridCol w:w="1265"/>
        <w:gridCol w:w="966"/>
        <w:gridCol w:w="1918"/>
      </w:tblGrid>
      <w:tr w14:paraId="59B7F08D">
        <w:trPr>
          <w:tblHeader/>
          <w:tblCellSpacing w:w="15" w:type="dxa"/>
        </w:trPr>
        <w:tc>
          <w:tcPr>
            <w:tcW w:w="2044" w:type="dxa"/>
            <w:tcBorders>
              <w:top w:val="single" w:color="000000" w:sz="12" w:space="0"/>
              <w:bottom w:val="single" w:color="000000" w:sz="4" w:space="0"/>
              <w:tl2br w:val="nil"/>
            </w:tcBorders>
            <w:shd w:val="clear" w:color="auto" w:fill="FFFFFF"/>
            <w:vAlign w:val="center"/>
          </w:tcPr>
          <w:p w14:paraId="457FA5D6">
            <w:pPr>
              <w:ind w:left="0" w:leftChars="0" w:firstLine="0" w:firstLineChars="0"/>
              <w:rPr>
                <w:rFonts w:hint="default"/>
                <w:b w:val="0"/>
                <w:color w:val="000000"/>
                <w:lang w:val="en-US" w:eastAsia="zh-CN"/>
              </w:rPr>
            </w:pPr>
            <w:r>
              <w:rPr>
                <w:rFonts w:hint="default"/>
                <w:b w:val="0"/>
                <w:color w:val="000000"/>
                <w:lang w:val="en-US" w:eastAsia="zh-CN"/>
              </w:rPr>
              <w:t>反演方案</w:t>
            </w:r>
          </w:p>
        </w:tc>
        <w:tc>
          <w:tcPr>
            <w:tcW w:w="1316" w:type="dxa"/>
            <w:tcBorders>
              <w:top w:val="single" w:color="000000" w:sz="12" w:space="0"/>
              <w:bottom w:val="single" w:color="000000" w:sz="4" w:space="0"/>
            </w:tcBorders>
            <w:shd w:val="clear" w:color="auto" w:fill="FFFFFF"/>
            <w:vAlign w:val="center"/>
          </w:tcPr>
          <w:p w14:paraId="701A9BE5">
            <w:pPr>
              <w:ind w:left="0" w:leftChars="0" w:firstLine="0" w:firstLineChars="0"/>
              <w:rPr>
                <w:rFonts w:hint="default"/>
                <w:b w:val="0"/>
                <w:color w:val="000000"/>
                <w:lang w:val="en-US" w:eastAsia="zh-CN"/>
              </w:rPr>
            </w:pPr>
            <w:r>
              <w:rPr>
                <w:rFonts w:hint="default"/>
                <w:b w:val="0"/>
                <w:color w:val="000000"/>
                <w:lang w:val="en-US" w:eastAsia="zh-CN"/>
              </w:rPr>
              <w:t>迭代次数</w:t>
            </w:r>
          </w:p>
        </w:tc>
        <w:tc>
          <w:tcPr>
            <w:tcW w:w="1412" w:type="dxa"/>
            <w:tcBorders>
              <w:top w:val="single" w:color="000000" w:sz="12" w:space="0"/>
              <w:bottom w:val="single" w:color="000000" w:sz="4" w:space="0"/>
            </w:tcBorders>
            <w:shd w:val="clear" w:color="auto" w:fill="FFFFFF"/>
            <w:vAlign w:val="center"/>
          </w:tcPr>
          <w:p w14:paraId="6D370CA3">
            <w:pPr>
              <w:ind w:left="0" w:leftChars="0" w:firstLine="0" w:firstLineChars="0"/>
              <w:rPr>
                <w:rFonts w:hint="default"/>
                <w:b w:val="0"/>
                <w:color w:val="000000"/>
                <w:lang w:val="en-US" w:eastAsia="zh-CN"/>
              </w:rPr>
            </w:pPr>
            <w:r>
              <w:rPr>
                <w:rFonts w:hint="default"/>
                <w:b w:val="0"/>
                <w:color w:val="000000"/>
                <w:lang w:val="en-US" w:eastAsia="zh-CN"/>
              </w:rPr>
              <w:t>RMS拟合差</w:t>
            </w:r>
          </w:p>
        </w:tc>
        <w:tc>
          <w:tcPr>
            <w:tcW w:w="1235" w:type="dxa"/>
            <w:tcBorders>
              <w:top w:val="single" w:color="000000" w:sz="12" w:space="0"/>
              <w:bottom w:val="single" w:color="000000" w:sz="4" w:space="0"/>
            </w:tcBorders>
            <w:shd w:val="clear" w:color="auto" w:fill="FFFFFF"/>
            <w:vAlign w:val="center"/>
          </w:tcPr>
          <w:p w14:paraId="224F3933">
            <w:pPr>
              <w:ind w:left="0" w:leftChars="0" w:firstLine="0" w:firstLineChars="0"/>
              <w:rPr>
                <w:rFonts w:hint="default"/>
                <w:b w:val="0"/>
                <w:color w:val="000000"/>
                <w:lang w:val="en-US" w:eastAsia="zh-CN"/>
              </w:rPr>
            </w:pPr>
            <w:r>
              <w:rPr>
                <w:rFonts w:hint="default"/>
                <w:b w:val="0"/>
                <w:color w:val="000000"/>
                <w:lang w:val="en-US" w:eastAsia="zh-CN"/>
              </w:rPr>
              <w:t>目标拟合差</w:t>
            </w:r>
          </w:p>
        </w:tc>
        <w:tc>
          <w:tcPr>
            <w:tcW w:w="936" w:type="dxa"/>
            <w:tcBorders>
              <w:top w:val="single" w:color="000000" w:sz="12" w:space="0"/>
              <w:bottom w:val="single" w:color="000000" w:sz="4" w:space="0"/>
            </w:tcBorders>
            <w:shd w:val="clear" w:color="auto" w:fill="FFFFFF"/>
            <w:vAlign w:val="center"/>
          </w:tcPr>
          <w:p w14:paraId="5495B826">
            <w:pPr>
              <w:ind w:left="0" w:leftChars="0" w:firstLine="0" w:firstLineChars="0"/>
              <w:rPr>
                <w:rFonts w:hint="default"/>
                <w:b w:val="0"/>
                <w:color w:val="000000"/>
                <w:lang w:val="en-US" w:eastAsia="zh-CN"/>
              </w:rPr>
            </w:pPr>
            <w:r>
              <w:rPr>
                <w:rFonts w:hint="default"/>
                <w:b w:val="0"/>
                <w:color w:val="000000"/>
                <w:lang w:val="en-US" w:eastAsia="zh-CN"/>
              </w:rPr>
              <w:t>粗糙度</w:t>
            </w:r>
          </w:p>
        </w:tc>
        <w:tc>
          <w:tcPr>
            <w:tcW w:w="1873" w:type="dxa"/>
            <w:tcBorders>
              <w:top w:val="single" w:color="000000" w:sz="12" w:space="0"/>
              <w:bottom w:val="single" w:color="000000" w:sz="4" w:space="0"/>
            </w:tcBorders>
            <w:shd w:val="clear" w:color="auto" w:fill="FFFFFF"/>
            <w:vAlign w:val="center"/>
          </w:tcPr>
          <w:p w14:paraId="68A2C370">
            <w:pPr>
              <w:ind w:left="0" w:leftChars="0" w:firstLine="0" w:firstLineChars="0"/>
              <w:rPr>
                <w:rFonts w:hint="default"/>
                <w:b w:val="0"/>
                <w:color w:val="000000"/>
                <w:lang w:val="en-US" w:eastAsia="zh-CN"/>
              </w:rPr>
            </w:pPr>
            <w:r>
              <w:rPr>
                <w:rFonts w:hint="default"/>
                <w:b w:val="0"/>
                <w:color w:val="000000"/>
                <w:lang w:val="en-US" w:eastAsia="zh-CN"/>
              </w:rPr>
              <w:t>步长</w:t>
            </w:r>
          </w:p>
        </w:tc>
      </w:tr>
      <w:tr w14:paraId="1AB9A710">
        <w:trPr>
          <w:tblCellSpacing w:w="15" w:type="dxa"/>
        </w:trPr>
        <w:tc>
          <w:tcPr>
            <w:tcW w:w="2044" w:type="dxa"/>
            <w:tcBorders>
              <w:top w:val="nil"/>
            </w:tcBorders>
            <w:shd w:val="clear" w:color="auto" w:fill="FFFFFF"/>
            <w:vAlign w:val="center"/>
          </w:tcPr>
          <w:p w14:paraId="16C29AA8">
            <w:pPr>
              <w:ind w:left="0" w:leftChars="0" w:firstLine="0" w:firstLineChars="0"/>
              <w:rPr>
                <w:rFonts w:hint="default"/>
                <w:b w:val="0"/>
                <w:color w:val="000000"/>
                <w:lang w:val="en-US" w:eastAsia="zh-CN"/>
              </w:rPr>
            </w:pPr>
            <w:r>
              <w:rPr>
                <w:rFonts w:hint="default"/>
                <w:b w:val="0"/>
                <w:color w:val="000000"/>
                <w:lang w:val="en-US" w:eastAsia="zh-CN"/>
              </w:rPr>
              <w:t>TETM</w:t>
            </w:r>
          </w:p>
        </w:tc>
        <w:tc>
          <w:tcPr>
            <w:tcW w:w="1316" w:type="dxa"/>
            <w:tcBorders>
              <w:top w:val="nil"/>
            </w:tcBorders>
            <w:shd w:val="clear" w:color="auto" w:fill="FFFFFF"/>
            <w:vAlign w:val="center"/>
          </w:tcPr>
          <w:p w14:paraId="4F34D1CC">
            <w:pPr>
              <w:ind w:left="0" w:leftChars="0" w:firstLine="0" w:firstLineChars="0"/>
              <w:rPr>
                <w:rFonts w:hint="default"/>
                <w:b w:val="0"/>
                <w:color w:val="000000"/>
                <w:lang w:val="en-US" w:eastAsia="zh-CN"/>
              </w:rPr>
            </w:pPr>
            <w:r>
              <w:rPr>
                <w:rFonts w:hint="default"/>
                <w:b w:val="0"/>
                <w:color w:val="000000"/>
                <w:lang w:val="en-US" w:eastAsia="zh-CN"/>
              </w:rPr>
              <w:t>12</w:t>
            </w:r>
          </w:p>
        </w:tc>
        <w:tc>
          <w:tcPr>
            <w:tcW w:w="1412" w:type="dxa"/>
            <w:tcBorders>
              <w:top w:val="nil"/>
            </w:tcBorders>
            <w:shd w:val="clear" w:color="auto" w:fill="FFFFFF"/>
            <w:vAlign w:val="center"/>
          </w:tcPr>
          <w:p w14:paraId="0A0FF8B6">
            <w:pPr>
              <w:ind w:left="0" w:leftChars="0" w:firstLine="0" w:firstLineChars="0"/>
              <w:rPr>
                <w:rFonts w:hint="default"/>
                <w:b w:val="0"/>
                <w:color w:val="000000"/>
                <w:lang w:val="en-US" w:eastAsia="zh-CN"/>
              </w:rPr>
            </w:pPr>
            <w:r>
              <w:rPr>
                <w:rFonts w:hint="default"/>
                <w:b w:val="0"/>
                <w:color w:val="000000"/>
                <w:lang w:val="en-US" w:eastAsia="zh-CN"/>
              </w:rPr>
              <w:t>5.953</w:t>
            </w:r>
          </w:p>
        </w:tc>
        <w:tc>
          <w:tcPr>
            <w:tcW w:w="1235" w:type="dxa"/>
            <w:tcBorders>
              <w:top w:val="nil"/>
            </w:tcBorders>
            <w:shd w:val="clear" w:color="auto" w:fill="FFFFFF"/>
            <w:vAlign w:val="center"/>
          </w:tcPr>
          <w:p w14:paraId="7BCB77F0">
            <w:pPr>
              <w:ind w:left="0" w:leftChars="0" w:firstLine="0" w:firstLineChars="0"/>
              <w:rPr>
                <w:rFonts w:hint="default"/>
                <w:b w:val="0"/>
                <w:color w:val="000000"/>
                <w:lang w:val="en-US" w:eastAsia="zh-CN"/>
              </w:rPr>
            </w:pPr>
            <w:r>
              <w:rPr>
                <w:rFonts w:hint="default"/>
                <w:b w:val="0"/>
                <w:color w:val="000000"/>
                <w:lang w:val="en-US" w:eastAsia="zh-CN"/>
              </w:rPr>
              <w:t>1.200</w:t>
            </w:r>
          </w:p>
        </w:tc>
        <w:tc>
          <w:tcPr>
            <w:tcW w:w="936" w:type="dxa"/>
            <w:tcBorders>
              <w:top w:val="nil"/>
            </w:tcBorders>
            <w:shd w:val="clear" w:color="auto" w:fill="FFFFFF"/>
            <w:vAlign w:val="center"/>
          </w:tcPr>
          <w:p w14:paraId="647A5D01">
            <w:pPr>
              <w:ind w:left="0" w:leftChars="0" w:firstLine="0" w:firstLineChars="0"/>
              <w:rPr>
                <w:rFonts w:hint="default"/>
                <w:b w:val="0"/>
                <w:color w:val="000000"/>
                <w:lang w:val="en-US" w:eastAsia="zh-CN"/>
              </w:rPr>
            </w:pPr>
            <w:r>
              <w:rPr>
                <w:rFonts w:hint="default"/>
                <w:b w:val="0"/>
                <w:color w:val="000000"/>
                <w:lang w:val="en-US" w:eastAsia="zh-CN"/>
              </w:rPr>
              <w:t>164.224</w:t>
            </w:r>
          </w:p>
        </w:tc>
        <w:tc>
          <w:tcPr>
            <w:tcW w:w="1873" w:type="dxa"/>
            <w:tcBorders>
              <w:top w:val="nil"/>
            </w:tcBorders>
            <w:shd w:val="clear" w:color="auto" w:fill="FFFFFF"/>
            <w:vAlign w:val="center"/>
          </w:tcPr>
          <w:p w14:paraId="56D7579C">
            <w:pPr>
              <w:ind w:left="0" w:leftChars="0" w:firstLine="0" w:firstLineChars="0"/>
              <w:rPr>
                <w:rFonts w:hint="default"/>
                <w:b w:val="0"/>
                <w:color w:val="000000"/>
                <w:lang w:val="en-US" w:eastAsia="zh-CN"/>
              </w:rPr>
            </w:pPr>
            <w:r>
              <w:rPr>
                <w:rFonts w:hint="default"/>
                <w:b w:val="0"/>
                <w:color w:val="000000"/>
                <w:lang w:val="en-US" w:eastAsia="zh-CN"/>
              </w:rPr>
              <w:t>0.002973</w:t>
            </w:r>
          </w:p>
        </w:tc>
      </w:tr>
      <w:tr w14:paraId="5DCAC207">
        <w:trPr>
          <w:tblCellSpacing w:w="15" w:type="dxa"/>
        </w:trPr>
        <w:tc>
          <w:tcPr>
            <w:tcW w:w="2044" w:type="dxa"/>
            <w:tcBorders>
              <w:bottom w:val="single" w:color="000000" w:sz="12" w:space="0"/>
            </w:tcBorders>
            <w:shd w:val="clear" w:color="auto" w:fill="FFFFFF"/>
            <w:vAlign w:val="center"/>
          </w:tcPr>
          <w:p w14:paraId="4C2CF7EB">
            <w:pPr>
              <w:ind w:left="0" w:leftChars="0" w:firstLine="0" w:firstLineChars="0"/>
              <w:rPr>
                <w:rFonts w:hint="default"/>
                <w:b w:val="0"/>
                <w:color w:val="000000"/>
                <w:lang w:val="en-US" w:eastAsia="zh-CN"/>
              </w:rPr>
            </w:pPr>
            <w:r>
              <w:rPr>
                <w:rFonts w:hint="default"/>
                <w:b w:val="0"/>
                <w:color w:val="000000"/>
                <w:lang w:val="en-US" w:eastAsia="zh-CN"/>
              </w:rPr>
              <w:t>TETM_no_QLM17a</w:t>
            </w:r>
          </w:p>
        </w:tc>
        <w:tc>
          <w:tcPr>
            <w:tcW w:w="1316" w:type="dxa"/>
            <w:tcBorders>
              <w:bottom w:val="single" w:color="000000" w:sz="12" w:space="0"/>
            </w:tcBorders>
            <w:shd w:val="clear" w:color="auto" w:fill="FFFFFF"/>
            <w:vAlign w:val="center"/>
          </w:tcPr>
          <w:p w14:paraId="6D99CAE1">
            <w:pPr>
              <w:ind w:left="0" w:leftChars="0" w:firstLine="0" w:firstLineChars="0"/>
              <w:rPr>
                <w:rFonts w:hint="default"/>
                <w:b w:val="0"/>
                <w:color w:val="000000"/>
                <w:lang w:val="en-US" w:eastAsia="zh-CN"/>
              </w:rPr>
            </w:pPr>
            <w:r>
              <w:rPr>
                <w:rFonts w:hint="default"/>
                <w:b w:val="0"/>
                <w:color w:val="000000"/>
                <w:lang w:val="en-US" w:eastAsia="zh-CN"/>
              </w:rPr>
              <w:t>11</w:t>
            </w:r>
          </w:p>
        </w:tc>
        <w:tc>
          <w:tcPr>
            <w:tcW w:w="1412" w:type="dxa"/>
            <w:tcBorders>
              <w:bottom w:val="single" w:color="000000" w:sz="12" w:space="0"/>
            </w:tcBorders>
            <w:shd w:val="clear" w:color="auto" w:fill="FFFFFF"/>
            <w:vAlign w:val="center"/>
          </w:tcPr>
          <w:p w14:paraId="62933621">
            <w:pPr>
              <w:ind w:left="0" w:leftChars="0" w:firstLine="0" w:firstLineChars="0"/>
              <w:rPr>
                <w:rFonts w:hint="default"/>
                <w:b w:val="0"/>
                <w:color w:val="000000"/>
                <w:lang w:val="en-US" w:eastAsia="zh-CN"/>
              </w:rPr>
            </w:pPr>
            <w:r>
              <w:rPr>
                <w:rFonts w:hint="default"/>
                <w:b w:val="0"/>
                <w:color w:val="000000"/>
                <w:lang w:val="en-US" w:eastAsia="zh-CN"/>
              </w:rPr>
              <w:t>4.701</w:t>
            </w:r>
          </w:p>
        </w:tc>
        <w:tc>
          <w:tcPr>
            <w:tcW w:w="1235" w:type="dxa"/>
            <w:tcBorders>
              <w:bottom w:val="single" w:color="000000" w:sz="12" w:space="0"/>
            </w:tcBorders>
            <w:shd w:val="clear" w:color="auto" w:fill="FFFFFF"/>
            <w:vAlign w:val="center"/>
          </w:tcPr>
          <w:p w14:paraId="5FEB762A">
            <w:pPr>
              <w:ind w:left="0" w:leftChars="0" w:firstLine="0" w:firstLineChars="0"/>
              <w:rPr>
                <w:rFonts w:hint="default"/>
                <w:b w:val="0"/>
                <w:color w:val="000000"/>
                <w:lang w:val="en-US" w:eastAsia="zh-CN"/>
              </w:rPr>
            </w:pPr>
            <w:r>
              <w:rPr>
                <w:rFonts w:hint="default"/>
                <w:b w:val="0"/>
                <w:color w:val="000000"/>
                <w:lang w:val="en-US" w:eastAsia="zh-CN"/>
              </w:rPr>
              <w:t>1.200</w:t>
            </w:r>
          </w:p>
        </w:tc>
        <w:tc>
          <w:tcPr>
            <w:tcW w:w="936" w:type="dxa"/>
            <w:tcBorders>
              <w:bottom w:val="single" w:color="000000" w:sz="12" w:space="0"/>
            </w:tcBorders>
            <w:shd w:val="clear" w:color="auto" w:fill="FFFFFF"/>
            <w:vAlign w:val="center"/>
          </w:tcPr>
          <w:p w14:paraId="525FC175">
            <w:pPr>
              <w:ind w:left="0" w:leftChars="0" w:firstLine="0" w:firstLineChars="0"/>
              <w:rPr>
                <w:rFonts w:hint="default"/>
                <w:b w:val="0"/>
                <w:color w:val="000000"/>
                <w:lang w:val="en-US" w:eastAsia="zh-CN"/>
              </w:rPr>
            </w:pPr>
            <w:r>
              <w:rPr>
                <w:rFonts w:hint="default"/>
                <w:b w:val="0"/>
                <w:color w:val="000000"/>
                <w:lang w:val="en-US" w:eastAsia="zh-CN"/>
              </w:rPr>
              <w:t>212.623</w:t>
            </w:r>
          </w:p>
        </w:tc>
        <w:tc>
          <w:tcPr>
            <w:tcW w:w="1873" w:type="dxa"/>
            <w:tcBorders>
              <w:bottom w:val="single" w:color="000000" w:sz="12" w:space="0"/>
            </w:tcBorders>
            <w:shd w:val="clear" w:color="auto" w:fill="FFFFFF"/>
            <w:vAlign w:val="center"/>
          </w:tcPr>
          <w:p w14:paraId="3F4A8B38">
            <w:pPr>
              <w:ind w:left="0" w:leftChars="0" w:firstLine="0" w:firstLineChars="0"/>
              <w:rPr>
                <w:rFonts w:hint="default"/>
                <w:b w:val="0"/>
                <w:color w:val="000000"/>
                <w:lang w:val="en-US" w:eastAsia="zh-CN"/>
              </w:rPr>
            </w:pPr>
            <w:r>
              <w:rPr>
                <w:rFonts w:hint="default"/>
                <w:b w:val="0"/>
                <w:color w:val="000000"/>
                <w:lang w:val="en-US" w:eastAsia="zh-CN"/>
              </w:rPr>
              <w:t>0.003797</w:t>
            </w:r>
          </w:p>
        </w:tc>
      </w:tr>
    </w:tbl>
    <w:p w14:paraId="6A326518">
      <w:pPr>
        <w:ind w:left="0" w:leftChars="0" w:firstLine="0" w:firstLineChars="0"/>
        <w:rPr>
          <w:rFonts w:hint="default"/>
          <w:lang w:val="en-US" w:eastAsia="zh-CN"/>
        </w:rPr>
      </w:pPr>
    </w:p>
    <w:p w14:paraId="65705B57">
      <w:pPr>
        <w:ind w:left="0" w:leftChars="0" w:firstLine="0" w:firstLineChars="0"/>
        <w:rPr>
          <w:rFonts w:hint="default"/>
          <w:lang w:val="en-US" w:eastAsia="zh-CN"/>
        </w:rPr>
      </w:pPr>
      <w:r>
        <w:rPr>
          <w:rFonts w:hint="eastAsia"/>
          <w:lang w:val="en-US" w:eastAsia="zh-CN"/>
        </w:rPr>
        <w:t>（2）不同数据模式联合反演对比实验</w:t>
      </w:r>
    </w:p>
    <w:p w14:paraId="38BAEF83">
      <w:pPr>
        <w:ind w:left="0" w:leftChars="0" w:firstLine="420" w:firstLineChars="200"/>
        <w:rPr>
          <w:rFonts w:hint="eastAsia"/>
          <w:lang w:val="en-US" w:eastAsia="zh-CN"/>
        </w:rPr>
      </w:pPr>
      <w:r>
        <w:rPr>
          <w:rFonts w:hint="eastAsia"/>
          <w:lang w:val="en-US" w:eastAsia="zh-CN"/>
        </w:rPr>
        <w:t>本实验进一步对比了不同反演模式的运行结果（如</w:t>
      </w:r>
      <w:r>
        <w:rPr>
          <w:rFonts w:hint="eastAsia"/>
          <w:lang w:val="en-US" w:eastAsia="zh-CN"/>
        </w:rPr>
        <w:fldChar w:fldCharType="begin"/>
      </w:r>
      <w:r>
        <w:rPr>
          <w:rFonts w:hint="eastAsia"/>
          <w:lang w:val="en-US" w:eastAsia="zh-CN"/>
        </w:rPr>
        <w:instrText xml:space="preserve"> REF _Ref333938716 \h </w:instrText>
      </w:r>
      <w:r>
        <w:rPr>
          <w:rFonts w:hint="eastAsia"/>
          <w:lang w:val="en-US" w:eastAsia="zh-CN"/>
        </w:rPr>
        <w:fldChar w:fldCharType="separate"/>
      </w:r>
      <w:r>
        <w:t xml:space="preserve">图 </w:t>
      </w:r>
      <w:r>
        <w:fldChar w:fldCharType="begin"/>
      </w:r>
      <w:r>
        <w:instrText xml:space="preserve"> STYLEREF 1 \s </w:instrText>
      </w:r>
      <w:r>
        <w:fldChar w:fldCharType="separate"/>
      </w:r>
      <w:r>
        <w:t>5</w:t>
      </w:r>
      <w:r>
        <w:fldChar w:fldCharType="end"/>
      </w:r>
      <w:r>
        <w:rPr>
          <w:rFonts w:hint="eastAsia"/>
          <w:lang w:eastAsia="zh-CN"/>
        </w:rPr>
        <w:t>-</w:t>
      </w:r>
      <w:r>
        <w:t>8</w:t>
      </w:r>
      <w:r>
        <w:rPr>
          <w:rFonts w:hint="eastAsia"/>
          <w:lang w:val="en-US" w:eastAsia="zh-CN"/>
        </w:rPr>
        <w:fldChar w:fldCharType="end"/>
      </w:r>
      <w:r>
        <w:rPr>
          <w:rFonts w:hint="eastAsia"/>
          <w:lang w:val="en-US" w:eastAsia="zh-CN"/>
        </w:rPr>
        <w:t>）。实验发现TE 单模式反演的 RMS 和模型粗糙度（见</w:t>
      </w:r>
      <w:r>
        <w:rPr>
          <w:rFonts w:hint="eastAsia"/>
          <w:lang w:val="en-US" w:eastAsia="zh-CN"/>
        </w:rPr>
        <w:fldChar w:fldCharType="begin"/>
      </w:r>
      <w:r>
        <w:rPr>
          <w:rFonts w:hint="eastAsia"/>
          <w:lang w:val="en-US" w:eastAsia="zh-CN"/>
        </w:rPr>
        <w:instrText xml:space="preserve"> REF _Ref355670167 \h </w:instrText>
      </w:r>
      <w:r>
        <w:rPr>
          <w:rFonts w:hint="eastAsia"/>
          <w:lang w:val="en-US" w:eastAsia="zh-CN"/>
        </w:rPr>
        <w:fldChar w:fldCharType="separate"/>
      </w:r>
      <w:r>
        <w:t xml:space="preserve">表 </w:t>
      </w:r>
      <w:r>
        <w:fldChar w:fldCharType="begin"/>
      </w:r>
      <w:r>
        <w:instrText xml:space="preserve"> STYLEREF 1 \s </w:instrText>
      </w:r>
      <w:r>
        <w:fldChar w:fldCharType="separate"/>
      </w:r>
      <w:r>
        <w:t>5</w:t>
      </w:r>
      <w:r>
        <w:fldChar w:fldCharType="end"/>
      </w:r>
      <w:r>
        <w:rPr>
          <w:rFonts w:hint="eastAsia"/>
          <w:lang w:eastAsia="zh-CN"/>
        </w:rPr>
        <w:t>-</w:t>
      </w:r>
      <w:r>
        <w:t>3</w:t>
      </w:r>
      <w:r>
        <w:rPr>
          <w:rFonts w:hint="eastAsia"/>
          <w:lang w:val="en-US" w:eastAsia="zh-CN"/>
        </w:rPr>
        <w:fldChar w:fldCharType="end"/>
      </w:r>
      <w:r>
        <w:rPr>
          <w:rFonts w:hint="eastAsia"/>
          <w:lang w:val="en-US" w:eastAsia="zh-CN"/>
        </w:rPr>
        <w:t>）均较高，其深部高阻结构可靠性相对较低；TM 单模式反演虽获得最低 RMS，但其深部呈大范围低阻特征，与其他模式差异明显，说明不能仅依据拟合误差选择模型。李满等（2020）亦指出其二维反演中 TM 数据整体拟合优于 TE 数据，这种差异反映了 TE 与 TM 模式对地下电性结构及非二维效应具有不同敏感性</w:t>
      </w:r>
      <w:r>
        <w:rPr>
          <w:rFonts w:hint="default"/>
          <w:vertAlign w:val="superscript"/>
          <w:lang w:val="en-US" w:eastAsia="zh-CN"/>
        </w:rPr>
        <w:t>[10]</w:t>
      </w:r>
      <w:r>
        <w:rPr>
          <w:rFonts w:hint="eastAsia"/>
          <w:lang w:val="en-US" w:eastAsia="zh-CN"/>
        </w:rPr>
        <w:t>。</w:t>
      </w:r>
    </w:p>
    <w:p w14:paraId="235F2792">
      <w:pPr>
        <w:ind w:left="0" w:leftChars="0" w:firstLine="420" w:firstLineChars="200"/>
        <w:rPr>
          <w:rFonts w:hint="eastAsia"/>
          <w:lang w:val="en-US" w:eastAsia="zh-CN"/>
        </w:rPr>
      </w:pPr>
      <w:r>
        <w:rPr>
          <w:rFonts w:hint="eastAsia"/>
          <w:lang w:val="en-US" w:eastAsia="zh-CN"/>
        </w:rPr>
        <w:t>在断裂带的二维 MT 研究中，同时利用 TE、TM 及垂直磁场传递函数进行联合反演是一种常见的多数据约束方式。Unsworth and Bedrosian（2004）在 San Andreas Fault 研究中同时反演 TE、TM 及垂直磁场传递函数，并通过多组反演检验不同数据类型之间的一致性</w:t>
      </w:r>
      <w:r>
        <w:rPr>
          <w:rFonts w:hint="default"/>
          <w:vertAlign w:val="superscript"/>
          <w:lang w:val="en-US" w:eastAsia="zh-CN"/>
        </w:rPr>
        <w:t>[1</w:t>
      </w:r>
      <w:r>
        <w:rPr>
          <w:rFonts w:hint="eastAsia"/>
          <w:vertAlign w:val="superscript"/>
          <w:lang w:val="en-US" w:eastAsia="zh-CN"/>
        </w:rPr>
        <w:t>6</w:t>
      </w:r>
      <w:r>
        <w:rPr>
          <w:rFonts w:hint="default"/>
          <w:vertAlign w:val="superscript"/>
          <w:lang w:val="en-US" w:eastAsia="zh-CN"/>
        </w:rPr>
        <w:t>]</w:t>
      </w:r>
      <w:r>
        <w:rPr>
          <w:rFonts w:hint="eastAsia"/>
          <w:lang w:val="en-US" w:eastAsia="zh-CN"/>
        </w:rPr>
        <w:t>。 因此，本实验进一步比较了单一 TE、单一 TM、TE+TM 及加入 Tipper 后的联合反演结果。联合 TE、TM 及 PT 数据后，模型在数据拟合与结构复杂度之间取得了较好平衡。不同反演结果在剖面约 10–20 km、50–55 km 及 65–70 km 处均显示较稳定的浅部低阻异常，表明这些异常的横向位置具有较高可信度；但不同模式对中深部绝对电阻率的约束差异较大，因此深部结构的地质解释仍具较大不确定性。总体而言，多模式联合反演结果更适合作后续解释的主要依据。</w:t>
      </w:r>
    </w:p>
    <w:p w14:paraId="113D4E11">
      <w:pPr>
        <w:ind w:left="0" w:leftChars="0" w:firstLine="420" w:firstLineChars="200"/>
        <w:rPr>
          <w:rFonts w:hint="eastAsia"/>
          <w:lang w:val="en-US" w:eastAsia="zh-CN"/>
        </w:rPr>
      </w:pPr>
      <w:r>
        <w:rPr>
          <w:rFonts w:hint="eastAsia"/>
          <w:lang w:val="en-US" w:eastAsia="zh-CN"/>
        </w:rPr>
        <w:t>需要指出的是，前文虽以 RMS 最低的 TM 单模式反演为例，但 RMS 衡量的仅仅只是观测数据与理论响应的平均误差，最低 RMS 并非最优模型的充分条件。Unsworth and Bedrosian（2004）通过约束反演和合成数据试验指出，不同结构模型可能获得统计上可接受的拟合，因此模型可靠性需要结合敏感性试验和结构稳定性共同判断</w:t>
      </w:r>
      <w:r>
        <w:rPr>
          <w:rFonts w:hint="default"/>
          <w:vertAlign w:val="superscript"/>
          <w:lang w:val="en-US" w:eastAsia="zh-CN"/>
        </w:rPr>
        <w:t>[1</w:t>
      </w:r>
      <w:r>
        <w:rPr>
          <w:rFonts w:hint="eastAsia"/>
          <w:vertAlign w:val="superscript"/>
          <w:lang w:val="en-US" w:eastAsia="zh-CN"/>
        </w:rPr>
        <w:t>6</w:t>
      </w:r>
      <w:r>
        <w:rPr>
          <w:rFonts w:hint="default"/>
          <w:vertAlign w:val="superscript"/>
          <w:lang w:val="en-US" w:eastAsia="zh-CN"/>
        </w:rPr>
        <w:t>]</w:t>
      </w:r>
      <w:r>
        <w:rPr>
          <w:rFonts w:hint="eastAsia"/>
          <w:lang w:val="en-US" w:eastAsia="zh-CN"/>
        </w:rPr>
        <w:t>。换言之，评估二维 MT 反演需要在数据拟合与模型平滑之间进行权衡，例如 Xiao et al.（2015）就通过改变正则化参数构建 RMS 与 Roughness 的 L 曲线，并依据折衷关系选择模型</w:t>
      </w:r>
      <w:r>
        <w:rPr>
          <w:rFonts w:hint="default"/>
          <w:vertAlign w:val="superscript"/>
          <w:lang w:val="en-US" w:eastAsia="zh-CN"/>
        </w:rPr>
        <w:t>[13]</w:t>
      </w:r>
      <w:r>
        <w:rPr>
          <w:rFonts w:hint="eastAsia"/>
          <w:lang w:val="en-US" w:eastAsia="zh-CN"/>
        </w:rPr>
        <w:t>。基于此，本实验除 RMS 外，同时引入 Roughness 等多指标综合评价不同反演方案的优劣。</w:t>
      </w:r>
    </w:p>
    <w:p w14:paraId="2BA82425">
      <w:pPr>
        <w:ind w:left="0" w:leftChars="0" w:firstLine="420" w:firstLineChars="200"/>
        <w:rPr>
          <w:rFonts w:hint="eastAsia"/>
          <w:lang w:val="en-US" w:eastAsia="zh-CN"/>
        </w:rPr>
      </w:pPr>
    </w:p>
    <w:p w14:paraId="21E3B108">
      <w:pPr>
        <w:ind w:left="0" w:leftChars="0" w:firstLine="420" w:firstLineChars="200"/>
        <w:rPr>
          <w:rFonts w:hint="default"/>
          <w:lang w:val="en-US" w:eastAsia="zh-CN"/>
        </w:rPr>
      </w:pPr>
    </w:p>
    <w:p w14:paraId="4465236F">
      <w:pPr>
        <w:ind w:left="0" w:leftChars="0" w:firstLine="0" w:firstLineChars="0"/>
        <w:jc w:val="center"/>
        <w:rPr>
          <w:rFonts w:hint="default"/>
          <w:lang w:val="en-US" w:eastAsia="zh-CN"/>
        </w:rPr>
      </w:pPr>
      <w:r>
        <w:rPr>
          <w:rFonts w:hint="default"/>
          <w:lang w:val="en-US" w:eastAsia="zh-CN"/>
        </w:rPr>
        <w:drawing>
          <wp:inline distT="0" distB="0" distL="114300" distR="114300">
            <wp:extent cx="5085080" cy="6901180"/>
            <wp:effectExtent l="0" t="0" r="20320" b="7620"/>
            <wp:docPr id="4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5"/>
                    <pic:cNvPicPr>
                      <a:picLocks noChangeAspect="1"/>
                    </pic:cNvPicPr>
                  </pic:nvPicPr>
                  <pic:blipFill>
                    <a:blip r:embed="rId15"/>
                    <a:stretch>
                      <a:fillRect/>
                    </a:stretch>
                  </pic:blipFill>
                  <pic:spPr>
                    <a:xfrm>
                      <a:off x="0" y="0"/>
                      <a:ext cx="5085080" cy="6901180"/>
                    </a:xfrm>
                    <a:prstGeom prst="rect">
                      <a:avLst/>
                    </a:prstGeom>
                    <a:noFill/>
                    <a:ln>
                      <a:noFill/>
                    </a:ln>
                  </pic:spPr>
                </pic:pic>
              </a:graphicData>
            </a:graphic>
          </wp:inline>
        </w:drawing>
      </w:r>
    </w:p>
    <w:p w14:paraId="52FD7D2E">
      <w:pPr>
        <w:pStyle w:val="9"/>
        <w:ind w:left="0" w:leftChars="0" w:firstLine="0" w:firstLineChars="0"/>
        <w:rPr>
          <w:rFonts w:hint="default"/>
          <w:lang w:val="en-US" w:eastAsia="zh-CN"/>
        </w:rPr>
      </w:pPr>
      <w:bookmarkStart w:id="22" w:name="_Ref333938716"/>
      <w:r>
        <w:t xml:space="preserve">图 </w:t>
      </w:r>
      <w:r>
        <w:fldChar w:fldCharType="begin"/>
      </w:r>
      <w:r>
        <w:instrText xml:space="preserve"> STYLEREF 1 \s </w:instrText>
      </w:r>
      <w:r>
        <w:fldChar w:fldCharType="separate"/>
      </w:r>
      <w:r>
        <w:t>5</w:t>
      </w:r>
      <w:r>
        <w:fldChar w:fldCharType="end"/>
      </w:r>
      <w:r>
        <w:rPr>
          <w:rFonts w:hint="eastAsia"/>
          <w:lang w:eastAsia="zh-CN"/>
        </w:rPr>
        <w:t>-</w:t>
      </w:r>
      <w:r>
        <w:fldChar w:fldCharType="begin"/>
      </w:r>
      <w:r>
        <w:instrText xml:space="preserve"> SEQ 图 \* ARABIC \s 1 </w:instrText>
      </w:r>
      <w:r>
        <w:fldChar w:fldCharType="separate"/>
      </w:r>
      <w:r>
        <w:t>8</w:t>
      </w:r>
      <w:r>
        <w:fldChar w:fldCharType="end"/>
      </w:r>
      <w:bookmarkEnd w:id="22"/>
      <w:bookmarkStart w:id="23" w:name="_Toc926402022"/>
      <w:r>
        <w:rPr>
          <w:rFonts w:hint="eastAsia"/>
          <w:lang w:val="en-US" w:eastAsia="zh-CN"/>
        </w:rPr>
        <w:t xml:space="preserve"> A</w:t>
      </w:r>
      <w:r>
        <w:rPr>
          <w:rFonts w:hint="default"/>
          <w:lang w:val="en-US" w:eastAsia="zh-CN"/>
        </w:rPr>
        <w:t>TF不同反演模式下二维 MT 电阻率模型对比</w:t>
      </w:r>
      <w:bookmarkEnd w:id="23"/>
    </w:p>
    <w:p w14:paraId="28D5975B">
      <w:pPr>
        <w:numPr>
          <w:ilvl w:val="0"/>
          <w:numId w:val="7"/>
        </w:numPr>
        <w:ind w:left="0" w:leftChars="0" w:firstLine="0" w:firstLineChars="0"/>
        <w:rPr>
          <w:rFonts w:hint="default" w:ascii="Times New Roman" w:hAnsi="Times New Roman" w:eastAsia="仿宋" w:cs="仿宋"/>
          <w:kern w:val="2"/>
          <w:sz w:val="21"/>
          <w:szCs w:val="21"/>
          <w:lang w:val="en-US" w:eastAsia="zh-CN" w:bidi="ar-SA"/>
        </w:rPr>
      </w:pPr>
      <w:r>
        <w:rPr>
          <w:rFonts w:hint="default" w:ascii="Times New Roman" w:hAnsi="Times New Roman" w:eastAsia="仿宋" w:cs="仿宋"/>
          <w:kern w:val="2"/>
          <w:sz w:val="21"/>
          <w:szCs w:val="21"/>
          <w:lang w:val="en-US" w:eastAsia="zh-CN" w:bidi="ar-SA"/>
        </w:rPr>
        <w:t>为 TE 模式反演结果，（b）为 TM 模式反演结果，（c）为 TE+TM 联合反演结果，（d）为 TE+TM+TP/TIPPER 联合反演结果。各子图采用统一电阻率色标</w:t>
      </w:r>
      <w:r>
        <w:rPr>
          <w:rFonts w:hint="eastAsia" w:ascii="Times New Roman" w:hAnsi="Times New Roman" w:eastAsia="仿宋" w:cs="仿宋"/>
          <w:kern w:val="2"/>
          <w:sz w:val="21"/>
          <w:szCs w:val="21"/>
          <w:lang w:val="en-US" w:eastAsia="zh-CN" w:bidi="ar-SA"/>
        </w:rPr>
        <w:t>及横纵坐标</w:t>
      </w:r>
      <w:r>
        <w:rPr>
          <w:rFonts w:hint="default" w:ascii="Times New Roman" w:hAnsi="Times New Roman" w:eastAsia="仿宋" w:cs="仿宋"/>
          <w:kern w:val="2"/>
          <w:sz w:val="21"/>
          <w:szCs w:val="21"/>
          <w:lang w:val="en-US" w:eastAsia="zh-CN" w:bidi="ar-SA"/>
        </w:rPr>
        <w:t>，以比较不同数据模式对地下电性结构成像结果的影响。</w:t>
      </w:r>
    </w:p>
    <w:p w14:paraId="47D32990">
      <w:pPr>
        <w:widowControl w:val="0"/>
        <w:numPr>
          <w:ilvl w:val="0"/>
          <w:numId w:val="0"/>
        </w:numPr>
        <w:adjustRightInd w:val="0"/>
        <w:snapToGrid w:val="0"/>
        <w:spacing w:line="360" w:lineRule="auto"/>
        <w:jc w:val="both"/>
        <w:rPr>
          <w:rFonts w:hint="eastAsia" w:ascii="Times New Roman" w:hAnsi="Times New Roman" w:eastAsia="仿宋" w:cs="仿宋"/>
          <w:kern w:val="2"/>
          <w:sz w:val="21"/>
          <w:szCs w:val="21"/>
          <w:lang w:val="en-US" w:eastAsia="zh-CN" w:bidi="ar-SA"/>
        </w:rPr>
      </w:pPr>
    </w:p>
    <w:p w14:paraId="03C9AB6F">
      <w:pPr>
        <w:widowControl w:val="0"/>
        <w:numPr>
          <w:ilvl w:val="0"/>
          <w:numId w:val="0"/>
        </w:numPr>
        <w:adjustRightInd w:val="0"/>
        <w:snapToGrid w:val="0"/>
        <w:spacing w:line="360" w:lineRule="auto"/>
        <w:jc w:val="both"/>
        <w:rPr>
          <w:rFonts w:hint="eastAsia" w:ascii="Times New Roman" w:hAnsi="Times New Roman" w:eastAsia="仿宋" w:cs="仿宋"/>
          <w:kern w:val="2"/>
          <w:sz w:val="21"/>
          <w:szCs w:val="21"/>
          <w:lang w:val="en-US" w:eastAsia="zh-CN" w:bidi="ar-SA"/>
        </w:rPr>
      </w:pPr>
    </w:p>
    <w:p w14:paraId="0CEAF994">
      <w:pPr>
        <w:pStyle w:val="9"/>
        <w:rPr>
          <w:rFonts w:hint="eastAsia" w:eastAsia="仿宋"/>
          <w:lang w:val="en-US" w:eastAsia="zh-CN"/>
        </w:rPr>
      </w:pPr>
      <w:bookmarkStart w:id="24" w:name="_Ref355670167"/>
      <w:r>
        <w:t xml:space="preserve">表 </w:t>
      </w:r>
      <w:r>
        <w:fldChar w:fldCharType="begin"/>
      </w:r>
      <w:r>
        <w:instrText xml:space="preserve"> STYLEREF 1 \s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3</w:t>
      </w:r>
      <w:r>
        <w:fldChar w:fldCharType="end"/>
      </w:r>
      <w:bookmarkEnd w:id="24"/>
      <w:bookmarkStart w:id="25" w:name="_Toc158839935"/>
      <w:r>
        <w:rPr>
          <w:rFonts w:hint="eastAsia"/>
          <w:lang w:val="en-US" w:eastAsia="zh-CN"/>
        </w:rPr>
        <w:t xml:space="preserve"> 不同极化模式反演参数与拟合结果对比</w:t>
      </w:r>
      <w:bookmarkEnd w:id="25"/>
    </w:p>
    <w:tbl>
      <w:tblPr>
        <w:tblStyle w:val="2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089"/>
        <w:gridCol w:w="1346"/>
        <w:gridCol w:w="1442"/>
        <w:gridCol w:w="1265"/>
        <w:gridCol w:w="966"/>
        <w:gridCol w:w="1918"/>
      </w:tblGrid>
      <w:tr w14:paraId="28C3C1E3">
        <w:trPr>
          <w:tblHeader/>
          <w:tblCellSpacing w:w="15" w:type="dxa"/>
        </w:trPr>
        <w:tc>
          <w:tcPr>
            <w:tcW w:w="2044" w:type="dxa"/>
            <w:tcBorders>
              <w:top w:val="single" w:color="000000" w:sz="12" w:space="0"/>
              <w:bottom w:val="single" w:color="000000" w:sz="4" w:space="0"/>
              <w:tl2br w:val="nil"/>
            </w:tcBorders>
            <w:shd w:val="clear" w:color="auto" w:fill="FFFFFF"/>
            <w:vAlign w:val="center"/>
          </w:tcPr>
          <w:p w14:paraId="3723B14B">
            <w:pPr>
              <w:ind w:left="0" w:leftChars="0" w:firstLine="0" w:firstLineChars="0"/>
              <w:jc w:val="left"/>
              <w:rPr>
                <w:rFonts w:hint="eastAsia"/>
                <w:b w:val="0"/>
                <w:color w:val="000000"/>
                <w:lang w:val="en-US" w:eastAsia="zh-CN"/>
              </w:rPr>
            </w:pPr>
            <w:r>
              <w:rPr>
                <w:rFonts w:hint="eastAsia"/>
                <w:b w:val="0"/>
                <w:color w:val="000000"/>
                <w:lang w:val="en-US" w:eastAsia="zh-CN"/>
              </w:rPr>
              <w:t>反演模式</w:t>
            </w:r>
          </w:p>
        </w:tc>
        <w:tc>
          <w:tcPr>
            <w:tcW w:w="1316" w:type="dxa"/>
            <w:tcBorders>
              <w:top w:val="single" w:color="000000" w:sz="12" w:space="0"/>
              <w:bottom w:val="single" w:color="000000" w:sz="4" w:space="0"/>
            </w:tcBorders>
            <w:shd w:val="clear" w:color="auto" w:fill="FFFFFF"/>
            <w:vAlign w:val="center"/>
          </w:tcPr>
          <w:p w14:paraId="525A7A14">
            <w:pPr>
              <w:ind w:left="0" w:leftChars="0" w:firstLine="0" w:firstLineChars="0"/>
              <w:jc w:val="center"/>
              <w:rPr>
                <w:rFonts w:hint="eastAsia"/>
                <w:b w:val="0"/>
                <w:color w:val="000000"/>
                <w:lang w:val="en-US" w:eastAsia="zh-CN"/>
              </w:rPr>
            </w:pPr>
            <w:r>
              <w:rPr>
                <w:rFonts w:hint="eastAsia"/>
                <w:b w:val="0"/>
                <w:color w:val="000000"/>
                <w:lang w:val="en-US" w:eastAsia="zh-CN"/>
              </w:rPr>
              <w:t>迭代次数</w:t>
            </w:r>
          </w:p>
        </w:tc>
        <w:tc>
          <w:tcPr>
            <w:tcW w:w="1412" w:type="dxa"/>
            <w:tcBorders>
              <w:top w:val="single" w:color="000000" w:sz="12" w:space="0"/>
              <w:bottom w:val="single" w:color="000000" w:sz="4" w:space="0"/>
            </w:tcBorders>
            <w:shd w:val="clear" w:color="auto" w:fill="FFFFFF"/>
            <w:vAlign w:val="center"/>
          </w:tcPr>
          <w:p w14:paraId="07B3FC9E">
            <w:pPr>
              <w:ind w:left="0" w:leftChars="0" w:firstLine="0" w:firstLineChars="0"/>
              <w:jc w:val="center"/>
              <w:rPr>
                <w:rFonts w:hint="eastAsia"/>
                <w:b w:val="0"/>
                <w:color w:val="000000"/>
                <w:lang w:val="en-US" w:eastAsia="zh-CN"/>
              </w:rPr>
            </w:pPr>
            <w:r>
              <w:rPr>
                <w:rFonts w:hint="eastAsia"/>
                <w:b w:val="0"/>
                <w:color w:val="000000"/>
                <w:lang w:val="en-US" w:eastAsia="zh-CN"/>
              </w:rPr>
              <w:t>RMS拟合差</w:t>
            </w:r>
          </w:p>
        </w:tc>
        <w:tc>
          <w:tcPr>
            <w:tcW w:w="1235" w:type="dxa"/>
            <w:tcBorders>
              <w:top w:val="single" w:color="000000" w:sz="12" w:space="0"/>
              <w:bottom w:val="single" w:color="000000" w:sz="4" w:space="0"/>
            </w:tcBorders>
            <w:shd w:val="clear" w:color="auto" w:fill="FFFFFF"/>
            <w:vAlign w:val="center"/>
          </w:tcPr>
          <w:p w14:paraId="3F149743">
            <w:pPr>
              <w:ind w:left="0" w:leftChars="0" w:firstLine="0" w:firstLineChars="0"/>
              <w:jc w:val="center"/>
              <w:rPr>
                <w:rFonts w:hint="eastAsia"/>
                <w:b w:val="0"/>
                <w:color w:val="000000"/>
                <w:lang w:val="en-US" w:eastAsia="zh-CN"/>
              </w:rPr>
            </w:pPr>
            <w:r>
              <w:rPr>
                <w:rFonts w:hint="eastAsia"/>
                <w:b w:val="0"/>
                <w:color w:val="000000"/>
                <w:lang w:val="en-US" w:eastAsia="zh-CN"/>
              </w:rPr>
              <w:t>目标拟合差</w:t>
            </w:r>
          </w:p>
        </w:tc>
        <w:tc>
          <w:tcPr>
            <w:tcW w:w="936" w:type="dxa"/>
            <w:tcBorders>
              <w:top w:val="single" w:color="000000" w:sz="12" w:space="0"/>
              <w:bottom w:val="single" w:color="000000" w:sz="4" w:space="0"/>
            </w:tcBorders>
            <w:shd w:val="clear" w:color="auto" w:fill="FFFFFF"/>
            <w:vAlign w:val="center"/>
          </w:tcPr>
          <w:p w14:paraId="316C058B">
            <w:pPr>
              <w:ind w:left="0" w:leftChars="0" w:firstLine="0" w:firstLineChars="0"/>
              <w:jc w:val="center"/>
              <w:rPr>
                <w:rFonts w:hint="eastAsia"/>
                <w:b w:val="0"/>
                <w:color w:val="000000"/>
                <w:lang w:val="en-US" w:eastAsia="zh-CN"/>
              </w:rPr>
            </w:pPr>
            <w:r>
              <w:rPr>
                <w:rFonts w:hint="eastAsia"/>
                <w:b w:val="0"/>
                <w:color w:val="000000"/>
                <w:lang w:val="en-US" w:eastAsia="zh-CN"/>
              </w:rPr>
              <w:t>粗糙度</w:t>
            </w:r>
          </w:p>
        </w:tc>
        <w:tc>
          <w:tcPr>
            <w:tcW w:w="1873" w:type="dxa"/>
            <w:tcBorders>
              <w:top w:val="single" w:color="000000" w:sz="12" w:space="0"/>
              <w:bottom w:val="single" w:color="000000" w:sz="4" w:space="0"/>
            </w:tcBorders>
            <w:shd w:val="clear" w:color="auto" w:fill="FFFFFF"/>
            <w:vAlign w:val="center"/>
          </w:tcPr>
          <w:p w14:paraId="2E6371F7">
            <w:pPr>
              <w:ind w:left="0" w:leftChars="0" w:firstLine="0" w:firstLineChars="0"/>
              <w:jc w:val="center"/>
              <w:rPr>
                <w:rFonts w:hint="eastAsia"/>
                <w:b w:val="0"/>
                <w:color w:val="000000"/>
                <w:lang w:val="en-US" w:eastAsia="zh-CN"/>
              </w:rPr>
            </w:pPr>
            <w:r>
              <w:rPr>
                <w:rFonts w:hint="eastAsia"/>
                <w:b w:val="0"/>
                <w:color w:val="000000"/>
                <w:lang w:val="en-US" w:eastAsia="zh-CN"/>
              </w:rPr>
              <w:t>步长</w:t>
            </w:r>
          </w:p>
        </w:tc>
      </w:tr>
      <w:tr w14:paraId="2D787F42">
        <w:trPr>
          <w:tblCellSpacing w:w="15" w:type="dxa"/>
        </w:trPr>
        <w:tc>
          <w:tcPr>
            <w:tcW w:w="2044" w:type="dxa"/>
            <w:tcBorders>
              <w:top w:val="nil"/>
            </w:tcBorders>
            <w:shd w:val="clear" w:color="auto" w:fill="FFFFFF"/>
            <w:vAlign w:val="center"/>
          </w:tcPr>
          <w:p w14:paraId="5C4CAE0C">
            <w:pPr>
              <w:ind w:left="0" w:leftChars="0" w:firstLine="0" w:firstLineChars="0"/>
              <w:rPr>
                <w:rFonts w:hint="eastAsia"/>
                <w:b w:val="0"/>
                <w:color w:val="000000"/>
                <w:lang w:val="en-US" w:eastAsia="zh-CN"/>
              </w:rPr>
            </w:pPr>
            <w:r>
              <w:rPr>
                <w:rFonts w:hint="eastAsia"/>
                <w:b w:val="0"/>
                <w:color w:val="000000"/>
                <w:lang w:val="en-US" w:eastAsia="zh-CN"/>
              </w:rPr>
              <w:t>TE_only</w:t>
            </w:r>
          </w:p>
        </w:tc>
        <w:tc>
          <w:tcPr>
            <w:tcW w:w="1316" w:type="dxa"/>
            <w:tcBorders>
              <w:top w:val="nil"/>
            </w:tcBorders>
            <w:shd w:val="clear" w:color="auto" w:fill="FFFFFF"/>
            <w:vAlign w:val="center"/>
          </w:tcPr>
          <w:p w14:paraId="6E998A92">
            <w:pPr>
              <w:ind w:left="0" w:leftChars="0" w:firstLine="0" w:firstLineChars="0"/>
              <w:jc w:val="center"/>
              <w:rPr>
                <w:rFonts w:hint="eastAsia"/>
                <w:b w:val="0"/>
                <w:color w:val="000000"/>
                <w:lang w:val="en-US" w:eastAsia="zh-CN"/>
              </w:rPr>
            </w:pPr>
            <w:r>
              <w:rPr>
                <w:rFonts w:hint="eastAsia"/>
                <w:b w:val="0"/>
                <w:color w:val="000000"/>
                <w:lang w:val="en-US" w:eastAsia="zh-CN"/>
              </w:rPr>
              <w:t>30</w:t>
            </w:r>
          </w:p>
        </w:tc>
        <w:tc>
          <w:tcPr>
            <w:tcW w:w="1412" w:type="dxa"/>
            <w:tcBorders>
              <w:top w:val="nil"/>
            </w:tcBorders>
            <w:shd w:val="clear" w:color="auto" w:fill="FFFFFF"/>
            <w:vAlign w:val="center"/>
          </w:tcPr>
          <w:p w14:paraId="346F0A14">
            <w:pPr>
              <w:ind w:left="0" w:leftChars="0" w:firstLine="0" w:firstLineChars="0"/>
              <w:jc w:val="center"/>
              <w:rPr>
                <w:rFonts w:hint="eastAsia"/>
                <w:b w:val="0"/>
                <w:color w:val="000000"/>
                <w:lang w:val="en-US" w:eastAsia="zh-CN"/>
              </w:rPr>
            </w:pPr>
            <w:r>
              <w:rPr>
                <w:rFonts w:hint="eastAsia"/>
                <w:b w:val="0"/>
                <w:color w:val="000000"/>
                <w:lang w:val="en-US" w:eastAsia="zh-CN"/>
              </w:rPr>
              <w:t>7.441</w:t>
            </w:r>
          </w:p>
        </w:tc>
        <w:tc>
          <w:tcPr>
            <w:tcW w:w="1235" w:type="dxa"/>
            <w:tcBorders>
              <w:top w:val="nil"/>
            </w:tcBorders>
            <w:shd w:val="clear" w:color="auto" w:fill="FFFFFF"/>
            <w:vAlign w:val="center"/>
          </w:tcPr>
          <w:p w14:paraId="3103FF6F">
            <w:pPr>
              <w:ind w:left="0" w:leftChars="0" w:firstLine="0" w:firstLineChars="0"/>
              <w:jc w:val="center"/>
              <w:rPr>
                <w:rFonts w:hint="eastAsia"/>
                <w:b w:val="0"/>
                <w:color w:val="000000"/>
                <w:lang w:val="en-US" w:eastAsia="zh-CN"/>
              </w:rPr>
            </w:pPr>
            <w:r>
              <w:rPr>
                <w:rFonts w:hint="eastAsia"/>
                <w:b w:val="0"/>
                <w:color w:val="000000"/>
                <w:lang w:val="en-US" w:eastAsia="zh-CN"/>
              </w:rPr>
              <w:t>1.200</w:t>
            </w:r>
          </w:p>
        </w:tc>
        <w:tc>
          <w:tcPr>
            <w:tcW w:w="936" w:type="dxa"/>
            <w:tcBorders>
              <w:top w:val="nil"/>
            </w:tcBorders>
            <w:shd w:val="clear" w:color="auto" w:fill="FFFFFF"/>
            <w:vAlign w:val="center"/>
          </w:tcPr>
          <w:p w14:paraId="548CF62C">
            <w:pPr>
              <w:ind w:left="0" w:leftChars="0" w:firstLine="0" w:firstLineChars="0"/>
              <w:jc w:val="center"/>
              <w:rPr>
                <w:rFonts w:hint="eastAsia"/>
                <w:b w:val="0"/>
                <w:color w:val="000000"/>
                <w:lang w:val="en-US" w:eastAsia="zh-CN"/>
              </w:rPr>
            </w:pPr>
            <w:r>
              <w:rPr>
                <w:rFonts w:hint="eastAsia"/>
                <w:b w:val="0"/>
                <w:color w:val="000000"/>
                <w:lang w:val="en-US" w:eastAsia="zh-CN"/>
              </w:rPr>
              <w:t>696.712</w:t>
            </w:r>
          </w:p>
        </w:tc>
        <w:tc>
          <w:tcPr>
            <w:tcW w:w="1873" w:type="dxa"/>
            <w:tcBorders>
              <w:top w:val="nil"/>
            </w:tcBorders>
            <w:shd w:val="clear" w:color="auto" w:fill="FFFFFF"/>
            <w:vAlign w:val="center"/>
          </w:tcPr>
          <w:p w14:paraId="2BBEEFB1">
            <w:pPr>
              <w:ind w:left="0" w:leftChars="0" w:firstLine="0" w:firstLineChars="0"/>
              <w:jc w:val="center"/>
              <w:rPr>
                <w:rFonts w:hint="eastAsia"/>
                <w:b w:val="0"/>
                <w:color w:val="000000"/>
                <w:lang w:val="en-US" w:eastAsia="zh-CN"/>
              </w:rPr>
            </w:pPr>
            <w:r>
              <w:rPr>
                <w:rFonts w:hint="eastAsia"/>
                <w:b w:val="0"/>
                <w:color w:val="000000"/>
                <w:lang w:val="en-US" w:eastAsia="zh-CN"/>
              </w:rPr>
              <w:t>0.09632</w:t>
            </w:r>
          </w:p>
        </w:tc>
      </w:tr>
      <w:tr w14:paraId="6E13C755">
        <w:trPr>
          <w:tblCellSpacing w:w="15" w:type="dxa"/>
        </w:trPr>
        <w:tc>
          <w:tcPr>
            <w:tcW w:w="2044" w:type="dxa"/>
            <w:shd w:val="clear" w:color="auto" w:fill="FFFFFF"/>
            <w:vAlign w:val="center"/>
          </w:tcPr>
          <w:p w14:paraId="46F140EC">
            <w:pPr>
              <w:ind w:left="0" w:leftChars="0" w:firstLine="0" w:firstLineChars="0"/>
              <w:rPr>
                <w:rFonts w:hint="eastAsia"/>
                <w:b w:val="0"/>
                <w:color w:val="000000"/>
                <w:lang w:val="en-US" w:eastAsia="zh-CN"/>
              </w:rPr>
            </w:pPr>
            <w:r>
              <w:rPr>
                <w:rFonts w:hint="eastAsia"/>
                <w:b w:val="0"/>
                <w:color w:val="000000"/>
                <w:lang w:val="en-US" w:eastAsia="zh-CN"/>
              </w:rPr>
              <w:t>TM_only</w:t>
            </w:r>
          </w:p>
        </w:tc>
        <w:tc>
          <w:tcPr>
            <w:tcW w:w="1316" w:type="dxa"/>
            <w:shd w:val="clear" w:color="auto" w:fill="FFFFFF"/>
            <w:vAlign w:val="center"/>
          </w:tcPr>
          <w:p w14:paraId="67975B1B">
            <w:pPr>
              <w:ind w:left="0" w:leftChars="0" w:firstLine="0" w:firstLineChars="0"/>
              <w:jc w:val="center"/>
              <w:rPr>
                <w:rFonts w:hint="eastAsia"/>
                <w:b w:val="0"/>
                <w:color w:val="000000"/>
                <w:lang w:val="en-US" w:eastAsia="zh-CN"/>
              </w:rPr>
            </w:pPr>
            <w:r>
              <w:rPr>
                <w:rFonts w:hint="eastAsia"/>
                <w:b w:val="0"/>
                <w:color w:val="000000"/>
                <w:lang w:val="en-US" w:eastAsia="zh-CN"/>
              </w:rPr>
              <w:t>14</w:t>
            </w:r>
          </w:p>
        </w:tc>
        <w:tc>
          <w:tcPr>
            <w:tcW w:w="1412" w:type="dxa"/>
            <w:shd w:val="clear" w:color="auto" w:fill="FFFFFF"/>
            <w:vAlign w:val="center"/>
          </w:tcPr>
          <w:p w14:paraId="5F60C892">
            <w:pPr>
              <w:ind w:left="0" w:leftChars="0" w:firstLine="0" w:firstLineChars="0"/>
              <w:jc w:val="center"/>
              <w:rPr>
                <w:rFonts w:hint="eastAsia"/>
                <w:b w:val="0"/>
                <w:color w:val="000000"/>
                <w:lang w:val="en-US" w:eastAsia="zh-CN"/>
              </w:rPr>
            </w:pPr>
            <w:r>
              <w:rPr>
                <w:rFonts w:hint="eastAsia"/>
                <w:b w:val="0"/>
                <w:color w:val="000000"/>
                <w:lang w:val="en-US" w:eastAsia="zh-CN"/>
              </w:rPr>
              <w:t>1.306</w:t>
            </w:r>
          </w:p>
        </w:tc>
        <w:tc>
          <w:tcPr>
            <w:tcW w:w="1235" w:type="dxa"/>
            <w:shd w:val="clear" w:color="auto" w:fill="FFFFFF"/>
            <w:vAlign w:val="center"/>
          </w:tcPr>
          <w:p w14:paraId="04FC28F7">
            <w:pPr>
              <w:ind w:left="0" w:leftChars="0" w:firstLine="0" w:firstLineChars="0"/>
              <w:jc w:val="center"/>
              <w:rPr>
                <w:rFonts w:hint="eastAsia"/>
                <w:b w:val="0"/>
                <w:color w:val="000000"/>
                <w:lang w:val="en-US" w:eastAsia="zh-CN"/>
              </w:rPr>
            </w:pPr>
            <w:r>
              <w:rPr>
                <w:rFonts w:hint="eastAsia"/>
                <w:b w:val="0"/>
                <w:color w:val="000000"/>
                <w:lang w:val="en-US" w:eastAsia="zh-CN"/>
              </w:rPr>
              <w:t>1.200</w:t>
            </w:r>
          </w:p>
        </w:tc>
        <w:tc>
          <w:tcPr>
            <w:tcW w:w="936" w:type="dxa"/>
            <w:shd w:val="clear" w:color="auto" w:fill="FFFFFF"/>
            <w:vAlign w:val="center"/>
          </w:tcPr>
          <w:p w14:paraId="24E3BAC2">
            <w:pPr>
              <w:ind w:left="0" w:leftChars="0" w:firstLine="0" w:firstLineChars="0"/>
              <w:jc w:val="center"/>
              <w:rPr>
                <w:rFonts w:hint="eastAsia"/>
                <w:b w:val="0"/>
                <w:color w:val="000000"/>
                <w:lang w:val="en-US" w:eastAsia="zh-CN"/>
              </w:rPr>
            </w:pPr>
            <w:r>
              <w:rPr>
                <w:rFonts w:hint="eastAsia"/>
                <w:b w:val="0"/>
                <w:color w:val="000000"/>
                <w:lang w:val="en-US" w:eastAsia="zh-CN"/>
              </w:rPr>
              <w:t>194.480</w:t>
            </w:r>
          </w:p>
        </w:tc>
        <w:tc>
          <w:tcPr>
            <w:tcW w:w="1873" w:type="dxa"/>
            <w:shd w:val="clear" w:color="auto" w:fill="FFFFFF"/>
            <w:vAlign w:val="center"/>
          </w:tcPr>
          <w:p w14:paraId="04D76CE6">
            <w:pPr>
              <w:ind w:left="0" w:leftChars="0" w:firstLine="0" w:firstLineChars="0"/>
              <w:jc w:val="center"/>
              <w:rPr>
                <w:rFonts w:hint="eastAsia"/>
                <w:b w:val="0"/>
                <w:color w:val="000000"/>
                <w:lang w:val="en-US" w:eastAsia="zh-CN"/>
              </w:rPr>
            </w:pPr>
            <w:r>
              <w:rPr>
                <w:rFonts w:hint="eastAsia"/>
                <w:b w:val="0"/>
                <w:color w:val="000000"/>
                <w:lang w:val="en-US" w:eastAsia="zh-CN"/>
              </w:rPr>
              <w:t>0.02385</w:t>
            </w:r>
          </w:p>
        </w:tc>
      </w:tr>
      <w:tr w14:paraId="53874574">
        <w:trPr>
          <w:tblCellSpacing w:w="15" w:type="dxa"/>
        </w:trPr>
        <w:tc>
          <w:tcPr>
            <w:tcW w:w="2044" w:type="dxa"/>
            <w:shd w:val="clear" w:color="auto" w:fill="FFFFFF"/>
            <w:vAlign w:val="center"/>
          </w:tcPr>
          <w:p w14:paraId="07F40428">
            <w:pPr>
              <w:ind w:left="0" w:leftChars="0" w:firstLine="0" w:firstLineChars="0"/>
              <w:rPr>
                <w:rFonts w:hint="eastAsia"/>
                <w:b w:val="0"/>
                <w:color w:val="000000"/>
                <w:lang w:val="en-US" w:eastAsia="zh-CN"/>
              </w:rPr>
            </w:pPr>
            <w:r>
              <w:rPr>
                <w:rFonts w:hint="eastAsia"/>
                <w:b w:val="0"/>
                <w:color w:val="000000"/>
                <w:lang w:val="en-US" w:eastAsia="zh-CN"/>
              </w:rPr>
              <w:t>TETMTP</w:t>
            </w:r>
          </w:p>
        </w:tc>
        <w:tc>
          <w:tcPr>
            <w:tcW w:w="1316" w:type="dxa"/>
            <w:shd w:val="clear" w:color="auto" w:fill="FFFFFF"/>
            <w:vAlign w:val="center"/>
          </w:tcPr>
          <w:p w14:paraId="3A08F3E4">
            <w:pPr>
              <w:ind w:left="0" w:leftChars="0" w:firstLine="0" w:firstLineChars="0"/>
              <w:jc w:val="center"/>
              <w:rPr>
                <w:rFonts w:hint="eastAsia"/>
                <w:b w:val="0"/>
                <w:color w:val="000000"/>
                <w:lang w:val="en-US" w:eastAsia="zh-CN"/>
              </w:rPr>
            </w:pPr>
            <w:r>
              <w:rPr>
                <w:rFonts w:hint="eastAsia"/>
                <w:b w:val="0"/>
                <w:color w:val="000000"/>
                <w:lang w:val="en-US" w:eastAsia="zh-CN"/>
              </w:rPr>
              <w:t>17</w:t>
            </w:r>
          </w:p>
        </w:tc>
        <w:tc>
          <w:tcPr>
            <w:tcW w:w="1412" w:type="dxa"/>
            <w:shd w:val="clear" w:color="auto" w:fill="FFFFFF"/>
            <w:vAlign w:val="center"/>
          </w:tcPr>
          <w:p w14:paraId="7F97C8CF">
            <w:pPr>
              <w:ind w:left="0" w:leftChars="0" w:firstLine="0" w:firstLineChars="0"/>
              <w:jc w:val="center"/>
              <w:rPr>
                <w:rFonts w:hint="eastAsia"/>
                <w:b w:val="0"/>
                <w:color w:val="000000"/>
                <w:lang w:val="en-US" w:eastAsia="zh-CN"/>
              </w:rPr>
            </w:pPr>
            <w:r>
              <w:rPr>
                <w:rFonts w:hint="eastAsia"/>
                <w:b w:val="0"/>
                <w:color w:val="000000"/>
                <w:lang w:val="en-US" w:eastAsia="zh-CN"/>
              </w:rPr>
              <w:t>3.509</w:t>
            </w:r>
          </w:p>
        </w:tc>
        <w:tc>
          <w:tcPr>
            <w:tcW w:w="1235" w:type="dxa"/>
            <w:shd w:val="clear" w:color="auto" w:fill="FFFFFF"/>
            <w:vAlign w:val="center"/>
          </w:tcPr>
          <w:p w14:paraId="55CF57C1">
            <w:pPr>
              <w:ind w:left="0" w:leftChars="0" w:firstLine="0" w:firstLineChars="0"/>
              <w:jc w:val="center"/>
              <w:rPr>
                <w:rFonts w:hint="eastAsia"/>
                <w:b w:val="0"/>
                <w:color w:val="000000"/>
                <w:lang w:val="en-US" w:eastAsia="zh-CN"/>
              </w:rPr>
            </w:pPr>
            <w:r>
              <w:rPr>
                <w:rFonts w:hint="eastAsia"/>
                <w:b w:val="0"/>
                <w:color w:val="000000"/>
                <w:lang w:val="en-US" w:eastAsia="zh-CN"/>
              </w:rPr>
              <w:t>1.200</w:t>
            </w:r>
          </w:p>
        </w:tc>
        <w:tc>
          <w:tcPr>
            <w:tcW w:w="936" w:type="dxa"/>
            <w:shd w:val="clear" w:color="auto" w:fill="FFFFFF"/>
            <w:vAlign w:val="center"/>
          </w:tcPr>
          <w:p w14:paraId="689916B0">
            <w:pPr>
              <w:ind w:left="0" w:leftChars="0" w:firstLine="0" w:firstLineChars="0"/>
              <w:jc w:val="center"/>
              <w:rPr>
                <w:rFonts w:hint="eastAsia"/>
                <w:b w:val="0"/>
                <w:color w:val="000000"/>
                <w:lang w:val="en-US" w:eastAsia="zh-CN"/>
              </w:rPr>
            </w:pPr>
            <w:r>
              <w:rPr>
                <w:rFonts w:hint="eastAsia"/>
                <w:b w:val="0"/>
                <w:color w:val="000000"/>
                <w:lang w:val="en-US" w:eastAsia="zh-CN"/>
              </w:rPr>
              <w:t>255.098</w:t>
            </w:r>
          </w:p>
        </w:tc>
        <w:tc>
          <w:tcPr>
            <w:tcW w:w="1873" w:type="dxa"/>
            <w:shd w:val="clear" w:color="auto" w:fill="FFFFFF"/>
            <w:vAlign w:val="center"/>
          </w:tcPr>
          <w:p w14:paraId="6CFAB66D">
            <w:pPr>
              <w:ind w:left="0" w:leftChars="0" w:firstLine="0" w:firstLineChars="0"/>
              <w:jc w:val="center"/>
              <w:rPr>
                <w:rFonts w:hint="eastAsia"/>
                <w:b w:val="0"/>
                <w:color w:val="000000"/>
                <w:lang w:val="en-US" w:eastAsia="zh-CN"/>
              </w:rPr>
            </w:pPr>
            <w:r>
              <w:rPr>
                <w:rFonts w:hint="eastAsia"/>
                <w:b w:val="0"/>
                <w:color w:val="000000"/>
                <w:lang w:val="en-US" w:eastAsia="zh-CN"/>
              </w:rPr>
              <w:t>0.003214</w:t>
            </w:r>
          </w:p>
        </w:tc>
      </w:tr>
      <w:tr w14:paraId="0F7FCE84">
        <w:trPr>
          <w:tblCellSpacing w:w="15" w:type="dxa"/>
        </w:trPr>
        <w:tc>
          <w:tcPr>
            <w:tcW w:w="2044" w:type="dxa"/>
            <w:tcBorders>
              <w:bottom w:val="single" w:color="000000" w:sz="12" w:space="0"/>
            </w:tcBorders>
            <w:shd w:val="clear" w:color="auto" w:fill="FFFFFF"/>
            <w:vAlign w:val="center"/>
          </w:tcPr>
          <w:p w14:paraId="13CDE179">
            <w:pPr>
              <w:ind w:left="0" w:leftChars="0" w:firstLine="0" w:firstLineChars="0"/>
              <w:rPr>
                <w:rFonts w:hint="default"/>
                <w:b w:val="0"/>
                <w:color w:val="000000"/>
                <w:lang w:val="en-US" w:eastAsia="zh-CN"/>
              </w:rPr>
            </w:pPr>
            <w:r>
              <w:rPr>
                <w:rFonts w:hint="eastAsia"/>
                <w:b w:val="0"/>
                <w:color w:val="000000"/>
                <w:lang w:val="en-US" w:eastAsia="zh-CN"/>
              </w:rPr>
              <w:t>TETM</w:t>
            </w:r>
          </w:p>
        </w:tc>
        <w:tc>
          <w:tcPr>
            <w:tcW w:w="1316" w:type="dxa"/>
            <w:tcBorders>
              <w:bottom w:val="single" w:color="000000" w:sz="12" w:space="0"/>
            </w:tcBorders>
            <w:shd w:val="clear" w:color="auto" w:fill="FFFFFF"/>
            <w:vAlign w:val="center"/>
          </w:tcPr>
          <w:p w14:paraId="41EEE7BD">
            <w:pPr>
              <w:ind w:left="0" w:leftChars="0" w:firstLine="0" w:firstLineChars="0"/>
              <w:jc w:val="center"/>
              <w:rPr>
                <w:rFonts w:hint="default"/>
                <w:b w:val="0"/>
                <w:color w:val="000000"/>
                <w:lang w:val="en-US" w:eastAsia="zh-CN"/>
              </w:rPr>
            </w:pPr>
            <w:r>
              <w:rPr>
                <w:rFonts w:hint="eastAsia"/>
                <w:b w:val="0"/>
                <w:color w:val="000000"/>
                <w:lang w:val="en-US" w:eastAsia="zh-CN"/>
              </w:rPr>
              <w:t>12</w:t>
            </w:r>
          </w:p>
        </w:tc>
        <w:tc>
          <w:tcPr>
            <w:tcW w:w="1412" w:type="dxa"/>
            <w:tcBorders>
              <w:bottom w:val="single" w:color="000000" w:sz="12" w:space="0"/>
            </w:tcBorders>
            <w:shd w:val="clear" w:color="auto" w:fill="FFFFFF"/>
            <w:vAlign w:val="center"/>
          </w:tcPr>
          <w:p w14:paraId="15F10379">
            <w:pPr>
              <w:ind w:left="0" w:leftChars="0" w:firstLine="0" w:firstLineChars="0"/>
              <w:jc w:val="center"/>
              <w:rPr>
                <w:rFonts w:hint="default"/>
                <w:b w:val="0"/>
                <w:color w:val="000000"/>
                <w:lang w:val="en-US" w:eastAsia="zh-CN"/>
              </w:rPr>
            </w:pPr>
            <w:r>
              <w:rPr>
                <w:rFonts w:hint="eastAsia"/>
                <w:b w:val="0"/>
                <w:color w:val="000000"/>
                <w:lang w:val="en-US" w:eastAsia="zh-CN"/>
              </w:rPr>
              <w:t>5.953</w:t>
            </w:r>
          </w:p>
        </w:tc>
        <w:tc>
          <w:tcPr>
            <w:tcW w:w="1235" w:type="dxa"/>
            <w:tcBorders>
              <w:bottom w:val="single" w:color="000000" w:sz="12" w:space="0"/>
            </w:tcBorders>
            <w:shd w:val="clear" w:color="auto" w:fill="FFFFFF"/>
            <w:vAlign w:val="center"/>
          </w:tcPr>
          <w:p w14:paraId="507E6DAA">
            <w:pPr>
              <w:ind w:left="0" w:leftChars="0" w:firstLine="0" w:firstLineChars="0"/>
              <w:jc w:val="center"/>
              <w:rPr>
                <w:rFonts w:hint="default"/>
                <w:b w:val="0"/>
                <w:color w:val="000000"/>
                <w:lang w:val="en-US" w:eastAsia="zh-CN"/>
              </w:rPr>
            </w:pPr>
            <w:r>
              <w:rPr>
                <w:rFonts w:hint="eastAsia"/>
                <w:b w:val="0"/>
                <w:color w:val="000000"/>
                <w:lang w:val="en-US" w:eastAsia="zh-CN"/>
              </w:rPr>
              <w:t>1.200</w:t>
            </w:r>
          </w:p>
        </w:tc>
        <w:tc>
          <w:tcPr>
            <w:tcW w:w="936" w:type="dxa"/>
            <w:tcBorders>
              <w:bottom w:val="single" w:color="000000" w:sz="12" w:space="0"/>
            </w:tcBorders>
            <w:shd w:val="clear" w:color="auto" w:fill="FFFFFF"/>
            <w:vAlign w:val="center"/>
          </w:tcPr>
          <w:p w14:paraId="5273A507">
            <w:pPr>
              <w:ind w:left="0" w:leftChars="0" w:firstLine="0" w:firstLineChars="0"/>
              <w:jc w:val="center"/>
              <w:rPr>
                <w:rFonts w:hint="default"/>
                <w:b w:val="0"/>
                <w:color w:val="000000"/>
                <w:lang w:val="en-US" w:eastAsia="zh-CN"/>
              </w:rPr>
            </w:pPr>
            <w:r>
              <w:rPr>
                <w:rFonts w:hint="eastAsia"/>
                <w:b w:val="0"/>
                <w:color w:val="000000"/>
                <w:lang w:val="en-US" w:eastAsia="zh-CN"/>
              </w:rPr>
              <w:t>164.224</w:t>
            </w:r>
          </w:p>
        </w:tc>
        <w:tc>
          <w:tcPr>
            <w:tcW w:w="1873" w:type="dxa"/>
            <w:tcBorders>
              <w:bottom w:val="single" w:color="000000" w:sz="12" w:space="0"/>
            </w:tcBorders>
            <w:shd w:val="clear" w:color="auto" w:fill="FFFFFF"/>
            <w:vAlign w:val="center"/>
          </w:tcPr>
          <w:p w14:paraId="1DD50278">
            <w:pPr>
              <w:ind w:left="0" w:leftChars="0" w:firstLine="0" w:firstLineChars="0"/>
              <w:jc w:val="center"/>
              <w:rPr>
                <w:rFonts w:hint="default"/>
                <w:b w:val="0"/>
                <w:color w:val="000000"/>
                <w:lang w:val="en-US" w:eastAsia="zh-CN"/>
              </w:rPr>
            </w:pPr>
            <w:r>
              <w:rPr>
                <w:rFonts w:hint="eastAsia"/>
                <w:b w:val="0"/>
                <w:color w:val="000000"/>
                <w:lang w:val="en-US" w:eastAsia="zh-CN"/>
              </w:rPr>
              <w:t>0.002973</w:t>
            </w:r>
          </w:p>
        </w:tc>
      </w:tr>
    </w:tbl>
    <w:p w14:paraId="5AE89279">
      <w:pPr>
        <w:rPr>
          <w:rFonts w:hint="eastAsia"/>
          <w:lang w:val="en-US" w:eastAsia="zh-CN"/>
        </w:rPr>
      </w:pPr>
    </w:p>
    <w:p w14:paraId="0BE8BD97">
      <w:pPr>
        <w:pStyle w:val="3"/>
        <w:bidi w:val="0"/>
        <w:rPr>
          <w:rFonts w:hint="eastAsia"/>
          <w:lang w:val="en-US" w:eastAsia="zh-CN"/>
        </w:rPr>
      </w:pPr>
      <w:bookmarkStart w:id="26" w:name="_Toc853533415"/>
      <w:r>
        <w:rPr>
          <w:rFonts w:hint="eastAsia"/>
          <w:lang w:val="en-US" w:eastAsia="zh-CN"/>
        </w:rPr>
        <w:t>SAF实验设计与结果</w:t>
      </w:r>
      <w:bookmarkEnd w:id="26"/>
    </w:p>
    <w:p w14:paraId="3790E9A0">
      <w:pPr>
        <w:rPr>
          <w:rFonts w:hint="eastAsia"/>
          <w:lang w:val="en-US" w:eastAsia="zh-CN"/>
        </w:rPr>
      </w:pPr>
      <w:r>
        <w:rPr>
          <w:rFonts w:hint="eastAsia"/>
          <w:lang w:val="en-US" w:eastAsia="zh-CN"/>
        </w:rPr>
        <w:t>与ATF的二维MT反演一样，本次 SAF 剖面（数据如</w:t>
      </w:r>
      <w:r>
        <w:rPr>
          <w:rFonts w:hint="eastAsia"/>
          <w:lang w:val="en-US" w:eastAsia="zh-CN"/>
        </w:rPr>
        <w:fldChar w:fldCharType="begin"/>
      </w:r>
      <w:r>
        <w:rPr>
          <w:rFonts w:hint="eastAsia"/>
          <w:lang w:val="en-US" w:eastAsia="zh-CN"/>
        </w:rPr>
        <w:instrText xml:space="preserve"> REF _Ref401620505 \h </w:instrText>
      </w:r>
      <w:r>
        <w:rPr>
          <w:rFonts w:hint="eastAsia"/>
          <w:lang w:val="en-US" w:eastAsia="zh-CN"/>
        </w:rPr>
        <w:fldChar w:fldCharType="separate"/>
      </w:r>
      <w:r>
        <w:t xml:space="preserve">图 </w:t>
      </w:r>
      <w:r>
        <w:fldChar w:fldCharType="begin"/>
      </w:r>
      <w:r>
        <w:instrText xml:space="preserve"> STYLEREF 1 \s </w:instrText>
      </w:r>
      <w:r>
        <w:fldChar w:fldCharType="separate"/>
      </w:r>
      <w:r>
        <w:t>5</w:t>
      </w:r>
      <w:r>
        <w:fldChar w:fldCharType="end"/>
      </w:r>
      <w:r>
        <w:rPr>
          <w:rFonts w:hint="eastAsia"/>
          <w:lang w:eastAsia="zh-CN"/>
        </w:rPr>
        <w:t>-</w:t>
      </w:r>
      <w:r>
        <w:t>9</w:t>
      </w:r>
      <w:r>
        <w:rPr>
          <w:rFonts w:hint="eastAsia"/>
          <w:lang w:val="en-US" w:eastAsia="zh-CN"/>
        </w:rPr>
        <w:fldChar w:fldCharType="end"/>
      </w:r>
      <w:r>
        <w:rPr>
          <w:rFonts w:hint="eastAsia"/>
          <w:lang w:val="en-US" w:eastAsia="zh-CN"/>
        </w:rPr>
        <w:t>）二维 MT 反演也是在 Jupyter Notebook 环境下完成，运行内核为 Python 3.10.20。数据处理和反演输入文件生成主要依赖 MTpy，二维反演计算由 Occam2D 程序完成。输入数据为 ./edi 文件夹中的 SAF 剖面 EDI 文件。</w:t>
      </w:r>
    </w:p>
    <w:p w14:paraId="21E8B51D">
      <w:pPr>
        <w:ind w:left="0" w:leftChars="0" w:firstLine="0" w:firstLineChars="0"/>
        <w:jc w:val="center"/>
        <w:rPr>
          <w:rFonts w:hint="eastAsia"/>
          <w:lang w:val="en-US" w:eastAsia="zh-CN"/>
        </w:rPr>
      </w:pPr>
      <w:r>
        <w:rPr>
          <w:rFonts w:hint="eastAsia"/>
          <w:lang w:val="en-US" w:eastAsia="zh-CN"/>
        </w:rPr>
        <w:drawing>
          <wp:inline distT="0" distB="0" distL="114300" distR="114300">
            <wp:extent cx="4282440" cy="3152140"/>
            <wp:effectExtent l="0" t="0" r="10160" b="22860"/>
            <wp:docPr id="16" name="图片 16" descr="SAF地理位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SAF地理位置"/>
                    <pic:cNvPicPr>
                      <a:picLocks noChangeAspect="1"/>
                    </pic:cNvPicPr>
                  </pic:nvPicPr>
                  <pic:blipFill>
                    <a:blip r:embed="rId16"/>
                    <a:stretch>
                      <a:fillRect/>
                    </a:stretch>
                  </pic:blipFill>
                  <pic:spPr>
                    <a:xfrm>
                      <a:off x="0" y="0"/>
                      <a:ext cx="4282440" cy="3152140"/>
                    </a:xfrm>
                    <a:prstGeom prst="rect">
                      <a:avLst/>
                    </a:prstGeom>
                  </pic:spPr>
                </pic:pic>
              </a:graphicData>
            </a:graphic>
          </wp:inline>
        </w:drawing>
      </w:r>
    </w:p>
    <w:p w14:paraId="24AF72B0">
      <w:pPr>
        <w:pStyle w:val="9"/>
        <w:ind w:left="0" w:leftChars="0" w:firstLine="0" w:firstLineChars="0"/>
        <w:jc w:val="center"/>
        <w:rPr>
          <w:rFonts w:hint="default" w:eastAsia="仿宋"/>
          <w:lang w:val="en-US" w:eastAsia="zh-CN"/>
        </w:rPr>
      </w:pPr>
      <w:bookmarkStart w:id="27" w:name="_Ref401620505"/>
      <w:bookmarkStart w:id="28" w:name="_Ref373334324"/>
      <w:r>
        <w:t xml:space="preserve">图 </w:t>
      </w:r>
      <w:r>
        <w:fldChar w:fldCharType="begin"/>
      </w:r>
      <w:r>
        <w:instrText xml:space="preserve"> STYLEREF 1 \s </w:instrText>
      </w:r>
      <w:r>
        <w:fldChar w:fldCharType="separate"/>
      </w:r>
      <w:r>
        <w:t>5</w:t>
      </w:r>
      <w:r>
        <w:fldChar w:fldCharType="end"/>
      </w:r>
      <w:r>
        <w:rPr>
          <w:rFonts w:hint="eastAsia"/>
          <w:lang w:eastAsia="zh-CN"/>
        </w:rPr>
        <w:t>-</w:t>
      </w:r>
      <w:r>
        <w:fldChar w:fldCharType="begin"/>
      </w:r>
      <w:r>
        <w:instrText xml:space="preserve"> SEQ 图 \* ARABIC \s 1 </w:instrText>
      </w:r>
      <w:r>
        <w:fldChar w:fldCharType="separate"/>
      </w:r>
      <w:r>
        <w:t>9</w:t>
      </w:r>
      <w:r>
        <w:fldChar w:fldCharType="end"/>
      </w:r>
      <w:bookmarkEnd w:id="27"/>
      <w:bookmarkStart w:id="29" w:name="_Toc1943981294"/>
      <w:r>
        <w:rPr>
          <w:rFonts w:hint="eastAsia"/>
          <w:lang w:val="en-US" w:eastAsia="zh-CN"/>
        </w:rPr>
        <w:t xml:space="preserve"> 圣安德烈斯断裂台站分布</w:t>
      </w:r>
      <w:bookmarkEnd w:id="28"/>
      <w:bookmarkEnd w:id="29"/>
    </w:p>
    <w:p w14:paraId="4F372D15">
      <w:pPr>
        <w:rPr>
          <w:rFonts w:hint="default"/>
          <w:lang w:val="en-US" w:eastAsia="zh-CN"/>
        </w:rPr>
      </w:pPr>
      <w:r>
        <w:rPr>
          <w:rFonts w:hint="eastAsia"/>
          <w:lang w:val="en-US" w:eastAsia="zh-CN"/>
        </w:rPr>
        <w:t>（1）反演参数与测点筛选对比实验</w:t>
      </w:r>
    </w:p>
    <w:p w14:paraId="1A32B3BA">
      <w:pPr>
        <w:rPr>
          <w:rFonts w:hint="eastAsia"/>
          <w:lang w:val="en-US" w:eastAsia="zh-CN"/>
        </w:rPr>
      </w:pPr>
      <w:r>
        <w:rPr>
          <w:rFonts w:hint="eastAsia"/>
          <w:lang w:val="en-US" w:eastAsia="zh-CN"/>
        </w:rPr>
        <w:t>本次实验的视电阻率误差设置为 10%，相位误差设置为 5%。频率设置包括两组方案：基础方案采用 np.logspace(-3.436, 2.10, 14)，频率范围约为 0.00037–125.9 Hz；New 方案采用 np.logspace(-3.0, 2.10, 21)，频率范围约为 0.001–125.9 Hz，剔除了低于 0.001 Hz 的极低频数据并增加了频率采样数量。</w:t>
      </w:r>
    </w:p>
    <w:p w14:paraId="0C479BE9">
      <w:pPr>
        <w:rPr>
          <w:rFonts w:hint="eastAsia"/>
          <w:lang w:val="en-US" w:eastAsia="zh-CN"/>
        </w:rPr>
      </w:pPr>
      <w:r>
        <w:rPr>
          <w:rFonts w:hint="eastAsia"/>
          <w:lang w:val="en-US" w:eastAsia="zh-CN"/>
        </w:rPr>
        <w:t>反演参数的设置会直接影响模型的收敛过程及模型平滑程度，因此有必要通过多组参数试验选择相对合适的方案。已有二维 MT 研究通常通过改变正则化参数，考察 RMS 与模型粗糙度之间的权衡关系以选择最终模型</w:t>
      </w:r>
      <w:r>
        <w:rPr>
          <w:rFonts w:hint="default"/>
          <w:vertAlign w:val="superscript"/>
          <w:lang w:val="en-US" w:eastAsia="zh-CN"/>
        </w:rPr>
        <w:t>[10,13]</w:t>
      </w:r>
      <w:r>
        <w:rPr>
          <w:rFonts w:hint="eastAsia"/>
          <w:lang w:val="en-US" w:eastAsia="zh-CN"/>
        </w:rPr>
        <w:t>。 本实验据此对基础方案和 New 方案进行了对比。</w:t>
      </w:r>
    </w:p>
    <w:p w14:paraId="0FE62CA7">
      <w:pPr>
        <w:rPr>
          <w:rFonts w:hint="eastAsia"/>
          <w:lang w:val="en-US" w:eastAsia="zh-CN"/>
        </w:rPr>
      </w:pPr>
      <w:r>
        <w:rPr>
          <w:rFonts w:hint="eastAsia"/>
          <w:lang w:val="en-US" w:eastAsia="zh-CN"/>
        </w:rPr>
        <w:t>基础方案使用 40 个垂向层、500 m 水平网格宽度、200 km 模型底界和 100 km 目标深度；New 方案使用 60 个垂向层、400 m 水平网格宽度、150 km 模型底界和 80 km 目标深度，网格更精细，更有利于约束浅—中地壳结构。反演初始模型为均匀 100 Ω·m 半空间，最大迭代次数为 30 次，目标拟合差为 1.2。总体上，该参数设置兼顾了数据拟合、模型平滑性和 SAF 剖面中上地壳电性结构的分辨能力。</w:t>
      </w:r>
    </w:p>
    <w:p w14:paraId="5ED57A38">
      <w:pPr>
        <w:rPr>
          <w:rFonts w:hint="eastAsia"/>
          <w:lang w:val="en-US" w:eastAsia="zh-CN"/>
        </w:rPr>
      </w:pPr>
      <w:r>
        <w:rPr>
          <w:rFonts w:hint="eastAsia"/>
          <w:lang w:val="en-US" w:eastAsia="zh-CN"/>
        </w:rPr>
        <w:t>对比不同参数设置及测点筛选条件下的 SAF 剖面二维 MT 反演结果（如</w:t>
      </w:r>
      <w:r>
        <w:rPr>
          <w:rFonts w:hint="eastAsia"/>
          <w:lang w:val="en-US" w:eastAsia="zh-CN"/>
        </w:rPr>
        <w:fldChar w:fldCharType="begin"/>
      </w:r>
      <w:r>
        <w:rPr>
          <w:rFonts w:hint="eastAsia"/>
          <w:lang w:val="en-US" w:eastAsia="zh-CN"/>
        </w:rPr>
        <w:instrText xml:space="preserve"> REF _Ref334997557 \h </w:instrText>
      </w:r>
      <w:r>
        <w:rPr>
          <w:rFonts w:hint="eastAsia"/>
          <w:lang w:val="en-US" w:eastAsia="zh-CN"/>
        </w:rPr>
        <w:fldChar w:fldCharType="separate"/>
      </w:r>
      <w:r>
        <w:t xml:space="preserve">图 </w:t>
      </w:r>
      <w:r>
        <w:fldChar w:fldCharType="begin"/>
      </w:r>
      <w:r>
        <w:instrText xml:space="preserve"> STYLEREF 1 \s </w:instrText>
      </w:r>
      <w:r>
        <w:fldChar w:fldCharType="separate"/>
      </w:r>
      <w:r>
        <w:t>5</w:t>
      </w:r>
      <w:r>
        <w:fldChar w:fldCharType="end"/>
      </w:r>
      <w:r>
        <w:rPr>
          <w:rFonts w:hint="eastAsia"/>
          <w:lang w:eastAsia="zh-CN"/>
        </w:rPr>
        <w:t>-</w:t>
      </w:r>
      <w:r>
        <w:t>10</w:t>
      </w:r>
      <w:r>
        <w:rPr>
          <w:rFonts w:hint="eastAsia"/>
          <w:lang w:val="en-US" w:eastAsia="zh-CN"/>
        </w:rPr>
        <w:fldChar w:fldCharType="end"/>
      </w:r>
      <w:r>
        <w:rPr>
          <w:rFonts w:hint="eastAsia"/>
          <w:lang w:val="en-US" w:eastAsia="zh-CN"/>
        </w:rPr>
        <w:t>）后可以发现采用 New 频率和网格参数后，RMS 拟合差和模型粗糙度均有所降低，表明增加有效频率采样并适当细化模型网格能够改善反演效果。</w:t>
      </w:r>
    </w:p>
    <w:p w14:paraId="118F8FB6">
      <w:pPr>
        <w:rPr>
          <w:rFonts w:hint="eastAsia"/>
          <w:lang w:val="en-US" w:eastAsia="zh-CN"/>
        </w:rPr>
      </w:pPr>
      <w:r>
        <w:rPr>
          <w:rFonts w:hint="eastAsia"/>
          <w:lang w:val="en-US" w:eastAsia="zh-CN"/>
        </w:rPr>
        <w:t>数据筛选是提高 MT 反演可靠性的重要环节。例如 Share et al.（2023）在 San Andreas Fault 的 MT 二维成像中，根据阻抗和 Tipper 数据质量检查剔除了异常数据后再进行二维反演</w:t>
      </w:r>
      <w:r>
        <w:rPr>
          <w:rFonts w:hint="default"/>
          <w:vertAlign w:val="superscript"/>
          <w:lang w:val="en-US" w:eastAsia="zh-CN"/>
        </w:rPr>
        <w:t>[1</w:t>
      </w:r>
      <w:r>
        <w:rPr>
          <w:rFonts w:hint="eastAsia"/>
          <w:vertAlign w:val="superscript"/>
          <w:lang w:val="en-US" w:eastAsia="zh-CN"/>
        </w:rPr>
        <w:t>7</w:t>
      </w:r>
      <w:r>
        <w:rPr>
          <w:rFonts w:hint="default"/>
          <w:vertAlign w:val="superscript"/>
          <w:lang w:val="en-US" w:eastAsia="zh-CN"/>
        </w:rPr>
        <w:t>]</w:t>
      </w:r>
      <w:r>
        <w:rPr>
          <w:rFonts w:hint="eastAsia"/>
          <w:lang w:val="en-US" w:eastAsia="zh-CN"/>
        </w:rPr>
        <w:t>。 本实验通过剔除 mvx030 和 mvx031 后重新反演，以测试可疑测点对 SAF 电性结构模型的影响。可以发现进一步剔除这两个测点后，RMS 继续下降，其中 New 方案最终 RMS 为 3.2793，模型粗糙度为 101.1153（见</w:t>
      </w:r>
      <w:r>
        <w:rPr>
          <w:rFonts w:hint="eastAsia"/>
          <w:lang w:val="en-US" w:eastAsia="zh-CN"/>
        </w:rPr>
        <w:fldChar w:fldCharType="begin"/>
      </w:r>
      <w:r>
        <w:rPr>
          <w:rFonts w:hint="eastAsia"/>
          <w:lang w:val="en-US" w:eastAsia="zh-CN"/>
        </w:rPr>
        <w:instrText xml:space="preserve"> REF _Ref356644973 \h </w:instrText>
      </w:r>
      <w:r>
        <w:rPr>
          <w:rFonts w:hint="eastAsia"/>
          <w:lang w:val="en-US" w:eastAsia="zh-CN"/>
        </w:rPr>
        <w:fldChar w:fldCharType="separate"/>
      </w:r>
      <w:r>
        <w:t xml:space="preserve">表 </w:t>
      </w:r>
      <w:r>
        <w:fldChar w:fldCharType="begin"/>
      </w:r>
      <w:r>
        <w:instrText xml:space="preserve"> STYLEREF 1 \s </w:instrText>
      </w:r>
      <w:r>
        <w:fldChar w:fldCharType="separate"/>
      </w:r>
      <w:r>
        <w:t>5</w:t>
      </w:r>
      <w:r>
        <w:fldChar w:fldCharType="end"/>
      </w:r>
      <w:r>
        <w:rPr>
          <w:rFonts w:hint="eastAsia"/>
          <w:lang w:eastAsia="zh-CN"/>
        </w:rPr>
        <w:t>-</w:t>
      </w:r>
      <w:r>
        <w:t>4</w:t>
      </w:r>
      <w:r>
        <w:rPr>
          <w:rFonts w:hint="eastAsia"/>
          <w:lang w:val="en-US" w:eastAsia="zh-CN"/>
        </w:rPr>
        <w:fldChar w:fldCharType="end"/>
      </w:r>
      <w:r>
        <w:rPr>
          <w:rFonts w:hint="eastAsia"/>
          <w:lang w:val="en-US" w:eastAsia="zh-CN"/>
        </w:rPr>
        <w:t>），为四组方案中最低（为了展示效果，未将剔除站点的NEW方案放入对比图中）。说明 mvx030 和 mvx031 可能包含较明显的数据异常或局部三维效应，其参与反演会在一定程度上降低二维反演的整体拟合质量。需要指出的是，各方案最终 RMS 均高于设定的目标拟合差 1.2，因此反演尚未达到目标 RMS，最终模型仍应结合响应拟合情况和电性结构的地质合理性进行综合评价。</w:t>
      </w:r>
    </w:p>
    <w:p w14:paraId="3D1E9458">
      <w:pPr>
        <w:ind w:left="0" w:leftChars="0" w:firstLine="0" w:firstLineChars="0"/>
        <w:rPr>
          <w:rFonts w:hint="eastAsia"/>
          <w:lang w:val="en-US" w:eastAsia="zh-CN"/>
        </w:rPr>
      </w:pPr>
      <w:r>
        <w:rPr>
          <w:rFonts w:hint="eastAsia"/>
          <w:lang w:val="en-US" w:eastAsia="zh-CN"/>
        </w:rPr>
        <w:drawing>
          <wp:inline distT="0" distB="0" distL="114300" distR="114300">
            <wp:extent cx="5687060" cy="3010535"/>
            <wp:effectExtent l="0" t="0" r="2540" b="12065"/>
            <wp:docPr id="3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9"/>
                    <pic:cNvPicPr>
                      <a:picLocks noChangeAspect="1"/>
                    </pic:cNvPicPr>
                  </pic:nvPicPr>
                  <pic:blipFill>
                    <a:blip r:embed="rId17"/>
                    <a:stretch>
                      <a:fillRect/>
                    </a:stretch>
                  </pic:blipFill>
                  <pic:spPr>
                    <a:xfrm>
                      <a:off x="0" y="0"/>
                      <a:ext cx="5687060" cy="3010535"/>
                    </a:xfrm>
                    <a:prstGeom prst="rect">
                      <a:avLst/>
                    </a:prstGeom>
                    <a:noFill/>
                    <a:ln>
                      <a:noFill/>
                    </a:ln>
                  </pic:spPr>
                </pic:pic>
              </a:graphicData>
            </a:graphic>
          </wp:inline>
        </w:drawing>
      </w:r>
    </w:p>
    <w:p w14:paraId="3C5BEDD4">
      <w:pPr>
        <w:pStyle w:val="9"/>
        <w:ind w:left="0" w:leftChars="0" w:firstLine="0" w:firstLineChars="0"/>
        <w:rPr>
          <w:rFonts w:hint="eastAsia"/>
          <w:lang w:val="en-US" w:eastAsia="zh-CN"/>
        </w:rPr>
      </w:pPr>
      <w:bookmarkStart w:id="30" w:name="_Ref334997557"/>
      <w:r>
        <w:t xml:space="preserve">图 </w:t>
      </w:r>
      <w:r>
        <w:fldChar w:fldCharType="begin"/>
      </w:r>
      <w:r>
        <w:instrText xml:space="preserve"> STYLEREF 1 \s </w:instrText>
      </w:r>
      <w:r>
        <w:fldChar w:fldCharType="separate"/>
      </w:r>
      <w:r>
        <w:t>5</w:t>
      </w:r>
      <w:r>
        <w:fldChar w:fldCharType="end"/>
      </w:r>
      <w:r>
        <w:rPr>
          <w:rFonts w:hint="eastAsia"/>
          <w:lang w:eastAsia="zh-CN"/>
        </w:rPr>
        <w:t>-</w:t>
      </w:r>
      <w:r>
        <w:fldChar w:fldCharType="begin"/>
      </w:r>
      <w:r>
        <w:instrText xml:space="preserve"> SEQ 图 \* ARABIC \s 1 </w:instrText>
      </w:r>
      <w:r>
        <w:fldChar w:fldCharType="separate"/>
      </w:r>
      <w:r>
        <w:t>10</w:t>
      </w:r>
      <w:r>
        <w:fldChar w:fldCharType="end"/>
      </w:r>
      <w:bookmarkEnd w:id="30"/>
      <w:bookmarkStart w:id="31" w:name="_Toc1298046853"/>
      <w:r>
        <w:rPr>
          <w:rFonts w:hint="eastAsia"/>
          <w:lang w:val="en-US" w:eastAsia="zh-CN"/>
        </w:rPr>
        <w:t xml:space="preserve"> SAF剖面不同参数配置及测点筛选条件下的二维MT反演电阻率模型对比</w:t>
      </w:r>
      <w:bookmarkEnd w:id="31"/>
    </w:p>
    <w:p w14:paraId="0C9C40F0">
      <w:pPr>
        <w:ind w:left="0" w:leftChars="0" w:firstLine="0" w:firstLineChars="0"/>
        <w:rPr>
          <w:rFonts w:hint="eastAsia"/>
          <w:lang w:val="en-US" w:eastAsia="zh-CN"/>
        </w:rPr>
      </w:pPr>
      <w:r>
        <w:rPr>
          <w:rFonts w:hint="eastAsia" w:ascii="Times New Roman" w:hAnsi="Times New Roman" w:eastAsia="仿宋" w:cs="仿宋"/>
          <w:kern w:val="2"/>
          <w:sz w:val="21"/>
          <w:szCs w:val="21"/>
          <w:lang w:val="en-US" w:eastAsia="zh-CN" w:bidi="ar-SA"/>
        </w:rPr>
        <w:t>（a）基础参数方案，全部测点参与反演；（b）New参数方案，全部测点参与反演；（c）基础参数方案，剔除 mvx030 和 mvx031 后的反演结果。各模型采用统一电阻率色标及横纵坐标，用于比较参数设置及异常测点筛选对二维电性结构反演结果的影响。</w:t>
      </w:r>
    </w:p>
    <w:p w14:paraId="11226184">
      <w:pPr>
        <w:pStyle w:val="9"/>
        <w:rPr>
          <w:rFonts w:hint="eastAsia" w:eastAsia="仿宋"/>
          <w:lang w:val="en-US" w:eastAsia="zh-CN"/>
        </w:rPr>
      </w:pPr>
      <w:bookmarkStart w:id="32" w:name="_Ref356644973"/>
      <w:r>
        <w:t xml:space="preserve">表 </w:t>
      </w:r>
      <w:r>
        <w:fldChar w:fldCharType="begin"/>
      </w:r>
      <w:r>
        <w:instrText xml:space="preserve"> STYLEREF 1 \s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4</w:t>
      </w:r>
      <w:r>
        <w:fldChar w:fldCharType="end"/>
      </w:r>
      <w:bookmarkEnd w:id="32"/>
      <w:bookmarkStart w:id="33" w:name="_Toc1543405724"/>
      <w:r>
        <w:rPr>
          <w:rFonts w:hint="eastAsia"/>
          <w:lang w:val="en-US" w:eastAsia="zh-CN"/>
        </w:rPr>
        <w:t xml:space="preserve"> SAF 的二维 MT 不同反演方案及最终反演结果对比</w:t>
      </w:r>
      <w:bookmarkEnd w:id="33"/>
    </w:p>
    <w:tbl>
      <w:tblPr>
        <w:tblStyle w:val="23"/>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37"/>
        <w:gridCol w:w="1589"/>
        <w:gridCol w:w="1320"/>
        <w:gridCol w:w="1070"/>
        <w:gridCol w:w="638"/>
        <w:gridCol w:w="982"/>
        <w:gridCol w:w="1209"/>
      </w:tblGrid>
      <w:tr w14:paraId="553D2695">
        <w:trPr>
          <w:tblHeader/>
          <w:tblCellSpacing w:w="15" w:type="dxa"/>
          <w:jc w:val="center"/>
        </w:trPr>
        <w:tc>
          <w:tcPr>
            <w:tcW w:w="0" w:type="auto"/>
            <w:tcBorders>
              <w:top w:val="single" w:color="000000" w:sz="12" w:space="0"/>
              <w:bottom w:val="single" w:color="000000" w:sz="4" w:space="0"/>
              <w:tl2br w:val="nil"/>
            </w:tcBorders>
            <w:shd w:val="clear" w:color="auto" w:fill="FFFFFF"/>
            <w:vAlign w:val="center"/>
          </w:tcPr>
          <w:p w14:paraId="13DF6A1D">
            <w:pPr>
              <w:ind w:left="0" w:leftChars="0" w:firstLine="0" w:firstLineChars="0"/>
              <w:rPr>
                <w:rFonts w:hint="eastAsia"/>
                <w:b w:val="0"/>
                <w:color w:val="000000"/>
                <w:lang w:val="en-US" w:eastAsia="zh-CN"/>
              </w:rPr>
            </w:pPr>
            <w:r>
              <w:rPr>
                <w:rFonts w:hint="eastAsia"/>
                <w:b w:val="0"/>
                <w:color w:val="000000"/>
                <w:lang w:val="en-US" w:eastAsia="zh-CN"/>
              </w:rPr>
              <w:t>反演方案</w:t>
            </w:r>
          </w:p>
        </w:tc>
        <w:tc>
          <w:tcPr>
            <w:tcW w:w="0" w:type="auto"/>
            <w:tcBorders>
              <w:top w:val="single" w:color="000000" w:sz="12" w:space="0"/>
              <w:bottom w:val="single" w:color="000000" w:sz="4" w:space="0"/>
            </w:tcBorders>
            <w:shd w:val="clear" w:color="auto" w:fill="FFFFFF"/>
            <w:vAlign w:val="center"/>
          </w:tcPr>
          <w:p w14:paraId="2BC9B549">
            <w:pPr>
              <w:ind w:left="0" w:leftChars="0" w:firstLine="0" w:firstLineChars="0"/>
              <w:rPr>
                <w:rFonts w:hint="eastAsia"/>
                <w:b w:val="0"/>
                <w:color w:val="000000"/>
                <w:lang w:val="en-US" w:eastAsia="zh-CN"/>
              </w:rPr>
            </w:pPr>
            <w:r>
              <w:rPr>
                <w:rFonts w:hint="eastAsia"/>
                <w:b w:val="0"/>
                <w:color w:val="000000"/>
                <w:lang w:val="en-US" w:eastAsia="zh-CN"/>
              </w:rPr>
              <w:t>测点设置</w:t>
            </w:r>
          </w:p>
        </w:tc>
        <w:tc>
          <w:tcPr>
            <w:tcW w:w="0" w:type="auto"/>
            <w:tcBorders>
              <w:top w:val="single" w:color="000000" w:sz="12" w:space="0"/>
              <w:bottom w:val="single" w:color="000000" w:sz="4" w:space="0"/>
            </w:tcBorders>
            <w:shd w:val="clear" w:color="auto" w:fill="FFFFFF"/>
            <w:vAlign w:val="center"/>
          </w:tcPr>
          <w:p w14:paraId="63C1FFFF">
            <w:pPr>
              <w:ind w:left="0" w:leftChars="0" w:firstLine="0" w:firstLineChars="0"/>
              <w:rPr>
                <w:rFonts w:hint="eastAsia"/>
                <w:b w:val="0"/>
                <w:color w:val="000000"/>
                <w:lang w:val="en-US" w:eastAsia="zh-CN"/>
              </w:rPr>
            </w:pPr>
            <w:r>
              <w:rPr>
                <w:rFonts w:hint="eastAsia"/>
                <w:b w:val="0"/>
                <w:color w:val="000000"/>
                <w:lang w:val="en-US" w:eastAsia="zh-CN"/>
              </w:rPr>
              <w:t>最终迭代次数</w:t>
            </w:r>
          </w:p>
        </w:tc>
        <w:tc>
          <w:tcPr>
            <w:tcW w:w="0" w:type="auto"/>
            <w:tcBorders>
              <w:top w:val="single" w:color="000000" w:sz="12" w:space="0"/>
              <w:bottom w:val="single" w:color="000000" w:sz="4" w:space="0"/>
            </w:tcBorders>
            <w:shd w:val="clear" w:color="auto" w:fill="FFFFFF"/>
            <w:vAlign w:val="center"/>
          </w:tcPr>
          <w:p w14:paraId="74C62FCD">
            <w:pPr>
              <w:ind w:left="0" w:leftChars="0" w:firstLine="0" w:firstLineChars="0"/>
              <w:rPr>
                <w:rFonts w:hint="eastAsia"/>
                <w:b w:val="0"/>
                <w:color w:val="000000"/>
                <w:lang w:val="en-US" w:eastAsia="zh-CN"/>
              </w:rPr>
            </w:pPr>
            <w:r>
              <w:rPr>
                <w:rFonts w:hint="eastAsia"/>
                <w:b w:val="0"/>
                <w:color w:val="000000"/>
                <w:lang w:val="en-US" w:eastAsia="zh-CN"/>
              </w:rPr>
              <w:t>RMS Misfit</w:t>
            </w:r>
          </w:p>
        </w:tc>
        <w:tc>
          <w:tcPr>
            <w:tcW w:w="0" w:type="auto"/>
            <w:tcBorders>
              <w:top w:val="single" w:color="000000" w:sz="12" w:space="0"/>
              <w:bottom w:val="single" w:color="000000" w:sz="4" w:space="0"/>
            </w:tcBorders>
            <w:shd w:val="clear" w:color="auto" w:fill="FFFFFF"/>
            <w:vAlign w:val="center"/>
          </w:tcPr>
          <w:p w14:paraId="5CC65BA6">
            <w:pPr>
              <w:ind w:left="0" w:leftChars="0" w:firstLine="0" w:firstLineChars="0"/>
              <w:rPr>
                <w:rFonts w:hint="eastAsia"/>
                <w:b w:val="0"/>
                <w:color w:val="000000"/>
                <w:lang w:val="en-US" w:eastAsia="zh-CN"/>
              </w:rPr>
            </w:pPr>
            <w:r>
              <w:rPr>
                <w:rFonts w:hint="eastAsia"/>
                <w:b w:val="0"/>
                <w:color w:val="000000"/>
                <w:lang w:val="en-US" w:eastAsia="zh-CN"/>
              </w:rPr>
              <w:t>Target</w:t>
            </w:r>
          </w:p>
        </w:tc>
        <w:tc>
          <w:tcPr>
            <w:tcW w:w="0" w:type="auto"/>
            <w:tcBorders>
              <w:top w:val="single" w:color="000000" w:sz="12" w:space="0"/>
              <w:bottom w:val="single" w:color="000000" w:sz="4" w:space="0"/>
            </w:tcBorders>
            <w:shd w:val="clear" w:color="auto" w:fill="FFFFFF"/>
            <w:vAlign w:val="center"/>
          </w:tcPr>
          <w:p w14:paraId="7C821ADD">
            <w:pPr>
              <w:ind w:left="0" w:leftChars="0" w:firstLine="0" w:firstLineChars="0"/>
              <w:rPr>
                <w:rFonts w:hint="eastAsia"/>
                <w:b w:val="0"/>
                <w:color w:val="000000"/>
                <w:lang w:val="en-US" w:eastAsia="zh-CN"/>
              </w:rPr>
            </w:pPr>
            <w:r>
              <w:rPr>
                <w:rFonts w:hint="eastAsia"/>
                <w:b w:val="0"/>
                <w:color w:val="000000"/>
                <w:lang w:val="en-US" w:eastAsia="zh-CN"/>
              </w:rPr>
              <w:t>Roughness</w:t>
            </w:r>
          </w:p>
        </w:tc>
        <w:tc>
          <w:tcPr>
            <w:tcW w:w="0" w:type="auto"/>
            <w:tcBorders>
              <w:top w:val="single" w:color="000000" w:sz="12" w:space="0"/>
              <w:bottom w:val="single" w:color="000000" w:sz="4" w:space="0"/>
            </w:tcBorders>
            <w:shd w:val="clear" w:color="auto" w:fill="FFFFFF"/>
            <w:vAlign w:val="center"/>
          </w:tcPr>
          <w:p w14:paraId="4C10E236">
            <w:pPr>
              <w:ind w:left="0" w:leftChars="0" w:firstLine="0" w:firstLineChars="0"/>
              <w:rPr>
                <w:rFonts w:hint="eastAsia"/>
                <w:b w:val="0"/>
                <w:color w:val="000000"/>
                <w:lang w:val="en-US" w:eastAsia="zh-CN"/>
              </w:rPr>
            </w:pPr>
            <w:r>
              <w:rPr>
                <w:rFonts w:hint="eastAsia"/>
                <w:b w:val="0"/>
                <w:color w:val="000000"/>
                <w:lang w:val="en-US" w:eastAsia="zh-CN"/>
              </w:rPr>
              <w:t>Step Size</w:t>
            </w:r>
          </w:p>
        </w:tc>
      </w:tr>
      <w:tr w14:paraId="4F4CECB8">
        <w:trPr>
          <w:tblCellSpacing w:w="15" w:type="dxa"/>
          <w:jc w:val="center"/>
        </w:trPr>
        <w:tc>
          <w:tcPr>
            <w:tcW w:w="0" w:type="auto"/>
            <w:tcBorders>
              <w:top w:val="nil"/>
            </w:tcBorders>
            <w:shd w:val="clear" w:color="auto" w:fill="FFFFFF"/>
            <w:vAlign w:val="center"/>
          </w:tcPr>
          <w:p w14:paraId="61BF3D59">
            <w:pPr>
              <w:ind w:left="0" w:leftChars="0" w:firstLine="0" w:firstLineChars="0"/>
              <w:rPr>
                <w:rFonts w:hint="eastAsia"/>
                <w:b w:val="0"/>
                <w:color w:val="000000"/>
                <w:lang w:val="en-US" w:eastAsia="zh-CN"/>
              </w:rPr>
            </w:pPr>
            <w:r>
              <w:rPr>
                <w:rFonts w:hint="eastAsia"/>
                <w:b w:val="0"/>
                <w:color w:val="000000"/>
                <w:lang w:val="en-US" w:eastAsia="zh-CN"/>
              </w:rPr>
              <w:t>基础方案</w:t>
            </w:r>
          </w:p>
        </w:tc>
        <w:tc>
          <w:tcPr>
            <w:tcW w:w="0" w:type="auto"/>
            <w:tcBorders>
              <w:top w:val="nil"/>
            </w:tcBorders>
            <w:shd w:val="clear" w:color="auto" w:fill="FFFFFF"/>
            <w:vAlign w:val="center"/>
          </w:tcPr>
          <w:p w14:paraId="26EE5853">
            <w:pPr>
              <w:ind w:left="0" w:leftChars="0" w:firstLine="0" w:firstLineChars="0"/>
              <w:rPr>
                <w:rFonts w:hint="eastAsia"/>
                <w:b w:val="0"/>
                <w:color w:val="000000"/>
                <w:lang w:val="en-US" w:eastAsia="zh-CN"/>
              </w:rPr>
            </w:pPr>
            <w:r>
              <w:rPr>
                <w:rFonts w:hint="eastAsia"/>
                <w:b w:val="0"/>
                <w:color w:val="000000"/>
                <w:lang w:val="en-US" w:eastAsia="zh-CN"/>
              </w:rPr>
              <w:t>全部测点</w:t>
            </w:r>
          </w:p>
        </w:tc>
        <w:tc>
          <w:tcPr>
            <w:tcW w:w="0" w:type="auto"/>
            <w:tcBorders>
              <w:top w:val="nil"/>
            </w:tcBorders>
            <w:shd w:val="clear" w:color="auto" w:fill="FFFFFF"/>
            <w:vAlign w:val="center"/>
          </w:tcPr>
          <w:p w14:paraId="105A95CB">
            <w:pPr>
              <w:ind w:left="0" w:leftChars="0" w:firstLine="0" w:firstLineChars="0"/>
              <w:rPr>
                <w:rFonts w:hint="eastAsia"/>
                <w:b w:val="0"/>
                <w:color w:val="000000"/>
                <w:lang w:val="en-US" w:eastAsia="zh-CN"/>
              </w:rPr>
            </w:pPr>
            <w:r>
              <w:rPr>
                <w:rFonts w:hint="eastAsia"/>
                <w:b w:val="0"/>
                <w:color w:val="000000"/>
                <w:lang w:val="en-US" w:eastAsia="zh-CN"/>
              </w:rPr>
              <w:t>30</w:t>
            </w:r>
          </w:p>
        </w:tc>
        <w:tc>
          <w:tcPr>
            <w:tcW w:w="0" w:type="auto"/>
            <w:tcBorders>
              <w:top w:val="nil"/>
            </w:tcBorders>
            <w:shd w:val="clear" w:color="auto" w:fill="FFFFFF"/>
            <w:vAlign w:val="center"/>
          </w:tcPr>
          <w:p w14:paraId="63191B9B">
            <w:pPr>
              <w:ind w:left="0" w:leftChars="0" w:firstLine="0" w:firstLineChars="0"/>
              <w:rPr>
                <w:rFonts w:hint="eastAsia"/>
                <w:b w:val="0"/>
                <w:color w:val="000000"/>
                <w:lang w:val="en-US" w:eastAsia="zh-CN"/>
              </w:rPr>
            </w:pPr>
            <w:r>
              <w:rPr>
                <w:rFonts w:hint="eastAsia"/>
                <w:b w:val="0"/>
                <w:color w:val="000000"/>
                <w:lang w:val="en-US" w:eastAsia="zh-CN"/>
              </w:rPr>
              <w:t>3.9621</w:t>
            </w:r>
          </w:p>
        </w:tc>
        <w:tc>
          <w:tcPr>
            <w:tcW w:w="0" w:type="auto"/>
            <w:tcBorders>
              <w:top w:val="nil"/>
            </w:tcBorders>
            <w:shd w:val="clear" w:color="auto" w:fill="FFFFFF"/>
            <w:vAlign w:val="center"/>
          </w:tcPr>
          <w:p w14:paraId="2684336D">
            <w:pPr>
              <w:ind w:left="0" w:leftChars="0" w:firstLine="0" w:firstLineChars="0"/>
              <w:rPr>
                <w:rFonts w:hint="eastAsia"/>
                <w:b w:val="0"/>
                <w:color w:val="000000"/>
                <w:lang w:val="en-US" w:eastAsia="zh-CN"/>
              </w:rPr>
            </w:pPr>
            <w:r>
              <w:rPr>
                <w:rFonts w:hint="eastAsia"/>
                <w:b w:val="0"/>
                <w:color w:val="000000"/>
                <w:lang w:val="en-US" w:eastAsia="zh-CN"/>
              </w:rPr>
              <w:t>1.2000</w:t>
            </w:r>
          </w:p>
        </w:tc>
        <w:tc>
          <w:tcPr>
            <w:tcW w:w="0" w:type="auto"/>
            <w:tcBorders>
              <w:top w:val="nil"/>
            </w:tcBorders>
            <w:shd w:val="clear" w:color="auto" w:fill="FFFFFF"/>
            <w:vAlign w:val="center"/>
          </w:tcPr>
          <w:p w14:paraId="7ABFA709">
            <w:pPr>
              <w:ind w:left="0" w:leftChars="0" w:firstLine="0" w:firstLineChars="0"/>
              <w:rPr>
                <w:rFonts w:hint="eastAsia"/>
                <w:b w:val="0"/>
                <w:color w:val="000000"/>
                <w:lang w:val="en-US" w:eastAsia="zh-CN"/>
              </w:rPr>
            </w:pPr>
            <w:r>
              <w:rPr>
                <w:rFonts w:hint="eastAsia"/>
                <w:b w:val="0"/>
                <w:color w:val="000000"/>
                <w:lang w:val="en-US" w:eastAsia="zh-CN"/>
              </w:rPr>
              <w:t>160.4753</w:t>
            </w:r>
          </w:p>
        </w:tc>
        <w:tc>
          <w:tcPr>
            <w:tcW w:w="0" w:type="auto"/>
            <w:tcBorders>
              <w:top w:val="nil"/>
            </w:tcBorders>
            <w:shd w:val="clear" w:color="auto" w:fill="FFFFFF"/>
            <w:vAlign w:val="center"/>
          </w:tcPr>
          <w:p w14:paraId="021402AC">
            <w:pPr>
              <w:ind w:left="0" w:leftChars="0" w:firstLine="0" w:firstLineChars="0"/>
              <w:rPr>
                <w:rFonts w:hint="eastAsia"/>
                <w:b w:val="0"/>
                <w:color w:val="000000"/>
                <w:lang w:val="en-US" w:eastAsia="zh-CN"/>
              </w:rPr>
            </w:pPr>
            <w:r>
              <w:rPr>
                <w:rFonts w:hint="eastAsia"/>
                <w:b w:val="0"/>
                <w:color w:val="000000"/>
                <w:lang w:val="en-US" w:eastAsia="zh-CN"/>
              </w:rPr>
              <w:t>3.6313×10⁻²</w:t>
            </w:r>
          </w:p>
        </w:tc>
      </w:tr>
      <w:tr w14:paraId="5AE3F30B">
        <w:trPr>
          <w:tblCellSpacing w:w="15" w:type="dxa"/>
          <w:jc w:val="center"/>
        </w:trPr>
        <w:tc>
          <w:tcPr>
            <w:tcW w:w="0" w:type="auto"/>
            <w:shd w:val="clear" w:color="auto" w:fill="FFFFFF"/>
            <w:vAlign w:val="center"/>
          </w:tcPr>
          <w:p w14:paraId="2730A625">
            <w:pPr>
              <w:ind w:left="0" w:leftChars="0" w:firstLine="0" w:firstLineChars="0"/>
              <w:rPr>
                <w:rFonts w:hint="eastAsia"/>
                <w:b w:val="0"/>
                <w:color w:val="000000"/>
                <w:lang w:val="en-US" w:eastAsia="zh-CN"/>
              </w:rPr>
            </w:pPr>
            <w:r>
              <w:rPr>
                <w:rFonts w:hint="eastAsia"/>
                <w:b w:val="0"/>
                <w:color w:val="000000"/>
                <w:lang w:val="en-US" w:eastAsia="zh-CN"/>
              </w:rPr>
              <w:t>New方案</w:t>
            </w:r>
          </w:p>
        </w:tc>
        <w:tc>
          <w:tcPr>
            <w:tcW w:w="0" w:type="auto"/>
            <w:shd w:val="clear" w:color="auto" w:fill="FFFFFF"/>
            <w:vAlign w:val="center"/>
          </w:tcPr>
          <w:p w14:paraId="5331716D">
            <w:pPr>
              <w:ind w:left="0" w:leftChars="0" w:firstLine="0" w:firstLineChars="0"/>
              <w:rPr>
                <w:rFonts w:hint="eastAsia"/>
                <w:b w:val="0"/>
                <w:color w:val="000000"/>
                <w:lang w:val="en-US" w:eastAsia="zh-CN"/>
              </w:rPr>
            </w:pPr>
            <w:r>
              <w:rPr>
                <w:rFonts w:hint="eastAsia"/>
                <w:b w:val="0"/>
                <w:color w:val="000000"/>
                <w:lang w:val="en-US" w:eastAsia="zh-CN"/>
              </w:rPr>
              <w:t>全部测点</w:t>
            </w:r>
          </w:p>
        </w:tc>
        <w:tc>
          <w:tcPr>
            <w:tcW w:w="0" w:type="auto"/>
            <w:shd w:val="clear" w:color="auto" w:fill="FFFFFF"/>
            <w:vAlign w:val="center"/>
          </w:tcPr>
          <w:p w14:paraId="6976EB8F">
            <w:pPr>
              <w:ind w:left="0" w:leftChars="0" w:firstLine="0" w:firstLineChars="0"/>
              <w:rPr>
                <w:rFonts w:hint="eastAsia"/>
                <w:b w:val="0"/>
                <w:color w:val="000000"/>
                <w:lang w:val="en-US" w:eastAsia="zh-CN"/>
              </w:rPr>
            </w:pPr>
            <w:r>
              <w:rPr>
                <w:rFonts w:hint="eastAsia"/>
                <w:b w:val="0"/>
                <w:color w:val="000000"/>
                <w:lang w:val="en-US" w:eastAsia="zh-CN"/>
              </w:rPr>
              <w:t>23</w:t>
            </w:r>
          </w:p>
        </w:tc>
        <w:tc>
          <w:tcPr>
            <w:tcW w:w="0" w:type="auto"/>
            <w:shd w:val="clear" w:color="auto" w:fill="FFFFFF"/>
            <w:vAlign w:val="center"/>
          </w:tcPr>
          <w:p w14:paraId="2C9CAB04">
            <w:pPr>
              <w:ind w:left="0" w:leftChars="0" w:firstLine="0" w:firstLineChars="0"/>
              <w:rPr>
                <w:rFonts w:hint="eastAsia"/>
                <w:b w:val="0"/>
                <w:color w:val="000000"/>
                <w:lang w:val="en-US" w:eastAsia="zh-CN"/>
              </w:rPr>
            </w:pPr>
            <w:r>
              <w:rPr>
                <w:rFonts w:hint="eastAsia"/>
                <w:b w:val="0"/>
                <w:color w:val="000000"/>
                <w:lang w:val="en-US" w:eastAsia="zh-CN"/>
              </w:rPr>
              <w:t>3.7768</w:t>
            </w:r>
          </w:p>
        </w:tc>
        <w:tc>
          <w:tcPr>
            <w:tcW w:w="0" w:type="auto"/>
            <w:shd w:val="clear" w:color="auto" w:fill="FFFFFF"/>
            <w:vAlign w:val="center"/>
          </w:tcPr>
          <w:p w14:paraId="4E436BF2">
            <w:pPr>
              <w:ind w:left="0" w:leftChars="0" w:firstLine="0" w:firstLineChars="0"/>
              <w:rPr>
                <w:rFonts w:hint="eastAsia"/>
                <w:b w:val="0"/>
                <w:color w:val="000000"/>
                <w:lang w:val="en-US" w:eastAsia="zh-CN"/>
              </w:rPr>
            </w:pPr>
            <w:r>
              <w:rPr>
                <w:rFonts w:hint="eastAsia"/>
                <w:b w:val="0"/>
                <w:color w:val="000000"/>
                <w:lang w:val="en-US" w:eastAsia="zh-CN"/>
              </w:rPr>
              <w:t>1.2000</w:t>
            </w:r>
          </w:p>
        </w:tc>
        <w:tc>
          <w:tcPr>
            <w:tcW w:w="0" w:type="auto"/>
            <w:shd w:val="clear" w:color="auto" w:fill="FFFFFF"/>
            <w:vAlign w:val="center"/>
          </w:tcPr>
          <w:p w14:paraId="0145180B">
            <w:pPr>
              <w:ind w:left="0" w:leftChars="0" w:firstLine="0" w:firstLineChars="0"/>
              <w:rPr>
                <w:rFonts w:hint="eastAsia"/>
                <w:b w:val="0"/>
                <w:color w:val="000000"/>
                <w:lang w:val="en-US" w:eastAsia="zh-CN"/>
              </w:rPr>
            </w:pPr>
            <w:r>
              <w:rPr>
                <w:rFonts w:hint="eastAsia"/>
                <w:b w:val="0"/>
                <w:color w:val="000000"/>
                <w:lang w:val="en-US" w:eastAsia="zh-CN"/>
              </w:rPr>
              <w:t>118.8859</w:t>
            </w:r>
          </w:p>
        </w:tc>
        <w:tc>
          <w:tcPr>
            <w:tcW w:w="0" w:type="auto"/>
            <w:shd w:val="clear" w:color="auto" w:fill="FFFFFF"/>
            <w:vAlign w:val="center"/>
          </w:tcPr>
          <w:p w14:paraId="60FA6439">
            <w:pPr>
              <w:ind w:left="0" w:leftChars="0" w:firstLine="0" w:firstLineChars="0"/>
              <w:rPr>
                <w:rFonts w:hint="eastAsia"/>
                <w:b w:val="0"/>
                <w:color w:val="000000"/>
                <w:lang w:val="en-US" w:eastAsia="zh-CN"/>
              </w:rPr>
            </w:pPr>
            <w:r>
              <w:rPr>
                <w:rFonts w:hint="eastAsia"/>
                <w:b w:val="0"/>
                <w:color w:val="000000"/>
                <w:lang w:val="en-US" w:eastAsia="zh-CN"/>
              </w:rPr>
              <w:t>2.5745×10⁻²</w:t>
            </w:r>
          </w:p>
        </w:tc>
      </w:tr>
      <w:tr w14:paraId="62060BCB">
        <w:trPr>
          <w:tblCellSpacing w:w="15" w:type="dxa"/>
          <w:jc w:val="center"/>
        </w:trPr>
        <w:tc>
          <w:tcPr>
            <w:tcW w:w="0" w:type="auto"/>
            <w:shd w:val="clear" w:color="auto" w:fill="FFFFFF"/>
            <w:vAlign w:val="center"/>
          </w:tcPr>
          <w:p w14:paraId="425FE002">
            <w:pPr>
              <w:ind w:left="0" w:leftChars="0" w:firstLine="0" w:firstLineChars="0"/>
              <w:rPr>
                <w:rFonts w:hint="eastAsia"/>
                <w:b w:val="0"/>
                <w:color w:val="000000"/>
                <w:lang w:val="en-US" w:eastAsia="zh-CN"/>
              </w:rPr>
            </w:pPr>
            <w:r>
              <w:rPr>
                <w:rFonts w:hint="eastAsia"/>
                <w:b w:val="0"/>
                <w:color w:val="000000"/>
                <w:lang w:val="en-US" w:eastAsia="zh-CN"/>
              </w:rPr>
              <w:t>基础方案</w:t>
            </w:r>
          </w:p>
        </w:tc>
        <w:tc>
          <w:tcPr>
            <w:tcW w:w="0" w:type="auto"/>
            <w:shd w:val="clear" w:color="auto" w:fill="FFFFFF"/>
            <w:vAlign w:val="center"/>
          </w:tcPr>
          <w:p w14:paraId="76E548E9">
            <w:pPr>
              <w:ind w:left="0" w:leftChars="0" w:firstLine="0" w:firstLineChars="0"/>
              <w:rPr>
                <w:rFonts w:hint="eastAsia"/>
                <w:b w:val="0"/>
                <w:color w:val="000000"/>
                <w:lang w:val="en-US" w:eastAsia="zh-CN"/>
              </w:rPr>
            </w:pPr>
            <w:r>
              <w:rPr>
                <w:rFonts w:hint="eastAsia"/>
                <w:b w:val="0"/>
                <w:color w:val="000000"/>
                <w:lang w:val="en-US" w:eastAsia="zh-CN"/>
              </w:rPr>
              <w:t>剔除 mvx030、mvx031</w:t>
            </w:r>
          </w:p>
        </w:tc>
        <w:tc>
          <w:tcPr>
            <w:tcW w:w="0" w:type="auto"/>
            <w:shd w:val="clear" w:color="auto" w:fill="FFFFFF"/>
            <w:vAlign w:val="center"/>
          </w:tcPr>
          <w:p w14:paraId="70DFAC90">
            <w:pPr>
              <w:ind w:left="0" w:leftChars="0" w:firstLine="0" w:firstLineChars="0"/>
              <w:rPr>
                <w:rFonts w:hint="eastAsia"/>
                <w:b w:val="0"/>
                <w:color w:val="000000"/>
                <w:lang w:val="en-US" w:eastAsia="zh-CN"/>
              </w:rPr>
            </w:pPr>
            <w:r>
              <w:rPr>
                <w:rFonts w:hint="eastAsia"/>
                <w:b w:val="0"/>
                <w:color w:val="000000"/>
                <w:lang w:val="en-US" w:eastAsia="zh-CN"/>
              </w:rPr>
              <w:t>30</w:t>
            </w:r>
          </w:p>
        </w:tc>
        <w:tc>
          <w:tcPr>
            <w:tcW w:w="0" w:type="auto"/>
            <w:shd w:val="clear" w:color="auto" w:fill="FFFFFF"/>
            <w:vAlign w:val="center"/>
          </w:tcPr>
          <w:p w14:paraId="579A7195">
            <w:pPr>
              <w:ind w:left="0" w:leftChars="0" w:firstLine="0" w:firstLineChars="0"/>
              <w:rPr>
                <w:rFonts w:hint="eastAsia"/>
                <w:b w:val="0"/>
                <w:color w:val="000000"/>
                <w:lang w:val="en-US" w:eastAsia="zh-CN"/>
              </w:rPr>
            </w:pPr>
            <w:r>
              <w:rPr>
                <w:rFonts w:hint="eastAsia"/>
                <w:b w:val="0"/>
                <w:color w:val="000000"/>
                <w:lang w:val="en-US" w:eastAsia="zh-CN"/>
              </w:rPr>
              <w:t>3.3989</w:t>
            </w:r>
          </w:p>
        </w:tc>
        <w:tc>
          <w:tcPr>
            <w:tcW w:w="0" w:type="auto"/>
            <w:shd w:val="clear" w:color="auto" w:fill="FFFFFF"/>
            <w:vAlign w:val="center"/>
          </w:tcPr>
          <w:p w14:paraId="4159A148">
            <w:pPr>
              <w:ind w:left="0" w:leftChars="0" w:firstLine="0" w:firstLineChars="0"/>
              <w:rPr>
                <w:rFonts w:hint="eastAsia"/>
                <w:b w:val="0"/>
                <w:color w:val="000000"/>
                <w:lang w:val="en-US" w:eastAsia="zh-CN"/>
              </w:rPr>
            </w:pPr>
            <w:r>
              <w:rPr>
                <w:rFonts w:hint="eastAsia"/>
                <w:b w:val="0"/>
                <w:color w:val="000000"/>
                <w:lang w:val="en-US" w:eastAsia="zh-CN"/>
              </w:rPr>
              <w:t>1.2000</w:t>
            </w:r>
          </w:p>
        </w:tc>
        <w:tc>
          <w:tcPr>
            <w:tcW w:w="0" w:type="auto"/>
            <w:shd w:val="clear" w:color="auto" w:fill="FFFFFF"/>
            <w:vAlign w:val="center"/>
          </w:tcPr>
          <w:p w14:paraId="2A7D011C">
            <w:pPr>
              <w:ind w:left="0" w:leftChars="0" w:firstLine="0" w:firstLineChars="0"/>
              <w:rPr>
                <w:rFonts w:hint="eastAsia"/>
                <w:b w:val="0"/>
                <w:color w:val="000000"/>
                <w:lang w:val="en-US" w:eastAsia="zh-CN"/>
              </w:rPr>
            </w:pPr>
            <w:r>
              <w:rPr>
                <w:rFonts w:hint="eastAsia"/>
                <w:b w:val="0"/>
                <w:color w:val="000000"/>
                <w:lang w:val="en-US" w:eastAsia="zh-CN"/>
              </w:rPr>
              <w:t>148.2598</w:t>
            </w:r>
          </w:p>
        </w:tc>
        <w:tc>
          <w:tcPr>
            <w:tcW w:w="0" w:type="auto"/>
            <w:shd w:val="clear" w:color="auto" w:fill="FFFFFF"/>
            <w:vAlign w:val="center"/>
          </w:tcPr>
          <w:p w14:paraId="3CAB59EF">
            <w:pPr>
              <w:ind w:left="0" w:leftChars="0" w:firstLine="0" w:firstLineChars="0"/>
              <w:rPr>
                <w:rFonts w:hint="eastAsia"/>
                <w:b w:val="0"/>
                <w:color w:val="000000"/>
                <w:lang w:val="en-US" w:eastAsia="zh-CN"/>
              </w:rPr>
            </w:pPr>
            <w:r>
              <w:rPr>
                <w:rFonts w:hint="eastAsia"/>
                <w:b w:val="0"/>
                <w:color w:val="000000"/>
                <w:lang w:val="en-US" w:eastAsia="zh-CN"/>
              </w:rPr>
              <w:t>2.9337×10⁻²</w:t>
            </w:r>
          </w:p>
        </w:tc>
      </w:tr>
      <w:tr w14:paraId="55A8EE80">
        <w:trPr>
          <w:tblCellSpacing w:w="15" w:type="dxa"/>
          <w:jc w:val="center"/>
        </w:trPr>
        <w:tc>
          <w:tcPr>
            <w:tcW w:w="1392" w:type="dxa"/>
            <w:tcBorders>
              <w:bottom w:val="single" w:color="000000" w:sz="12" w:space="0"/>
            </w:tcBorders>
            <w:shd w:val="clear" w:color="auto" w:fill="FFFFFF"/>
            <w:vAlign w:val="center"/>
          </w:tcPr>
          <w:p w14:paraId="39615FDF">
            <w:pPr>
              <w:ind w:left="0" w:leftChars="0" w:firstLine="0" w:firstLineChars="0"/>
              <w:rPr>
                <w:rFonts w:hint="eastAsia"/>
                <w:b w:val="0"/>
                <w:color w:val="000000"/>
                <w:lang w:val="en-US" w:eastAsia="zh-CN"/>
              </w:rPr>
            </w:pPr>
            <w:r>
              <w:rPr>
                <w:rFonts w:hint="eastAsia"/>
                <w:b w:val="0"/>
                <w:color w:val="000000"/>
                <w:lang w:val="en-US" w:eastAsia="zh-CN"/>
              </w:rPr>
              <w:t>New方案</w:t>
            </w:r>
          </w:p>
        </w:tc>
        <w:tc>
          <w:tcPr>
            <w:tcW w:w="1559" w:type="dxa"/>
            <w:tcBorders>
              <w:bottom w:val="single" w:color="000000" w:sz="12" w:space="0"/>
            </w:tcBorders>
            <w:shd w:val="clear" w:color="auto" w:fill="FFFFFF"/>
            <w:vAlign w:val="center"/>
          </w:tcPr>
          <w:p w14:paraId="5862ADAE">
            <w:pPr>
              <w:ind w:left="0" w:leftChars="0" w:firstLine="0" w:firstLineChars="0"/>
              <w:rPr>
                <w:rFonts w:hint="eastAsia"/>
                <w:b w:val="0"/>
                <w:color w:val="000000"/>
                <w:lang w:val="en-US" w:eastAsia="zh-CN"/>
              </w:rPr>
            </w:pPr>
            <w:r>
              <w:rPr>
                <w:rFonts w:hint="eastAsia"/>
                <w:b w:val="0"/>
                <w:color w:val="000000"/>
                <w:lang w:val="en-US" w:eastAsia="zh-CN"/>
              </w:rPr>
              <w:t>剔除 mvx030、mvx031</w:t>
            </w:r>
          </w:p>
        </w:tc>
        <w:tc>
          <w:tcPr>
            <w:tcW w:w="0" w:type="auto"/>
            <w:tcBorders>
              <w:bottom w:val="single" w:color="000000" w:sz="12" w:space="0"/>
            </w:tcBorders>
            <w:shd w:val="clear" w:color="auto" w:fill="FFFFFF"/>
            <w:vAlign w:val="center"/>
          </w:tcPr>
          <w:p w14:paraId="61AB8A8A">
            <w:pPr>
              <w:ind w:left="0" w:leftChars="0" w:firstLine="0" w:firstLineChars="0"/>
              <w:rPr>
                <w:rFonts w:hint="eastAsia"/>
                <w:b w:val="0"/>
                <w:color w:val="000000"/>
                <w:lang w:val="en-US" w:eastAsia="zh-CN"/>
              </w:rPr>
            </w:pPr>
            <w:r>
              <w:rPr>
                <w:rFonts w:hint="eastAsia"/>
                <w:b w:val="0"/>
                <w:color w:val="000000"/>
                <w:lang w:val="en-US" w:eastAsia="zh-CN"/>
              </w:rPr>
              <w:t>23</w:t>
            </w:r>
          </w:p>
        </w:tc>
        <w:tc>
          <w:tcPr>
            <w:tcW w:w="0" w:type="auto"/>
            <w:tcBorders>
              <w:bottom w:val="single" w:color="000000" w:sz="12" w:space="0"/>
            </w:tcBorders>
            <w:shd w:val="clear" w:color="auto" w:fill="FFFFFF"/>
            <w:vAlign w:val="center"/>
          </w:tcPr>
          <w:p w14:paraId="6B487AF2">
            <w:pPr>
              <w:ind w:left="0" w:leftChars="0" w:firstLine="0" w:firstLineChars="0"/>
              <w:rPr>
                <w:rFonts w:hint="eastAsia"/>
                <w:b w:val="0"/>
                <w:color w:val="000000"/>
                <w:lang w:val="en-US" w:eastAsia="zh-CN"/>
              </w:rPr>
            </w:pPr>
            <w:r>
              <w:rPr>
                <w:rFonts w:hint="eastAsia"/>
                <w:b w:val="0"/>
                <w:color w:val="000000"/>
                <w:lang w:val="en-US" w:eastAsia="zh-CN"/>
              </w:rPr>
              <w:t>3.2793</w:t>
            </w:r>
          </w:p>
        </w:tc>
        <w:tc>
          <w:tcPr>
            <w:tcW w:w="0" w:type="auto"/>
            <w:tcBorders>
              <w:bottom w:val="single" w:color="000000" w:sz="12" w:space="0"/>
            </w:tcBorders>
            <w:shd w:val="clear" w:color="auto" w:fill="FFFFFF"/>
            <w:vAlign w:val="center"/>
          </w:tcPr>
          <w:p w14:paraId="58F9EDBC">
            <w:pPr>
              <w:ind w:left="0" w:leftChars="0" w:firstLine="0" w:firstLineChars="0"/>
              <w:rPr>
                <w:rFonts w:hint="eastAsia"/>
                <w:b w:val="0"/>
                <w:color w:val="000000"/>
                <w:lang w:val="en-US" w:eastAsia="zh-CN"/>
              </w:rPr>
            </w:pPr>
            <w:r>
              <w:rPr>
                <w:rFonts w:hint="eastAsia"/>
                <w:b w:val="0"/>
                <w:color w:val="000000"/>
                <w:lang w:val="en-US" w:eastAsia="zh-CN"/>
              </w:rPr>
              <w:t>1.2000</w:t>
            </w:r>
          </w:p>
        </w:tc>
        <w:tc>
          <w:tcPr>
            <w:tcW w:w="0" w:type="auto"/>
            <w:tcBorders>
              <w:bottom w:val="single" w:color="000000" w:sz="12" w:space="0"/>
            </w:tcBorders>
            <w:shd w:val="clear" w:color="auto" w:fill="FFFFFF"/>
            <w:vAlign w:val="center"/>
          </w:tcPr>
          <w:p w14:paraId="3AD4EC93">
            <w:pPr>
              <w:ind w:left="0" w:leftChars="0" w:firstLine="0" w:firstLineChars="0"/>
              <w:rPr>
                <w:rFonts w:hint="eastAsia"/>
                <w:b w:val="0"/>
                <w:color w:val="000000"/>
                <w:lang w:val="en-US" w:eastAsia="zh-CN"/>
              </w:rPr>
            </w:pPr>
            <w:r>
              <w:rPr>
                <w:rFonts w:hint="eastAsia"/>
                <w:b w:val="0"/>
                <w:color w:val="000000"/>
                <w:lang w:val="en-US" w:eastAsia="zh-CN"/>
              </w:rPr>
              <w:t>101.1153</w:t>
            </w:r>
          </w:p>
        </w:tc>
        <w:tc>
          <w:tcPr>
            <w:tcW w:w="0" w:type="auto"/>
            <w:tcBorders>
              <w:bottom w:val="single" w:color="000000" w:sz="12" w:space="0"/>
            </w:tcBorders>
            <w:shd w:val="clear" w:color="auto" w:fill="FFFFFF"/>
            <w:vAlign w:val="center"/>
          </w:tcPr>
          <w:p w14:paraId="510178FD">
            <w:pPr>
              <w:ind w:left="0" w:leftChars="0" w:firstLine="0" w:firstLineChars="0"/>
              <w:rPr>
                <w:rFonts w:hint="eastAsia"/>
                <w:b w:val="0"/>
                <w:color w:val="000000"/>
                <w:lang w:val="en-US" w:eastAsia="zh-CN"/>
              </w:rPr>
            </w:pPr>
            <w:r>
              <w:rPr>
                <w:rFonts w:hint="eastAsia"/>
                <w:b w:val="0"/>
                <w:color w:val="000000"/>
                <w:lang w:val="en-US" w:eastAsia="zh-CN"/>
              </w:rPr>
              <w:t>1.5588×10⁻³</w:t>
            </w:r>
          </w:p>
        </w:tc>
      </w:tr>
    </w:tbl>
    <w:p w14:paraId="74C917A2">
      <w:pPr>
        <w:ind w:left="0" w:leftChars="0" w:firstLine="0" w:firstLineChars="0"/>
        <w:rPr>
          <w:rFonts w:hint="eastAsia"/>
          <w:lang w:val="en-US" w:eastAsia="zh-CN"/>
        </w:rPr>
      </w:pPr>
    </w:p>
    <w:p w14:paraId="10C97284">
      <w:pPr>
        <w:ind w:left="0" w:leftChars="0" w:firstLine="0" w:firstLineChars="0"/>
        <w:rPr>
          <w:rFonts w:hint="eastAsia"/>
          <w:lang w:val="en-US" w:eastAsia="zh-CN"/>
        </w:rPr>
      </w:pPr>
      <w:r>
        <w:rPr>
          <w:rFonts w:hint="eastAsia"/>
          <w:lang w:val="en-US" w:eastAsia="zh-CN"/>
        </w:rPr>
        <w:t>（2）不同数据模式联合反演对比实验</w:t>
      </w:r>
    </w:p>
    <w:p w14:paraId="0FD66E79">
      <w:pPr>
        <w:ind w:left="0" w:leftChars="0" w:firstLine="420" w:firstLineChars="200"/>
        <w:rPr>
          <w:rFonts w:hint="eastAsia"/>
          <w:lang w:val="en-US" w:eastAsia="zh-CN"/>
        </w:rPr>
      </w:pPr>
      <w:r>
        <w:rPr>
          <w:rFonts w:hint="eastAsia"/>
          <w:lang w:val="en-US" w:eastAsia="zh-CN"/>
        </w:rPr>
        <w:t>为考察不同 MT 数据模式对反演结果的影响，在 New 方案的参数设置下分别进行了 TM、TE、TE+TM 以及 TE+TM+TP/TIPPER 反演。需要说明的是TE-only 与 TE+TM+TP/TIPPER 联合反演均未达到预设目标 RMS=1.2，而是在后续迭代过程中出现 RMS 收敛困难并提前终止。最终采用程序终止前最后一个有效迭代模型进行比较，其中 TE-only 的最终有效 RMS 为 4.5719，TE+TM+TP/TIPPER 联合反演为 3.7768。</w:t>
      </w:r>
    </w:p>
    <w:p w14:paraId="07889D7C">
      <w:pPr>
        <w:ind w:left="0" w:leftChars="0" w:firstLine="420" w:firstLineChars="200"/>
        <w:rPr>
          <w:rFonts w:hint="default"/>
          <w:lang w:val="en-US" w:eastAsia="zh-CN"/>
        </w:rPr>
      </w:pPr>
      <w:r>
        <w:rPr>
          <w:rFonts w:hint="eastAsia"/>
          <w:lang w:val="en-US" w:eastAsia="zh-CN"/>
        </w:rPr>
        <w:t>实验结果（如</w:t>
      </w:r>
      <w:r>
        <w:rPr>
          <w:rFonts w:hint="eastAsia"/>
          <w:lang w:val="en-US" w:eastAsia="zh-CN"/>
        </w:rPr>
        <w:fldChar w:fldCharType="begin"/>
      </w:r>
      <w:r>
        <w:rPr>
          <w:rFonts w:hint="eastAsia"/>
          <w:lang w:val="en-US" w:eastAsia="zh-CN"/>
        </w:rPr>
        <w:instrText xml:space="preserve"> REF _Ref335552188 \h </w:instrText>
      </w:r>
      <w:r>
        <w:rPr>
          <w:rFonts w:hint="eastAsia"/>
          <w:lang w:val="en-US" w:eastAsia="zh-CN"/>
        </w:rPr>
        <w:fldChar w:fldCharType="separate"/>
      </w:r>
      <w:r>
        <w:t xml:space="preserve">图 </w:t>
      </w:r>
      <w:r>
        <w:fldChar w:fldCharType="begin"/>
      </w:r>
      <w:r>
        <w:instrText xml:space="preserve"> STYLEREF 1 \s </w:instrText>
      </w:r>
      <w:r>
        <w:fldChar w:fldCharType="separate"/>
      </w:r>
      <w:r>
        <w:t>5</w:t>
      </w:r>
      <w:r>
        <w:fldChar w:fldCharType="end"/>
      </w:r>
      <w:r>
        <w:rPr>
          <w:rFonts w:hint="eastAsia"/>
          <w:lang w:eastAsia="zh-CN"/>
        </w:rPr>
        <w:t>-</w:t>
      </w:r>
      <w:r>
        <w:t>11</w:t>
      </w:r>
      <w:r>
        <w:rPr>
          <w:rFonts w:hint="eastAsia"/>
          <w:lang w:val="en-US" w:eastAsia="zh-CN"/>
        </w:rPr>
        <w:fldChar w:fldCharType="end"/>
      </w:r>
      <w:r>
        <w:rPr>
          <w:rFonts w:hint="eastAsia"/>
          <w:lang w:val="en-US" w:eastAsia="zh-CN"/>
        </w:rPr>
        <w:t>）表明，不同数据模式所得拟合效果与模型平滑程度存在明显差异。其中，TM-only 模式获得最低的 RMS（1.746），但模型粗糙度最高；TE+TM 联合反演的 RMS 为 3.835（见</w:t>
      </w:r>
      <w:r>
        <w:rPr>
          <w:rFonts w:hint="eastAsia"/>
          <w:lang w:val="en-US" w:eastAsia="zh-CN"/>
        </w:rPr>
        <w:fldChar w:fldCharType="begin"/>
      </w:r>
      <w:r>
        <w:rPr>
          <w:rFonts w:hint="eastAsia"/>
          <w:lang w:val="en-US" w:eastAsia="zh-CN"/>
        </w:rPr>
        <w:instrText xml:space="preserve"> REF _Ref357081955 \h </w:instrText>
      </w:r>
      <w:r>
        <w:rPr>
          <w:rFonts w:hint="eastAsia"/>
          <w:lang w:val="en-US" w:eastAsia="zh-CN"/>
        </w:rPr>
        <w:fldChar w:fldCharType="separate"/>
      </w:r>
      <w:r>
        <w:t xml:space="preserve">表 </w:t>
      </w:r>
      <w:r>
        <w:fldChar w:fldCharType="begin"/>
      </w:r>
      <w:r>
        <w:instrText xml:space="preserve"> STYLEREF 1 \s </w:instrText>
      </w:r>
      <w:r>
        <w:fldChar w:fldCharType="separate"/>
      </w:r>
      <w:r>
        <w:t>5</w:t>
      </w:r>
      <w:r>
        <w:fldChar w:fldCharType="end"/>
      </w:r>
      <w:r>
        <w:rPr>
          <w:rFonts w:hint="eastAsia"/>
          <w:lang w:eastAsia="zh-CN"/>
        </w:rPr>
        <w:t>-</w:t>
      </w:r>
      <w:r>
        <w:t>5</w:t>
      </w:r>
      <w:r>
        <w:rPr>
          <w:rFonts w:hint="eastAsia"/>
          <w:lang w:val="en-US" w:eastAsia="zh-CN"/>
        </w:rPr>
        <w:fldChar w:fldCharType="end"/>
      </w:r>
      <w:r>
        <w:rPr>
          <w:rFonts w:hint="eastAsia"/>
          <w:lang w:val="en-US" w:eastAsia="zh-CN"/>
        </w:rPr>
        <w:t>），说明增加数据类型后，由于不同模式对地下结构具有不同的敏感性和约束，整体拟合难度有所增加。</w:t>
      </w:r>
    </w:p>
    <w:p w14:paraId="0CDB4F47">
      <w:pPr>
        <w:ind w:left="0" w:leftChars="0" w:firstLine="0" w:firstLineChars="0"/>
        <w:rPr>
          <w:rFonts w:hint="eastAsia"/>
          <w:lang w:val="en-US" w:eastAsia="zh-CN"/>
        </w:rPr>
      </w:pPr>
      <w:r>
        <w:rPr>
          <w:rFonts w:hint="eastAsia"/>
          <w:lang w:val="en-US" w:eastAsia="zh-CN"/>
        </w:rPr>
        <w:drawing>
          <wp:inline distT="0" distB="0" distL="114300" distR="114300">
            <wp:extent cx="5676265" cy="2519680"/>
            <wp:effectExtent l="0" t="0" r="13335" b="20320"/>
            <wp:docPr id="3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1"/>
                    <pic:cNvPicPr>
                      <a:picLocks noChangeAspect="1"/>
                    </pic:cNvPicPr>
                  </pic:nvPicPr>
                  <pic:blipFill>
                    <a:blip r:embed="rId18"/>
                    <a:stretch>
                      <a:fillRect/>
                    </a:stretch>
                  </pic:blipFill>
                  <pic:spPr>
                    <a:xfrm>
                      <a:off x="0" y="0"/>
                      <a:ext cx="5676265" cy="2519680"/>
                    </a:xfrm>
                    <a:prstGeom prst="rect">
                      <a:avLst/>
                    </a:prstGeom>
                    <a:noFill/>
                    <a:ln>
                      <a:noFill/>
                    </a:ln>
                  </pic:spPr>
                </pic:pic>
              </a:graphicData>
            </a:graphic>
          </wp:inline>
        </w:drawing>
      </w:r>
    </w:p>
    <w:p w14:paraId="52A0B637">
      <w:pPr>
        <w:pStyle w:val="9"/>
        <w:ind w:left="0" w:leftChars="0" w:firstLine="0" w:firstLineChars="0"/>
        <w:rPr>
          <w:rFonts w:hint="eastAsia"/>
          <w:lang w:val="en-US" w:eastAsia="zh-CN"/>
        </w:rPr>
      </w:pPr>
      <w:bookmarkStart w:id="34" w:name="_Ref335552188"/>
      <w:r>
        <w:t xml:space="preserve">图 </w:t>
      </w:r>
      <w:r>
        <w:fldChar w:fldCharType="begin"/>
      </w:r>
      <w:r>
        <w:instrText xml:space="preserve"> STYLEREF 1 \s </w:instrText>
      </w:r>
      <w:r>
        <w:fldChar w:fldCharType="separate"/>
      </w:r>
      <w:r>
        <w:t>5</w:t>
      </w:r>
      <w:r>
        <w:fldChar w:fldCharType="end"/>
      </w:r>
      <w:r>
        <w:rPr>
          <w:rFonts w:hint="eastAsia"/>
          <w:lang w:eastAsia="zh-CN"/>
        </w:rPr>
        <w:t>-</w:t>
      </w:r>
      <w:r>
        <w:fldChar w:fldCharType="begin"/>
      </w:r>
      <w:r>
        <w:instrText xml:space="preserve"> SEQ 图 \* ARABIC \s 1 </w:instrText>
      </w:r>
      <w:r>
        <w:fldChar w:fldCharType="separate"/>
      </w:r>
      <w:r>
        <w:t>11</w:t>
      </w:r>
      <w:r>
        <w:fldChar w:fldCharType="end"/>
      </w:r>
      <w:bookmarkEnd w:id="34"/>
      <w:bookmarkStart w:id="35" w:name="_Toc2039717880"/>
      <w:r>
        <w:rPr>
          <w:rFonts w:hint="eastAsia"/>
          <w:lang w:val="en-US" w:eastAsia="zh-CN"/>
        </w:rPr>
        <w:t xml:space="preserve"> SAF剖面 New 参数方案下不同数据模式的二维 MT 反演电阻率模型对比</w:t>
      </w:r>
      <w:bookmarkEnd w:id="35"/>
    </w:p>
    <w:p w14:paraId="4490D712">
      <w:pPr>
        <w:ind w:left="0" w:leftChars="0" w:firstLine="0" w:firstLineChars="0"/>
        <w:rPr>
          <w:rFonts w:hint="eastAsia" w:ascii="Times New Roman" w:hAnsi="Times New Roman" w:eastAsia="仿宋" w:cs="仿宋"/>
          <w:kern w:val="2"/>
          <w:sz w:val="21"/>
          <w:szCs w:val="21"/>
          <w:lang w:val="en-US" w:eastAsia="zh-CN" w:bidi="ar-SA"/>
        </w:rPr>
      </w:pPr>
      <w:r>
        <w:rPr>
          <w:rFonts w:hint="eastAsia" w:ascii="Times New Roman" w:hAnsi="Times New Roman" w:eastAsia="仿宋" w:cs="仿宋"/>
          <w:kern w:val="2"/>
          <w:sz w:val="21"/>
          <w:szCs w:val="21"/>
          <w:lang w:val="en-US" w:eastAsia="zh-CN" w:bidi="ar-SA"/>
        </w:rPr>
        <w:t>（a）TE+TM+TP联合反演；（b）TE-only 反演；（c）TM-only 反演；（d）TE+TM 联合反演。各模型采用统一电阻率色标以及横纵坐标，展示不同数据模式对 SAF 剖面二维电性结构反演结果的影响。</w:t>
      </w:r>
    </w:p>
    <w:p w14:paraId="2EC6F158">
      <w:pPr>
        <w:pStyle w:val="9"/>
        <w:rPr>
          <w:rFonts w:hint="eastAsia" w:eastAsia="仿宋"/>
          <w:lang w:val="en-US" w:eastAsia="zh-CN"/>
        </w:rPr>
      </w:pPr>
      <w:bookmarkStart w:id="36" w:name="_Ref357081955"/>
      <w:r>
        <w:t xml:space="preserve">表 </w:t>
      </w:r>
      <w:r>
        <w:fldChar w:fldCharType="begin"/>
      </w:r>
      <w:r>
        <w:instrText xml:space="preserve"> STYLEREF 1 \s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5</w:t>
      </w:r>
      <w:r>
        <w:fldChar w:fldCharType="end"/>
      </w:r>
      <w:bookmarkEnd w:id="36"/>
      <w:bookmarkStart w:id="37" w:name="_Toc305935051"/>
      <w:r>
        <w:rPr>
          <w:rFonts w:hint="eastAsia"/>
          <w:lang w:val="en-US" w:eastAsia="zh-CN"/>
        </w:rPr>
        <w:t xml:space="preserve"> SAF 剖面 New 方案下不同反演模式结果对比</w:t>
      </w:r>
      <w:bookmarkEnd w:id="37"/>
    </w:p>
    <w:tbl>
      <w:tblPr>
        <w:tblStyle w:val="2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125"/>
        <w:gridCol w:w="1965"/>
        <w:gridCol w:w="1333"/>
        <w:gridCol w:w="1179"/>
        <w:gridCol w:w="641"/>
        <w:gridCol w:w="1066"/>
        <w:gridCol w:w="1617"/>
      </w:tblGrid>
      <w:tr w14:paraId="233247E1">
        <w:trPr>
          <w:tblHeader/>
          <w:tblCellSpacing w:w="15" w:type="dxa"/>
        </w:trPr>
        <w:tc>
          <w:tcPr>
            <w:tcW w:w="1080" w:type="dxa"/>
            <w:tcBorders>
              <w:top w:val="single" w:color="000000" w:sz="12" w:space="0"/>
              <w:bottom w:val="single" w:color="000000" w:sz="4" w:space="0"/>
              <w:tl2br w:val="nil"/>
            </w:tcBorders>
            <w:shd w:val="clear" w:color="auto" w:fill="FFFFFF"/>
            <w:vAlign w:val="center"/>
          </w:tcPr>
          <w:p w14:paraId="7F168FCD">
            <w:pPr>
              <w:ind w:left="0" w:leftChars="0" w:firstLine="0" w:firstLineChars="0"/>
              <w:rPr>
                <w:rFonts w:hint="default"/>
                <w:b w:val="0"/>
                <w:color w:val="000000"/>
                <w:lang w:val="en-US" w:eastAsia="zh-CN"/>
              </w:rPr>
            </w:pPr>
            <w:r>
              <w:rPr>
                <w:rFonts w:hint="default"/>
                <w:b w:val="0"/>
                <w:color w:val="000000"/>
                <w:lang w:val="en-US" w:eastAsia="zh-CN"/>
              </w:rPr>
              <w:t>反演模式</w:t>
            </w:r>
          </w:p>
        </w:tc>
        <w:tc>
          <w:tcPr>
            <w:tcW w:w="1935" w:type="dxa"/>
            <w:tcBorders>
              <w:top w:val="single" w:color="000000" w:sz="12" w:space="0"/>
              <w:bottom w:val="single" w:color="000000" w:sz="4" w:space="0"/>
            </w:tcBorders>
            <w:shd w:val="clear" w:color="auto" w:fill="FFFFFF"/>
            <w:vAlign w:val="center"/>
          </w:tcPr>
          <w:p w14:paraId="14ECEFA1">
            <w:pPr>
              <w:ind w:left="0" w:leftChars="0" w:firstLine="0" w:firstLineChars="0"/>
              <w:rPr>
                <w:rFonts w:hint="default"/>
                <w:b w:val="0"/>
                <w:color w:val="000000"/>
                <w:lang w:val="en-US" w:eastAsia="zh-CN"/>
              </w:rPr>
            </w:pPr>
            <w:r>
              <w:rPr>
                <w:rFonts w:hint="default"/>
                <w:b w:val="0"/>
                <w:color w:val="000000"/>
                <w:lang w:val="en-US" w:eastAsia="zh-CN"/>
              </w:rPr>
              <w:t>数据类型</w:t>
            </w:r>
          </w:p>
        </w:tc>
        <w:tc>
          <w:tcPr>
            <w:tcW w:w="1303" w:type="dxa"/>
            <w:tcBorders>
              <w:top w:val="single" w:color="000000" w:sz="12" w:space="0"/>
              <w:bottom w:val="single" w:color="000000" w:sz="4" w:space="0"/>
            </w:tcBorders>
            <w:shd w:val="clear" w:color="auto" w:fill="FFFFFF"/>
            <w:vAlign w:val="center"/>
          </w:tcPr>
          <w:p w14:paraId="3CC683E5">
            <w:pPr>
              <w:ind w:left="0" w:leftChars="0" w:firstLine="0" w:firstLineChars="0"/>
              <w:rPr>
                <w:rFonts w:hint="default"/>
                <w:b w:val="0"/>
                <w:color w:val="000000"/>
                <w:lang w:val="en-US" w:eastAsia="zh-CN"/>
              </w:rPr>
            </w:pPr>
            <w:r>
              <w:rPr>
                <w:rFonts w:hint="default"/>
                <w:b w:val="0"/>
                <w:color w:val="000000"/>
                <w:lang w:val="en-US" w:eastAsia="zh-CN"/>
              </w:rPr>
              <w:t>最终迭代次数</w:t>
            </w:r>
          </w:p>
        </w:tc>
        <w:tc>
          <w:tcPr>
            <w:tcW w:w="1149" w:type="dxa"/>
            <w:tcBorders>
              <w:top w:val="single" w:color="000000" w:sz="12" w:space="0"/>
              <w:bottom w:val="single" w:color="000000" w:sz="4" w:space="0"/>
            </w:tcBorders>
            <w:shd w:val="clear" w:color="auto" w:fill="FFFFFF"/>
            <w:vAlign w:val="center"/>
          </w:tcPr>
          <w:p w14:paraId="13C5049F">
            <w:pPr>
              <w:ind w:left="0" w:leftChars="0" w:firstLine="0" w:firstLineChars="0"/>
              <w:rPr>
                <w:rFonts w:hint="default"/>
                <w:b w:val="0"/>
                <w:color w:val="000000"/>
                <w:lang w:val="en-US" w:eastAsia="zh-CN"/>
              </w:rPr>
            </w:pPr>
            <w:r>
              <w:rPr>
                <w:rFonts w:hint="default"/>
                <w:b w:val="0"/>
                <w:color w:val="000000"/>
                <w:lang w:val="en-US" w:eastAsia="zh-CN"/>
              </w:rPr>
              <w:t>RMS Misfit</w:t>
            </w:r>
          </w:p>
        </w:tc>
        <w:tc>
          <w:tcPr>
            <w:tcW w:w="611" w:type="dxa"/>
            <w:tcBorders>
              <w:top w:val="single" w:color="000000" w:sz="12" w:space="0"/>
              <w:bottom w:val="single" w:color="000000" w:sz="4" w:space="0"/>
            </w:tcBorders>
            <w:shd w:val="clear" w:color="auto" w:fill="FFFFFF"/>
            <w:vAlign w:val="center"/>
          </w:tcPr>
          <w:p w14:paraId="3D58B7D9">
            <w:pPr>
              <w:ind w:left="0" w:leftChars="0" w:firstLine="0" w:firstLineChars="0"/>
              <w:rPr>
                <w:rFonts w:hint="default"/>
                <w:b w:val="0"/>
                <w:color w:val="000000"/>
                <w:lang w:val="en-US" w:eastAsia="zh-CN"/>
              </w:rPr>
            </w:pPr>
            <w:r>
              <w:rPr>
                <w:rFonts w:hint="default"/>
                <w:b w:val="0"/>
                <w:color w:val="000000"/>
                <w:lang w:val="en-US" w:eastAsia="zh-CN"/>
              </w:rPr>
              <w:t>Target</w:t>
            </w:r>
          </w:p>
        </w:tc>
        <w:tc>
          <w:tcPr>
            <w:tcW w:w="1036" w:type="dxa"/>
            <w:tcBorders>
              <w:top w:val="single" w:color="000000" w:sz="12" w:space="0"/>
              <w:bottom w:val="single" w:color="000000" w:sz="4" w:space="0"/>
            </w:tcBorders>
            <w:shd w:val="clear" w:color="auto" w:fill="FFFFFF"/>
            <w:vAlign w:val="center"/>
          </w:tcPr>
          <w:p w14:paraId="427BEBF4">
            <w:pPr>
              <w:ind w:left="0" w:leftChars="0" w:firstLine="0" w:firstLineChars="0"/>
              <w:rPr>
                <w:rFonts w:hint="default"/>
                <w:b w:val="0"/>
                <w:color w:val="000000"/>
                <w:lang w:val="en-US" w:eastAsia="zh-CN"/>
              </w:rPr>
            </w:pPr>
            <w:r>
              <w:rPr>
                <w:rFonts w:hint="default"/>
                <w:b w:val="0"/>
                <w:color w:val="000000"/>
                <w:lang w:val="en-US" w:eastAsia="zh-CN"/>
              </w:rPr>
              <w:t>Roughness</w:t>
            </w:r>
          </w:p>
        </w:tc>
        <w:tc>
          <w:tcPr>
            <w:tcW w:w="1572" w:type="dxa"/>
            <w:tcBorders>
              <w:top w:val="single" w:color="000000" w:sz="12" w:space="0"/>
              <w:bottom w:val="single" w:color="000000" w:sz="4" w:space="0"/>
            </w:tcBorders>
            <w:shd w:val="clear" w:color="auto" w:fill="FFFFFF"/>
            <w:vAlign w:val="center"/>
          </w:tcPr>
          <w:p w14:paraId="0D989389">
            <w:pPr>
              <w:ind w:left="0" w:leftChars="0" w:firstLine="0" w:firstLineChars="0"/>
              <w:rPr>
                <w:rFonts w:hint="default"/>
                <w:b w:val="0"/>
                <w:color w:val="000000"/>
                <w:lang w:val="en-US" w:eastAsia="zh-CN"/>
              </w:rPr>
            </w:pPr>
            <w:r>
              <w:rPr>
                <w:rFonts w:hint="default"/>
                <w:b w:val="0"/>
                <w:color w:val="000000"/>
                <w:lang w:val="en-US" w:eastAsia="zh-CN"/>
              </w:rPr>
              <w:t>Step Size</w:t>
            </w:r>
          </w:p>
        </w:tc>
      </w:tr>
      <w:tr w14:paraId="68EA697C">
        <w:trPr>
          <w:tblCellSpacing w:w="15" w:type="dxa"/>
        </w:trPr>
        <w:tc>
          <w:tcPr>
            <w:tcW w:w="1080" w:type="dxa"/>
            <w:tcBorders>
              <w:top w:val="nil"/>
            </w:tcBorders>
            <w:shd w:val="clear" w:color="auto" w:fill="FFFFFF"/>
            <w:vAlign w:val="center"/>
          </w:tcPr>
          <w:p w14:paraId="5A210C42">
            <w:pPr>
              <w:ind w:left="0" w:leftChars="0" w:firstLine="0" w:firstLineChars="0"/>
              <w:rPr>
                <w:rFonts w:hint="default"/>
                <w:b w:val="0"/>
                <w:color w:val="000000"/>
                <w:lang w:val="en-US" w:eastAsia="zh-CN"/>
              </w:rPr>
            </w:pPr>
            <w:r>
              <w:rPr>
                <w:rFonts w:hint="default"/>
                <w:b w:val="0"/>
                <w:color w:val="000000"/>
                <w:lang w:val="en-US" w:eastAsia="zh-CN"/>
              </w:rPr>
              <w:t>TM_only</w:t>
            </w:r>
          </w:p>
        </w:tc>
        <w:tc>
          <w:tcPr>
            <w:tcW w:w="1935" w:type="dxa"/>
            <w:tcBorders>
              <w:top w:val="nil"/>
            </w:tcBorders>
            <w:shd w:val="clear" w:color="auto" w:fill="FFFFFF"/>
            <w:vAlign w:val="center"/>
          </w:tcPr>
          <w:p w14:paraId="725A9B13">
            <w:pPr>
              <w:ind w:left="0" w:leftChars="0" w:firstLine="0" w:firstLineChars="0"/>
              <w:rPr>
                <w:rFonts w:hint="default"/>
                <w:b w:val="0"/>
                <w:color w:val="000000"/>
                <w:lang w:val="en-US" w:eastAsia="zh-CN"/>
              </w:rPr>
            </w:pPr>
            <w:r>
              <w:rPr>
                <w:rFonts w:hint="default"/>
                <w:b w:val="0"/>
                <w:color w:val="000000"/>
                <w:lang w:val="en-US" w:eastAsia="zh-CN"/>
              </w:rPr>
              <w:t>TM</w:t>
            </w:r>
          </w:p>
        </w:tc>
        <w:tc>
          <w:tcPr>
            <w:tcW w:w="1303" w:type="dxa"/>
            <w:tcBorders>
              <w:top w:val="nil"/>
            </w:tcBorders>
            <w:shd w:val="clear" w:color="auto" w:fill="FFFFFF"/>
            <w:vAlign w:val="center"/>
          </w:tcPr>
          <w:p w14:paraId="3B7316F2">
            <w:pPr>
              <w:ind w:left="0" w:leftChars="0" w:firstLine="0" w:firstLineChars="0"/>
              <w:rPr>
                <w:rFonts w:hint="default"/>
                <w:b w:val="0"/>
                <w:color w:val="000000"/>
                <w:lang w:val="en-US" w:eastAsia="zh-CN"/>
              </w:rPr>
            </w:pPr>
            <w:r>
              <w:rPr>
                <w:rFonts w:hint="default"/>
                <w:b w:val="0"/>
                <w:color w:val="000000"/>
                <w:lang w:val="en-US" w:eastAsia="zh-CN"/>
              </w:rPr>
              <w:t>23</w:t>
            </w:r>
          </w:p>
        </w:tc>
        <w:tc>
          <w:tcPr>
            <w:tcW w:w="1149" w:type="dxa"/>
            <w:tcBorders>
              <w:top w:val="nil"/>
            </w:tcBorders>
            <w:shd w:val="clear" w:color="auto" w:fill="FFFFFF"/>
            <w:vAlign w:val="center"/>
          </w:tcPr>
          <w:p w14:paraId="3B73E582">
            <w:pPr>
              <w:ind w:left="0" w:leftChars="0" w:firstLine="0" w:firstLineChars="0"/>
              <w:rPr>
                <w:rFonts w:hint="default"/>
                <w:b w:val="0"/>
                <w:color w:val="000000"/>
                <w:lang w:val="en-US" w:eastAsia="zh-CN"/>
              </w:rPr>
            </w:pPr>
            <w:r>
              <w:rPr>
                <w:rFonts w:hint="default"/>
                <w:b w:val="0"/>
                <w:color w:val="000000"/>
                <w:lang w:val="en-US" w:eastAsia="zh-CN"/>
              </w:rPr>
              <w:t>1.7459</w:t>
            </w:r>
          </w:p>
        </w:tc>
        <w:tc>
          <w:tcPr>
            <w:tcW w:w="611" w:type="dxa"/>
            <w:tcBorders>
              <w:top w:val="nil"/>
            </w:tcBorders>
            <w:shd w:val="clear" w:color="auto" w:fill="FFFFFF"/>
            <w:vAlign w:val="center"/>
          </w:tcPr>
          <w:p w14:paraId="2343DCEB">
            <w:pPr>
              <w:ind w:left="0" w:leftChars="0" w:firstLine="0" w:firstLineChars="0"/>
              <w:rPr>
                <w:rFonts w:hint="default"/>
                <w:b w:val="0"/>
                <w:color w:val="000000"/>
                <w:lang w:val="en-US" w:eastAsia="zh-CN"/>
              </w:rPr>
            </w:pPr>
            <w:r>
              <w:rPr>
                <w:rFonts w:hint="default"/>
                <w:b w:val="0"/>
                <w:color w:val="000000"/>
                <w:lang w:val="en-US" w:eastAsia="zh-CN"/>
              </w:rPr>
              <w:t>1.2000</w:t>
            </w:r>
          </w:p>
        </w:tc>
        <w:tc>
          <w:tcPr>
            <w:tcW w:w="1036" w:type="dxa"/>
            <w:tcBorders>
              <w:top w:val="nil"/>
            </w:tcBorders>
            <w:shd w:val="clear" w:color="auto" w:fill="FFFFFF"/>
            <w:vAlign w:val="center"/>
          </w:tcPr>
          <w:p w14:paraId="5C5760D1">
            <w:pPr>
              <w:ind w:left="0" w:leftChars="0" w:firstLine="0" w:firstLineChars="0"/>
              <w:rPr>
                <w:rFonts w:hint="default"/>
                <w:b w:val="0"/>
                <w:color w:val="000000"/>
                <w:lang w:val="en-US" w:eastAsia="zh-CN"/>
              </w:rPr>
            </w:pPr>
            <w:r>
              <w:rPr>
                <w:rFonts w:hint="default"/>
                <w:b w:val="0"/>
                <w:color w:val="000000"/>
                <w:lang w:val="en-US" w:eastAsia="zh-CN"/>
              </w:rPr>
              <w:t>294.6617</w:t>
            </w:r>
          </w:p>
        </w:tc>
        <w:tc>
          <w:tcPr>
            <w:tcW w:w="1572" w:type="dxa"/>
            <w:tcBorders>
              <w:top w:val="nil"/>
            </w:tcBorders>
            <w:shd w:val="clear" w:color="auto" w:fill="FFFFFF"/>
            <w:vAlign w:val="center"/>
          </w:tcPr>
          <w:p w14:paraId="19AE95EB">
            <w:pPr>
              <w:ind w:left="0" w:leftChars="0" w:firstLine="0" w:firstLineChars="0"/>
              <w:rPr>
                <w:rFonts w:hint="default"/>
                <w:b w:val="0"/>
                <w:color w:val="000000"/>
                <w:lang w:val="en-US" w:eastAsia="zh-CN"/>
              </w:rPr>
            </w:pPr>
            <w:r>
              <w:rPr>
                <w:rFonts w:hint="default"/>
                <w:b w:val="0"/>
                <w:color w:val="000000"/>
                <w:lang w:val="en-US" w:eastAsia="zh-CN"/>
              </w:rPr>
              <w:t>3.8106×10⁻²</w:t>
            </w:r>
          </w:p>
        </w:tc>
      </w:tr>
      <w:tr w14:paraId="7A99A753">
        <w:trPr>
          <w:tblCellSpacing w:w="15" w:type="dxa"/>
        </w:trPr>
        <w:tc>
          <w:tcPr>
            <w:tcW w:w="1080" w:type="dxa"/>
            <w:shd w:val="clear" w:color="auto" w:fill="FFFFFF"/>
            <w:vAlign w:val="center"/>
          </w:tcPr>
          <w:p w14:paraId="36AD7685">
            <w:pPr>
              <w:ind w:left="0" w:leftChars="0" w:firstLine="0" w:firstLineChars="0"/>
              <w:rPr>
                <w:rFonts w:hint="default"/>
                <w:b w:val="0"/>
                <w:color w:val="000000"/>
                <w:lang w:val="en-US" w:eastAsia="zh-CN"/>
              </w:rPr>
            </w:pPr>
            <w:r>
              <w:rPr>
                <w:rFonts w:hint="default"/>
                <w:b w:val="0"/>
                <w:color w:val="000000"/>
                <w:lang w:val="en-US" w:eastAsia="zh-CN"/>
              </w:rPr>
              <w:t>TE_only</w:t>
            </w:r>
          </w:p>
        </w:tc>
        <w:tc>
          <w:tcPr>
            <w:tcW w:w="1935" w:type="dxa"/>
            <w:shd w:val="clear" w:color="auto" w:fill="FFFFFF"/>
            <w:vAlign w:val="center"/>
          </w:tcPr>
          <w:p w14:paraId="6FE4DA97">
            <w:pPr>
              <w:ind w:left="0" w:leftChars="0" w:firstLine="0" w:firstLineChars="0"/>
              <w:rPr>
                <w:rFonts w:hint="default"/>
                <w:b w:val="0"/>
                <w:color w:val="000000"/>
                <w:lang w:val="en-US" w:eastAsia="zh-CN"/>
              </w:rPr>
            </w:pPr>
            <w:r>
              <w:rPr>
                <w:rFonts w:hint="default"/>
                <w:b w:val="0"/>
                <w:color w:val="000000"/>
                <w:lang w:val="en-US" w:eastAsia="zh-CN"/>
              </w:rPr>
              <w:t>TE</w:t>
            </w:r>
          </w:p>
        </w:tc>
        <w:tc>
          <w:tcPr>
            <w:tcW w:w="1303" w:type="dxa"/>
            <w:shd w:val="clear" w:color="auto" w:fill="FFFFFF"/>
            <w:vAlign w:val="center"/>
          </w:tcPr>
          <w:p w14:paraId="0BBA866D">
            <w:pPr>
              <w:ind w:left="0" w:leftChars="0" w:firstLine="0" w:firstLineChars="0"/>
              <w:rPr>
                <w:rFonts w:hint="default"/>
                <w:b w:val="0"/>
                <w:color w:val="000000"/>
                <w:lang w:val="en-US" w:eastAsia="zh-CN"/>
              </w:rPr>
            </w:pPr>
            <w:r>
              <w:rPr>
                <w:rFonts w:hint="eastAsia"/>
                <w:b w:val="0"/>
                <w:color w:val="000000"/>
                <w:lang w:val="en-US" w:eastAsia="zh-CN"/>
              </w:rPr>
              <w:t>8</w:t>
            </w:r>
          </w:p>
        </w:tc>
        <w:tc>
          <w:tcPr>
            <w:tcW w:w="1149" w:type="dxa"/>
            <w:shd w:val="clear" w:color="auto" w:fill="FFFFFF"/>
            <w:vAlign w:val="center"/>
          </w:tcPr>
          <w:p w14:paraId="339144FA">
            <w:pPr>
              <w:ind w:left="0" w:leftChars="0" w:firstLine="0" w:firstLineChars="0"/>
              <w:rPr>
                <w:rFonts w:hint="default"/>
                <w:b w:val="0"/>
                <w:color w:val="000000"/>
                <w:lang w:val="en-US" w:eastAsia="zh-CN"/>
              </w:rPr>
            </w:pPr>
            <w:r>
              <w:rPr>
                <w:rFonts w:hint="default"/>
                <w:b w:val="0"/>
                <w:color w:val="000000"/>
                <w:lang w:val="en-US" w:eastAsia="zh-CN"/>
              </w:rPr>
              <w:t>4.5719</w:t>
            </w:r>
          </w:p>
        </w:tc>
        <w:tc>
          <w:tcPr>
            <w:tcW w:w="611" w:type="dxa"/>
            <w:shd w:val="clear" w:color="auto" w:fill="FFFFFF"/>
            <w:vAlign w:val="center"/>
          </w:tcPr>
          <w:p w14:paraId="17DD6009">
            <w:pPr>
              <w:ind w:left="0" w:leftChars="0" w:firstLine="0" w:firstLineChars="0"/>
              <w:rPr>
                <w:rFonts w:hint="default"/>
                <w:b w:val="0"/>
                <w:color w:val="000000"/>
                <w:lang w:val="en-US" w:eastAsia="zh-CN"/>
              </w:rPr>
            </w:pPr>
            <w:r>
              <w:rPr>
                <w:rFonts w:hint="default"/>
                <w:b w:val="0"/>
                <w:color w:val="000000"/>
                <w:lang w:val="en-US" w:eastAsia="zh-CN"/>
              </w:rPr>
              <w:t>1.2000</w:t>
            </w:r>
          </w:p>
        </w:tc>
        <w:tc>
          <w:tcPr>
            <w:tcW w:w="1036" w:type="dxa"/>
            <w:shd w:val="clear" w:color="auto" w:fill="FFFFFF"/>
            <w:vAlign w:val="center"/>
          </w:tcPr>
          <w:p w14:paraId="413E9087">
            <w:pPr>
              <w:ind w:left="0" w:leftChars="0" w:firstLine="0" w:firstLineChars="0"/>
              <w:rPr>
                <w:rFonts w:hint="default"/>
                <w:b w:val="0"/>
                <w:color w:val="000000"/>
                <w:lang w:val="en-US" w:eastAsia="zh-CN"/>
              </w:rPr>
            </w:pPr>
            <w:r>
              <w:rPr>
                <w:rFonts w:hint="default"/>
                <w:b w:val="0"/>
                <w:color w:val="000000"/>
                <w:lang w:val="en-US" w:eastAsia="zh-CN"/>
              </w:rPr>
              <w:t>43.0416</w:t>
            </w:r>
          </w:p>
        </w:tc>
        <w:tc>
          <w:tcPr>
            <w:tcW w:w="1572" w:type="dxa"/>
            <w:shd w:val="clear" w:color="auto" w:fill="FFFFFF"/>
            <w:vAlign w:val="center"/>
          </w:tcPr>
          <w:p w14:paraId="69EDF4EF">
            <w:pPr>
              <w:ind w:left="0" w:leftChars="0" w:firstLine="0" w:firstLineChars="0"/>
              <w:rPr>
                <w:rFonts w:hint="default"/>
                <w:b w:val="0"/>
                <w:color w:val="000000"/>
                <w:lang w:val="en-US" w:eastAsia="zh-CN"/>
              </w:rPr>
            </w:pPr>
            <w:r>
              <w:rPr>
                <w:rFonts w:hint="default"/>
                <w:b w:val="0"/>
                <w:color w:val="000000"/>
                <w:lang w:val="en-US" w:eastAsia="zh-CN"/>
              </w:rPr>
              <w:t>5.9389×10⁻³</w:t>
            </w:r>
          </w:p>
        </w:tc>
      </w:tr>
      <w:tr w14:paraId="2F374D0C">
        <w:trPr>
          <w:tblCellSpacing w:w="15" w:type="dxa"/>
        </w:trPr>
        <w:tc>
          <w:tcPr>
            <w:tcW w:w="1080" w:type="dxa"/>
            <w:shd w:val="clear" w:color="auto" w:fill="FFFFFF"/>
            <w:vAlign w:val="center"/>
          </w:tcPr>
          <w:p w14:paraId="4F46659D">
            <w:pPr>
              <w:ind w:left="0" w:leftChars="0" w:firstLine="0" w:firstLineChars="0"/>
              <w:rPr>
                <w:rFonts w:hint="default"/>
                <w:b w:val="0"/>
                <w:color w:val="000000"/>
                <w:lang w:val="en-US" w:eastAsia="zh-CN"/>
              </w:rPr>
            </w:pPr>
            <w:r>
              <w:rPr>
                <w:rFonts w:hint="default"/>
                <w:b w:val="0"/>
                <w:color w:val="000000"/>
                <w:lang w:val="en-US" w:eastAsia="zh-CN"/>
              </w:rPr>
              <w:t>TETM_only</w:t>
            </w:r>
          </w:p>
        </w:tc>
        <w:tc>
          <w:tcPr>
            <w:tcW w:w="1935" w:type="dxa"/>
            <w:shd w:val="clear" w:color="auto" w:fill="FFFFFF"/>
            <w:vAlign w:val="center"/>
          </w:tcPr>
          <w:p w14:paraId="7B5897A5">
            <w:pPr>
              <w:ind w:left="0" w:leftChars="0" w:firstLine="0" w:firstLineChars="0"/>
              <w:rPr>
                <w:rFonts w:hint="default"/>
                <w:b w:val="0"/>
                <w:color w:val="000000"/>
                <w:lang w:val="en-US" w:eastAsia="zh-CN"/>
              </w:rPr>
            </w:pPr>
            <w:r>
              <w:rPr>
                <w:rFonts w:hint="default"/>
                <w:b w:val="0"/>
                <w:color w:val="000000"/>
                <w:lang w:val="en-US" w:eastAsia="zh-CN"/>
              </w:rPr>
              <w:t>TE + TM</w:t>
            </w:r>
          </w:p>
        </w:tc>
        <w:tc>
          <w:tcPr>
            <w:tcW w:w="1303" w:type="dxa"/>
            <w:shd w:val="clear" w:color="auto" w:fill="FFFFFF"/>
            <w:vAlign w:val="center"/>
          </w:tcPr>
          <w:p w14:paraId="2C7F2877">
            <w:pPr>
              <w:ind w:left="0" w:leftChars="0" w:firstLine="0" w:firstLineChars="0"/>
              <w:rPr>
                <w:rFonts w:hint="default"/>
                <w:b w:val="0"/>
                <w:color w:val="000000"/>
                <w:lang w:val="en-US" w:eastAsia="zh-CN"/>
              </w:rPr>
            </w:pPr>
            <w:r>
              <w:rPr>
                <w:rFonts w:hint="default"/>
                <w:b w:val="0"/>
                <w:color w:val="000000"/>
                <w:lang w:val="en-US" w:eastAsia="zh-CN"/>
              </w:rPr>
              <w:t>24</w:t>
            </w:r>
          </w:p>
        </w:tc>
        <w:tc>
          <w:tcPr>
            <w:tcW w:w="1149" w:type="dxa"/>
            <w:shd w:val="clear" w:color="auto" w:fill="FFFFFF"/>
            <w:vAlign w:val="center"/>
          </w:tcPr>
          <w:p w14:paraId="1BE2DD14">
            <w:pPr>
              <w:ind w:left="0" w:leftChars="0" w:firstLine="0" w:firstLineChars="0"/>
              <w:rPr>
                <w:rFonts w:hint="default"/>
                <w:b w:val="0"/>
                <w:color w:val="000000"/>
                <w:lang w:val="en-US" w:eastAsia="zh-CN"/>
              </w:rPr>
            </w:pPr>
            <w:r>
              <w:rPr>
                <w:rFonts w:hint="default"/>
                <w:b w:val="0"/>
                <w:color w:val="000000"/>
                <w:lang w:val="en-US" w:eastAsia="zh-CN"/>
              </w:rPr>
              <w:t>3.8346</w:t>
            </w:r>
          </w:p>
        </w:tc>
        <w:tc>
          <w:tcPr>
            <w:tcW w:w="611" w:type="dxa"/>
            <w:shd w:val="clear" w:color="auto" w:fill="FFFFFF"/>
            <w:vAlign w:val="center"/>
          </w:tcPr>
          <w:p w14:paraId="2F2F77E5">
            <w:pPr>
              <w:ind w:left="0" w:leftChars="0" w:firstLine="0" w:firstLineChars="0"/>
              <w:rPr>
                <w:rFonts w:hint="default"/>
                <w:b w:val="0"/>
                <w:color w:val="000000"/>
                <w:lang w:val="en-US" w:eastAsia="zh-CN"/>
              </w:rPr>
            </w:pPr>
            <w:r>
              <w:rPr>
                <w:rFonts w:hint="default"/>
                <w:b w:val="0"/>
                <w:color w:val="000000"/>
                <w:lang w:val="en-US" w:eastAsia="zh-CN"/>
              </w:rPr>
              <w:t>1.2000</w:t>
            </w:r>
          </w:p>
        </w:tc>
        <w:tc>
          <w:tcPr>
            <w:tcW w:w="1036" w:type="dxa"/>
            <w:shd w:val="clear" w:color="auto" w:fill="FFFFFF"/>
            <w:vAlign w:val="center"/>
          </w:tcPr>
          <w:p w14:paraId="37B7F8A3">
            <w:pPr>
              <w:ind w:left="0" w:leftChars="0" w:firstLine="0" w:firstLineChars="0"/>
              <w:rPr>
                <w:rFonts w:hint="default"/>
                <w:b w:val="0"/>
                <w:color w:val="000000"/>
                <w:lang w:val="en-US" w:eastAsia="zh-CN"/>
              </w:rPr>
            </w:pPr>
            <w:r>
              <w:rPr>
                <w:rFonts w:hint="default"/>
                <w:b w:val="0"/>
                <w:color w:val="000000"/>
                <w:lang w:val="en-US" w:eastAsia="zh-CN"/>
              </w:rPr>
              <w:t>174.1278</w:t>
            </w:r>
          </w:p>
        </w:tc>
        <w:tc>
          <w:tcPr>
            <w:tcW w:w="1572" w:type="dxa"/>
            <w:shd w:val="clear" w:color="auto" w:fill="FFFFFF"/>
            <w:vAlign w:val="center"/>
          </w:tcPr>
          <w:p w14:paraId="66ED4FE8">
            <w:pPr>
              <w:ind w:left="0" w:leftChars="0" w:firstLine="0" w:firstLineChars="0"/>
              <w:rPr>
                <w:rFonts w:hint="default"/>
                <w:b w:val="0"/>
                <w:color w:val="000000"/>
                <w:lang w:val="en-US" w:eastAsia="zh-CN"/>
              </w:rPr>
            </w:pPr>
            <w:r>
              <w:rPr>
                <w:rFonts w:hint="default"/>
                <w:b w:val="0"/>
                <w:color w:val="000000"/>
                <w:lang w:val="en-US" w:eastAsia="zh-CN"/>
              </w:rPr>
              <w:t>5.5793×10⁻³</w:t>
            </w:r>
          </w:p>
        </w:tc>
      </w:tr>
      <w:tr w14:paraId="46262569">
        <w:trPr>
          <w:tblCellSpacing w:w="15" w:type="dxa"/>
        </w:trPr>
        <w:tc>
          <w:tcPr>
            <w:tcW w:w="1080" w:type="dxa"/>
            <w:tcBorders>
              <w:bottom w:val="single" w:color="000000" w:sz="12" w:space="0"/>
            </w:tcBorders>
            <w:shd w:val="clear" w:color="auto" w:fill="FFFFFF"/>
            <w:vAlign w:val="center"/>
          </w:tcPr>
          <w:p w14:paraId="1B8C25E1">
            <w:pPr>
              <w:ind w:left="0" w:leftChars="0" w:firstLine="0" w:firstLineChars="0"/>
              <w:rPr>
                <w:rFonts w:hint="default"/>
                <w:b w:val="0"/>
                <w:color w:val="000000"/>
                <w:lang w:val="en-US" w:eastAsia="zh-CN"/>
              </w:rPr>
            </w:pPr>
            <w:r>
              <w:rPr>
                <w:rFonts w:hint="default"/>
                <w:b w:val="0"/>
                <w:color w:val="000000"/>
                <w:lang w:val="en-US" w:eastAsia="zh-CN"/>
              </w:rPr>
              <w:t>TETMTP</w:t>
            </w:r>
          </w:p>
        </w:tc>
        <w:tc>
          <w:tcPr>
            <w:tcW w:w="1935" w:type="dxa"/>
            <w:tcBorders>
              <w:bottom w:val="single" w:color="000000" w:sz="12" w:space="0"/>
            </w:tcBorders>
            <w:shd w:val="clear" w:color="auto" w:fill="FFFFFF"/>
            <w:vAlign w:val="center"/>
          </w:tcPr>
          <w:p w14:paraId="7ABE64C3">
            <w:pPr>
              <w:ind w:left="0" w:leftChars="0" w:firstLine="0" w:firstLineChars="0"/>
              <w:rPr>
                <w:rFonts w:hint="default"/>
                <w:b w:val="0"/>
                <w:color w:val="000000"/>
                <w:lang w:val="en-US" w:eastAsia="zh-CN"/>
              </w:rPr>
            </w:pPr>
            <w:r>
              <w:rPr>
                <w:rFonts w:hint="default"/>
                <w:b w:val="0"/>
                <w:color w:val="000000"/>
                <w:lang w:val="en-US" w:eastAsia="zh-CN"/>
              </w:rPr>
              <w:t>TE+TM+ TP/TIPPER</w:t>
            </w:r>
          </w:p>
        </w:tc>
        <w:tc>
          <w:tcPr>
            <w:tcW w:w="1303" w:type="dxa"/>
            <w:tcBorders>
              <w:bottom w:val="single" w:color="000000" w:sz="12" w:space="0"/>
            </w:tcBorders>
            <w:shd w:val="clear" w:color="auto" w:fill="FFFFFF"/>
            <w:vAlign w:val="center"/>
          </w:tcPr>
          <w:p w14:paraId="440C41FD">
            <w:pPr>
              <w:ind w:left="0" w:leftChars="0" w:firstLine="0" w:firstLineChars="0"/>
              <w:rPr>
                <w:rFonts w:hint="default"/>
                <w:b w:val="0"/>
                <w:color w:val="000000"/>
                <w:lang w:val="en-US" w:eastAsia="zh-CN"/>
              </w:rPr>
            </w:pPr>
            <w:r>
              <w:rPr>
                <w:rFonts w:hint="default"/>
                <w:b w:val="0"/>
                <w:color w:val="000000"/>
                <w:lang w:val="en-US" w:eastAsia="zh-CN"/>
              </w:rPr>
              <w:t>23</w:t>
            </w:r>
          </w:p>
        </w:tc>
        <w:tc>
          <w:tcPr>
            <w:tcW w:w="1149" w:type="dxa"/>
            <w:tcBorders>
              <w:bottom w:val="single" w:color="000000" w:sz="12" w:space="0"/>
            </w:tcBorders>
            <w:shd w:val="clear" w:color="auto" w:fill="FFFFFF"/>
            <w:vAlign w:val="center"/>
          </w:tcPr>
          <w:p w14:paraId="1EC490CB">
            <w:pPr>
              <w:ind w:left="0" w:leftChars="0" w:firstLine="0" w:firstLineChars="0"/>
              <w:rPr>
                <w:rFonts w:hint="default"/>
                <w:b w:val="0"/>
                <w:color w:val="000000"/>
                <w:lang w:val="en-US" w:eastAsia="zh-CN"/>
              </w:rPr>
            </w:pPr>
            <w:r>
              <w:rPr>
                <w:rFonts w:hint="default"/>
                <w:b w:val="0"/>
                <w:color w:val="000000"/>
                <w:lang w:val="en-US" w:eastAsia="zh-CN"/>
              </w:rPr>
              <w:t>3.7768</w:t>
            </w:r>
          </w:p>
        </w:tc>
        <w:tc>
          <w:tcPr>
            <w:tcW w:w="611" w:type="dxa"/>
            <w:tcBorders>
              <w:bottom w:val="single" w:color="000000" w:sz="12" w:space="0"/>
            </w:tcBorders>
            <w:shd w:val="clear" w:color="auto" w:fill="FFFFFF"/>
            <w:vAlign w:val="center"/>
          </w:tcPr>
          <w:p w14:paraId="13D16D8F">
            <w:pPr>
              <w:ind w:left="0" w:leftChars="0" w:firstLine="0" w:firstLineChars="0"/>
              <w:rPr>
                <w:rFonts w:hint="default"/>
                <w:b w:val="0"/>
                <w:color w:val="000000"/>
                <w:lang w:val="en-US" w:eastAsia="zh-CN"/>
              </w:rPr>
            </w:pPr>
            <w:r>
              <w:rPr>
                <w:rFonts w:hint="default"/>
                <w:b w:val="0"/>
                <w:color w:val="000000"/>
                <w:lang w:val="en-US" w:eastAsia="zh-CN"/>
              </w:rPr>
              <w:t>1.2000</w:t>
            </w:r>
          </w:p>
        </w:tc>
        <w:tc>
          <w:tcPr>
            <w:tcW w:w="1036" w:type="dxa"/>
            <w:tcBorders>
              <w:bottom w:val="single" w:color="000000" w:sz="12" w:space="0"/>
            </w:tcBorders>
            <w:shd w:val="clear" w:color="auto" w:fill="FFFFFF"/>
            <w:vAlign w:val="center"/>
          </w:tcPr>
          <w:p w14:paraId="5D7D621E">
            <w:pPr>
              <w:ind w:left="0" w:leftChars="0" w:firstLine="0" w:firstLineChars="0"/>
              <w:rPr>
                <w:rFonts w:hint="default"/>
                <w:b w:val="0"/>
                <w:color w:val="000000"/>
                <w:lang w:val="en-US" w:eastAsia="zh-CN"/>
              </w:rPr>
            </w:pPr>
            <w:r>
              <w:rPr>
                <w:rFonts w:hint="default"/>
                <w:b w:val="0"/>
                <w:color w:val="000000"/>
                <w:lang w:val="en-US" w:eastAsia="zh-CN"/>
              </w:rPr>
              <w:t>118.8859</w:t>
            </w:r>
          </w:p>
        </w:tc>
        <w:tc>
          <w:tcPr>
            <w:tcW w:w="1572" w:type="dxa"/>
            <w:tcBorders>
              <w:bottom w:val="single" w:color="000000" w:sz="12" w:space="0"/>
            </w:tcBorders>
            <w:shd w:val="clear" w:color="auto" w:fill="FFFFFF"/>
            <w:vAlign w:val="center"/>
          </w:tcPr>
          <w:p w14:paraId="1831D603">
            <w:pPr>
              <w:ind w:left="0" w:leftChars="0" w:firstLine="0" w:firstLineChars="0"/>
              <w:rPr>
                <w:rFonts w:hint="default"/>
                <w:b w:val="0"/>
                <w:color w:val="000000"/>
                <w:lang w:val="en-US" w:eastAsia="zh-CN"/>
              </w:rPr>
            </w:pPr>
            <w:r>
              <w:rPr>
                <w:rFonts w:hint="default"/>
                <w:b w:val="0"/>
                <w:color w:val="000000"/>
                <w:lang w:val="en-US" w:eastAsia="zh-CN"/>
              </w:rPr>
              <w:t>2.5749×10⁻²</w:t>
            </w:r>
          </w:p>
        </w:tc>
      </w:tr>
    </w:tbl>
    <w:p w14:paraId="3AEEAEE9">
      <w:pPr>
        <w:ind w:left="0" w:leftChars="0" w:firstLine="0" w:firstLineChars="0"/>
        <w:rPr>
          <w:rFonts w:hint="eastAsia"/>
          <w:lang w:val="en-US" w:eastAsia="zh-CN"/>
        </w:rPr>
      </w:pPr>
    </w:p>
    <w:p w14:paraId="7ADBC791">
      <w:pPr>
        <w:pStyle w:val="3"/>
        <w:bidi w:val="0"/>
        <w:rPr>
          <w:rFonts w:hint="eastAsia"/>
          <w:lang w:val="en-US" w:eastAsia="zh-CN"/>
        </w:rPr>
      </w:pPr>
      <w:bookmarkStart w:id="38" w:name="_Toc145343945"/>
      <w:r>
        <w:rPr>
          <w:rFonts w:hint="eastAsia"/>
          <w:lang w:val="en-US" w:eastAsia="zh-CN"/>
        </w:rPr>
        <w:t>总结</w:t>
      </w:r>
      <w:bookmarkEnd w:id="38"/>
    </w:p>
    <w:p w14:paraId="4EFDB725">
      <w:pPr>
        <w:ind w:left="0" w:leftChars="0" w:firstLine="420" w:firstLineChars="200"/>
        <w:rPr>
          <w:rFonts w:hint="default"/>
          <w:lang w:val="en-US" w:eastAsia="zh-CN"/>
        </w:rPr>
      </w:pPr>
      <w:r>
        <w:rPr>
          <w:rFonts w:hint="default"/>
          <w:lang w:val="en-US" w:eastAsia="zh-CN"/>
        </w:rPr>
        <w:t>本实验通过改变测点、参数及数据模式，对ATF和SAF两条剖面的MT数据进行二维反演对比，获得以下认识：</w:t>
      </w:r>
    </w:p>
    <w:p w14:paraId="6242B4DB">
      <w:pPr>
        <w:numPr>
          <w:ilvl w:val="0"/>
          <w:numId w:val="8"/>
        </w:numPr>
        <w:ind w:left="0" w:leftChars="0" w:firstLine="0" w:firstLineChars="0"/>
        <w:rPr>
          <w:rFonts w:hint="default"/>
          <w:lang w:val="en-US" w:eastAsia="zh-CN"/>
        </w:rPr>
      </w:pPr>
      <w:r>
        <w:rPr>
          <w:rFonts w:hint="default"/>
          <w:lang w:val="en-US" w:eastAsia="zh-CN"/>
        </w:rPr>
        <w:t>异常测点的筛选会明显影响反演结果</w:t>
      </w:r>
      <w:r>
        <w:rPr>
          <w:rFonts w:hint="eastAsia"/>
          <w:lang w:val="en-US" w:eastAsia="zh-CN"/>
        </w:rPr>
        <w:t>，但剔除异常并不等于模型整体变好——</w:t>
      </w:r>
      <w:r>
        <w:rPr>
          <w:rFonts w:hint="default"/>
          <w:lang w:val="en-US" w:eastAsia="zh-CN"/>
        </w:rPr>
        <w:t> ATF剖面剔除 QLM17a 后，RMS 降低而模型粗糙度增大</w:t>
      </w:r>
      <w:r>
        <w:rPr>
          <w:rFonts w:hint="eastAsia"/>
          <w:lang w:val="en-US" w:eastAsia="zh-CN"/>
        </w:rPr>
        <w:t>；</w:t>
      </w:r>
      <w:r>
        <w:rPr>
          <w:rFonts w:hint="default"/>
          <w:lang w:val="en-US" w:eastAsia="zh-CN"/>
        </w:rPr>
        <w:t>SAF 剖面剔除 mvx030、mvx031 后，RMS 与粗糙度均有所下降。</w:t>
      </w:r>
    </w:p>
    <w:p w14:paraId="1E48B015">
      <w:pPr>
        <w:numPr>
          <w:ilvl w:val="0"/>
          <w:numId w:val="8"/>
        </w:numPr>
        <w:ind w:left="0" w:leftChars="0" w:firstLine="0" w:firstLineChars="0"/>
        <w:rPr>
          <w:rFonts w:hint="default"/>
          <w:lang w:val="en-US" w:eastAsia="zh-CN"/>
        </w:rPr>
      </w:pPr>
      <w:r>
        <w:rPr>
          <w:rFonts w:hint="default"/>
          <w:lang w:val="en-US" w:eastAsia="zh-CN"/>
        </w:rPr>
        <w:t>研究区</w:t>
      </w:r>
      <w:r>
        <w:rPr>
          <w:rFonts w:hint="eastAsia"/>
          <w:lang w:val="en-US" w:eastAsia="zh-CN"/>
        </w:rPr>
        <w:t>ATF</w:t>
      </w:r>
      <w:r>
        <w:rPr>
          <w:rFonts w:hint="default"/>
          <w:lang w:val="en-US" w:eastAsia="zh-CN"/>
        </w:rPr>
        <w:t>地壳电性结构具有明显横向非均一性，</w:t>
      </w:r>
      <w:r>
        <w:rPr>
          <w:rFonts w:hint="eastAsia"/>
          <w:lang w:val="en-US" w:eastAsia="zh-CN"/>
        </w:rPr>
        <w:t>浅部</w:t>
      </w:r>
      <w:r>
        <w:rPr>
          <w:rFonts w:hint="default"/>
          <w:lang w:val="en-US" w:eastAsia="zh-CN"/>
        </w:rPr>
        <w:t>表现为大尺度高阻体与局部低阻异常相间分布，并形成显著电阻率梯度带</w:t>
      </w:r>
      <w:r>
        <w:rPr>
          <w:rFonts w:hint="eastAsia"/>
          <w:lang w:val="en-US" w:eastAsia="zh-CN"/>
        </w:rPr>
        <w:t>；深部总体向南电阻增加</w:t>
      </w:r>
      <w:r>
        <w:rPr>
          <w:rFonts w:hint="default"/>
          <w:lang w:val="en-US" w:eastAsia="zh-CN"/>
        </w:rPr>
        <w:t>。 去除异常测点 QLM17a 后，</w:t>
      </w:r>
      <w:r>
        <w:rPr>
          <w:rFonts w:hint="eastAsia"/>
          <w:lang w:val="en-US" w:eastAsia="zh-CN"/>
        </w:rPr>
        <w:t>深部</w:t>
      </w:r>
      <w:r>
        <w:rPr>
          <w:rFonts w:hint="default"/>
          <w:lang w:val="en-US" w:eastAsia="zh-CN"/>
        </w:rPr>
        <w:t>主要高</w:t>
      </w:r>
      <w:r>
        <w:rPr>
          <w:rFonts w:hint="eastAsia"/>
          <w:lang w:val="en-US" w:eastAsia="zh-CN"/>
        </w:rPr>
        <w:t>阻结构以及浅部</w:t>
      </w:r>
      <w:r>
        <w:rPr>
          <w:rFonts w:hint="default"/>
          <w:lang w:val="en-US" w:eastAsia="zh-CN"/>
        </w:rPr>
        <w:t>低阻结构仍基本保持，说明反演所得大尺度电性结构具有一定稳定性。</w:t>
      </w:r>
      <w:r>
        <w:rPr>
          <w:rFonts w:hint="eastAsia"/>
          <w:lang w:val="en-US" w:eastAsia="zh-CN"/>
        </w:rPr>
        <w:t>综合来看，实验</w:t>
      </w:r>
      <w:r>
        <w:rPr>
          <w:rFonts w:hint="default"/>
          <w:lang w:val="en-US" w:eastAsia="zh-CN"/>
        </w:rPr>
        <w:t>结果支持阿尔金断裂带是不同电性与流变性质地壳单元之间的重要构造边界</w:t>
      </w:r>
      <w:r>
        <w:rPr>
          <w:rFonts w:hint="eastAsia"/>
          <w:lang w:val="en-US" w:eastAsia="zh-CN"/>
        </w:rPr>
        <w:t>；而祁连山的地壳电性结构呈现深部高阻以及复杂性。</w:t>
      </w:r>
    </w:p>
    <w:p w14:paraId="5DD70461">
      <w:pPr>
        <w:ind w:left="0" w:leftChars="0" w:firstLine="0" w:firstLineChars="0"/>
        <w:rPr>
          <w:rFonts w:hint="default"/>
          <w:lang w:val="en-US" w:eastAsia="zh-CN"/>
        </w:rPr>
      </w:pPr>
      <w:r>
        <w:rPr>
          <w:rFonts w:hint="default"/>
          <w:lang w:val="en-US" w:eastAsia="zh-CN"/>
        </w:rPr>
        <w:t>（</w:t>
      </w:r>
      <w:r>
        <w:rPr>
          <w:rFonts w:hint="eastAsia"/>
          <w:lang w:val="en-US" w:eastAsia="zh-CN"/>
        </w:rPr>
        <w:t>3</w:t>
      </w:r>
      <w:r>
        <w:rPr>
          <w:rFonts w:hint="default"/>
          <w:lang w:val="en-US" w:eastAsia="zh-CN"/>
        </w:rPr>
        <w:t>）合理的参数优化能够提高反演效率。 SAF 剖面的 New 方案相比基础方案具有更少的迭代次数、更低的 RMS 和粗糙度，整体表现更优，说明针对具体数据调整反演参数具有必要性。</w:t>
      </w:r>
    </w:p>
    <w:p w14:paraId="4F44AD5D">
      <w:pPr>
        <w:ind w:left="0" w:leftChars="0" w:firstLine="0" w:firstLineChars="0"/>
        <w:rPr>
          <w:rFonts w:hint="default"/>
          <w:lang w:val="en-US" w:eastAsia="zh-CN"/>
        </w:rPr>
      </w:pPr>
      <w:r>
        <w:rPr>
          <w:rFonts w:hint="default"/>
          <w:lang w:val="en-US" w:eastAsia="zh-CN"/>
        </w:rPr>
        <w:t>（</w:t>
      </w:r>
      <w:r>
        <w:rPr>
          <w:rFonts w:hint="eastAsia"/>
          <w:lang w:val="en-US" w:eastAsia="zh-CN"/>
        </w:rPr>
        <w:t>4</w:t>
      </w:r>
      <w:r>
        <w:rPr>
          <w:rFonts w:hint="default"/>
          <w:lang w:val="en-US" w:eastAsia="zh-CN"/>
        </w:rPr>
        <w:t>）不同反演模式对地下电性结构的约束存在明显差异，是影响最终模型形态的重要因素。 单独使用 TE 模式时模型粗糙度较高，而 TM 模式虽然能够取得较低的 RMS，但仅依赖单一极化模式，对 3D 效应相对不敏感，对横向电阻率突变较敏感，对电导的约束存在不足</w:t>
      </w:r>
      <w:r>
        <w:rPr>
          <w:rFonts w:hint="default"/>
          <w:vertAlign w:val="superscript"/>
          <w:lang w:val="en-US" w:eastAsia="zh-CN"/>
        </w:rPr>
        <w:t>[1</w:t>
      </w:r>
      <w:r>
        <w:rPr>
          <w:rFonts w:hint="eastAsia"/>
          <w:vertAlign w:val="superscript"/>
          <w:lang w:val="en-US" w:eastAsia="zh-CN"/>
        </w:rPr>
        <w:t>7</w:t>
      </w:r>
      <w:r>
        <w:rPr>
          <w:rFonts w:hint="default"/>
          <w:vertAlign w:val="superscript"/>
          <w:lang w:val="en-US" w:eastAsia="zh-CN"/>
        </w:rPr>
        <w:t>]</w:t>
      </w:r>
      <w:r>
        <w:rPr>
          <w:rFonts w:hint="default"/>
          <w:lang w:val="en-US" w:eastAsia="zh-CN"/>
        </w:rPr>
        <w:t>。相比之下，TE+TM 联合反演综合利用了两种极化模式的信息，所得模型整体连续性和稳定性更好；进一步加入 TP数据后，可增加对二维电性结构的约束，但模型粗糙度也可能随之增大。由此可见，反演结果并非 RMS 越低越好，而是在数据拟合程度与模型平滑性之间存在一定权衡，应结合不同模式的敏感性及最终模型的地质合理性选择合适的反演方案</w:t>
      </w:r>
      <w:r>
        <w:rPr>
          <w:rFonts w:hint="eastAsia"/>
          <w:lang w:val="en-US" w:eastAsia="zh-CN"/>
        </w:rPr>
        <w:t>。</w:t>
      </w:r>
    </w:p>
    <w:sectPr>
      <w:headerReference r:id="rId5" w:type="default"/>
      <w:footerReference r:id="rId6" w:type="default"/>
      <w:pgSz w:w="11906" w:h="16838"/>
      <w:pgMar w:top="1701" w:right="1474" w:bottom="1418" w:left="1474" w:header="1134" w:footer="992" w:gutter="0"/>
      <w:cols w:space="720"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Calibri Light">
    <w:altName w:val="Helvetica Neue"/>
    <w:panose1 w:val="00000000000000000000"/>
    <w:charset w:val="00"/>
    <w:family w:val="auto"/>
    <w:pitch w:val="default"/>
    <w:sig w:usb0="00000000" w:usb1="00000000" w:usb2="00000000" w:usb3="00000000" w:csb0="00000000" w:csb1="00000000"/>
  </w:font>
  <w:font w:name="仿宋">
    <w:altName w:val="方正仿宋_GBK"/>
    <w:panose1 w:val="02010609060101010101"/>
    <w:charset w:val="86"/>
    <w:family w:val="modern"/>
    <w:pitch w:val="default"/>
    <w:sig w:usb0="00000000" w:usb1="00000000" w:usb2="00000016" w:usb3="00000000" w:csb0="00040001" w:csb1="00000000"/>
  </w:font>
  <w:font w:name="方正仿宋_GBK">
    <w:panose1 w:val="02000000000000000000"/>
    <w:charset w:val="86"/>
    <w:family w:val="auto"/>
    <w:pitch w:val="default"/>
    <w:sig w:usb0="A00002BF" w:usb1="38CF7CFA" w:usb2="00082016" w:usb3="00000000" w:csb0="00040001" w:csb1="00000000"/>
  </w:font>
  <w:font w:name="Cambria">
    <w:altName w:val="苹方-简"/>
    <w:panose1 w:val="02040503050406030204"/>
    <w:charset w:val="00"/>
    <w:family w:val="roman"/>
    <w:pitch w:val="default"/>
    <w:sig w:usb0="00000000" w:usb1="00000000" w:usb2="02000000" w:usb3="00000000" w:csb0="0000019F" w:csb1="00000000"/>
  </w:font>
  <w:font w:name="苹方-简">
    <w:panose1 w:val="020B0400000000000000"/>
    <w:charset w:val="86"/>
    <w:family w:val="auto"/>
    <w:pitch w:val="default"/>
    <w:sig w:usb0="A00002FF" w:usb1="7ACFFDFB" w:usb2="00000017" w:usb3="00000000" w:csb0="00040001" w:csb1="00000000"/>
  </w:font>
  <w:font w:name="冬青黑体简体中文">
    <w:panose1 w:val="020B0300000000000000"/>
    <w:charset w:val="86"/>
    <w:family w:val="auto"/>
    <w:pitch w:val="default"/>
    <w:sig w:usb0="A00002BF" w:usb1="1ACF7CFA" w:usb2="00000016" w:usb3="00000000" w:csb0="00060007"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13331491"/>
      <w:docPartObj>
        <w:docPartGallery w:val="autotext"/>
      </w:docPartObj>
    </w:sdtPr>
    <w:sdtContent>
      <w:p w14:paraId="2465A942">
        <w:pPr>
          <w:pStyle w:val="13"/>
          <w:ind w:firstLine="360"/>
        </w:pPr>
        <w:r>
          <w:fldChar w:fldCharType="begin"/>
        </w:r>
        <w:r>
          <w:instrText xml:space="preserve">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20"/>
      </w:pPr>
      <w:r>
        <w:separator/>
      </w:r>
    </w:p>
  </w:footnote>
  <w:footnote w:type="continuationSeparator" w:id="1">
    <w:p>
      <w:pPr>
        <w:spacing w:line="36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6A19AE">
    <w:pPr>
      <w:pStyle w:val="14"/>
      <w:rPr>
        <w:rFonts w:hint="default" w:eastAsia="仿宋"/>
        <w:lang w:val="en-US" w:eastAsia="zh-CN"/>
      </w:rPr>
    </w:pPr>
    <w:r>
      <w:rPr>
        <w:rFonts w:hint="eastAsia"/>
        <w:lang w:val="en-US" w:eastAsia="zh-CN"/>
      </w:rPr>
      <w:t>浙江大学地学综合实习</w:t>
    </w:r>
    <w:r>
      <w:rPr>
        <w:lang w:val="zh-CN"/>
      </w:rPr>
      <w:ptab w:relativeTo="margin" w:alignment="right" w:leader="none"/>
    </w:r>
  </w:p>
  <w:p w14:paraId="5CC5F36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F777A1"/>
    <w:multiLevelType w:val="singleLevel"/>
    <w:tmpl w:val="A8F777A1"/>
    <w:lvl w:ilvl="0" w:tentative="0">
      <w:start w:val="3"/>
      <w:numFmt w:val="decimal"/>
      <w:suff w:val="nothing"/>
      <w:lvlText w:val="（%1）"/>
      <w:lvlJc w:val="left"/>
    </w:lvl>
  </w:abstractNum>
  <w:abstractNum w:abstractNumId="1">
    <w:nsid w:val="FFFB2403"/>
    <w:multiLevelType w:val="singleLevel"/>
    <w:tmpl w:val="FFFB2403"/>
    <w:lvl w:ilvl="0" w:tentative="0">
      <w:start w:val="1"/>
      <w:numFmt w:val="lowerLetter"/>
      <w:suff w:val="nothing"/>
      <w:lvlText w:val="（%1）"/>
      <w:lvlJc w:val="left"/>
    </w:lvl>
  </w:abstractNum>
  <w:abstractNum w:abstractNumId="2">
    <w:nsid w:val="0AE367E9"/>
    <w:multiLevelType w:val="multilevel"/>
    <w:tmpl w:val="0AE367E9"/>
    <w:lvl w:ilvl="0" w:tentative="0">
      <w:start w:val="1"/>
      <w:numFmt w:val="none"/>
      <w:pStyle w:val="57"/>
      <w:lvlText w:val="%1示例"/>
      <w:lvlJc w:val="left"/>
      <w:pPr>
        <w:tabs>
          <w:tab w:val="left" w:pos="1120"/>
        </w:tabs>
        <w:ind w:left="0" w:firstLine="400"/>
      </w:pPr>
      <w:rPr>
        <w:rFonts w:hint="eastAsia" w:ascii="宋体" w:eastAsia="宋体"/>
        <w:b w:val="0"/>
        <w:i w:val="0"/>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5D7C3623"/>
    <w:multiLevelType w:val="multilevel"/>
    <w:tmpl w:val="5D7C3623"/>
    <w:lvl w:ilvl="0" w:tentative="0">
      <w:start w:val="1"/>
      <w:numFmt w:val="decimal"/>
      <w:pStyle w:val="2"/>
      <w:isLgl/>
      <w:suff w:val="space"/>
      <w:lvlText w:val="%1"/>
      <w:lvlJc w:val="left"/>
      <w:pPr>
        <w:ind w:left="0" w:firstLine="0"/>
      </w:pPr>
      <w:rPr>
        <w:rFonts w:hint="eastAsia"/>
      </w:rPr>
    </w:lvl>
    <w:lvl w:ilvl="1" w:tentative="0">
      <w:start w:val="1"/>
      <w:numFmt w:val="decimal"/>
      <w:pStyle w:val="3"/>
      <w:isLgl/>
      <w:suff w:val="space"/>
      <w:lvlText w:val="%1.%2"/>
      <w:lvlJc w:val="left"/>
      <w:pPr>
        <w:ind w:left="0" w:firstLine="0"/>
      </w:pPr>
      <w:rPr>
        <w:rFonts w:hint="eastAsia"/>
      </w:rPr>
    </w:lvl>
    <w:lvl w:ilvl="2" w:tentative="0">
      <w:start w:val="1"/>
      <w:numFmt w:val="decimal"/>
      <w:pStyle w:val="4"/>
      <w:isLgl/>
      <w:suff w:val="space"/>
      <w:lvlText w:val="%1.%2.%3"/>
      <w:lvlJc w:val="left"/>
      <w:pPr>
        <w:ind w:left="0" w:firstLine="0"/>
      </w:pPr>
      <w:rPr>
        <w:rFonts w:hint="eastAsia"/>
      </w:rPr>
    </w:lvl>
    <w:lvl w:ilvl="3" w:tentative="0">
      <w:start w:val="1"/>
      <w:numFmt w:val="decimal"/>
      <w:pStyle w:val="5"/>
      <w:suff w:val="space"/>
      <w:lvlText w:val="%4)"/>
      <w:lvlJc w:val="left"/>
      <w:pPr>
        <w:ind w:left="0" w:firstLine="465"/>
      </w:pPr>
      <w:rPr>
        <w:rFonts w:hint="eastAsia"/>
      </w:rPr>
    </w:lvl>
    <w:lvl w:ilvl="4" w:tentative="0">
      <w:start w:val="1"/>
      <w:numFmt w:val="decimal"/>
      <w:pStyle w:val="6"/>
      <w:isLgl/>
      <w:suff w:val="space"/>
      <w:lvlText w:val="(%5)"/>
      <w:lvlJc w:val="left"/>
      <w:pPr>
        <w:ind w:left="0" w:firstLine="465"/>
      </w:pPr>
      <w:rPr>
        <w:rFonts w:hint="eastAsia"/>
      </w:rPr>
    </w:lvl>
    <w:lvl w:ilvl="5" w:tentative="0">
      <w:start w:val="1"/>
      <w:numFmt w:val="lowerLetter"/>
      <w:pStyle w:val="7"/>
      <w:suff w:val="space"/>
      <w:lvlText w:val="%6)"/>
      <w:lvlJc w:val="left"/>
      <w:pPr>
        <w:ind w:left="0" w:firstLine="465"/>
      </w:pPr>
      <w:rPr>
        <w:rFonts w:hint="eastAsia"/>
      </w:rPr>
    </w:lvl>
    <w:lvl w:ilvl="6" w:tentative="0">
      <w:start w:val="1"/>
      <w:numFmt w:val="lowerLetter"/>
      <w:pStyle w:val="8"/>
      <w:suff w:val="space"/>
      <w:lvlText w:val="(%7)"/>
      <w:lvlJc w:val="left"/>
      <w:pPr>
        <w:ind w:left="0" w:firstLine="465"/>
      </w:pPr>
      <w:rPr>
        <w:rFonts w:hint="eastAsia"/>
      </w:rPr>
    </w:lvl>
    <w:lvl w:ilvl="7" w:tentative="0">
      <w:start w:val="1"/>
      <w:numFmt w:val="decimal"/>
      <w:lvlText w:val="%1.%2.%3.%4.%5.%6.%7.%8"/>
      <w:lvlJc w:val="left"/>
      <w:pPr>
        <w:tabs>
          <w:tab w:val="left" w:pos="-207"/>
        </w:tabs>
        <w:ind w:left="-207" w:hanging="1440"/>
      </w:pPr>
      <w:rPr>
        <w:rFonts w:hint="eastAsia"/>
      </w:rPr>
    </w:lvl>
    <w:lvl w:ilvl="8" w:tentative="0">
      <w:start w:val="1"/>
      <w:numFmt w:val="decimal"/>
      <w:lvlText w:val="%1.%2.%3.%4.%5.%6.%7.%8.%9"/>
      <w:lvlJc w:val="left"/>
      <w:pPr>
        <w:tabs>
          <w:tab w:val="left" w:pos="-63"/>
        </w:tabs>
        <w:ind w:left="-63" w:hanging="1584"/>
      </w:pPr>
      <w:rPr>
        <w:rFonts w:hint="eastAsia"/>
      </w:rPr>
    </w:lvl>
  </w:abstractNum>
  <w:abstractNum w:abstractNumId="4">
    <w:nsid w:val="63D9EE9C"/>
    <w:multiLevelType w:val="singleLevel"/>
    <w:tmpl w:val="63D9EE9C"/>
    <w:lvl w:ilvl="0" w:tentative="0">
      <w:start w:val="1"/>
      <w:numFmt w:val="decimal"/>
      <w:suff w:val="nothing"/>
      <w:lvlText w:val="（%1）"/>
      <w:lvlJc w:val="left"/>
    </w:lvl>
  </w:abstractNum>
  <w:abstractNum w:abstractNumId="5">
    <w:nsid w:val="657D3FBC"/>
    <w:multiLevelType w:val="multilevel"/>
    <w:tmpl w:val="657D3FBC"/>
    <w:lvl w:ilvl="0" w:tentative="0">
      <w:start w:val="1"/>
      <w:numFmt w:val="upperLetter"/>
      <w:pStyle w:val="36"/>
      <w:suff w:val="nothing"/>
      <w:lvlText w:val="附　录　%1"/>
      <w:lvlJc w:val="left"/>
      <w:pPr>
        <w:ind w:left="4320" w:firstLine="0"/>
      </w:pPr>
      <w:rPr>
        <w:rFonts w:hint="eastAsia" w:ascii="黑体" w:hAnsi="Times New Roman" w:eastAsia="黑体"/>
        <w:b w:val="0"/>
        <w:i w:val="0"/>
        <w:sz w:val="21"/>
      </w:rPr>
    </w:lvl>
    <w:lvl w:ilvl="1" w:tentative="0">
      <w:start w:val="1"/>
      <w:numFmt w:val="decimal"/>
      <w:pStyle w:val="42"/>
      <w:suff w:val="nothing"/>
      <w:lvlText w:val="%1.%2　"/>
      <w:lvlJc w:val="left"/>
      <w:pPr>
        <w:ind w:left="4320" w:firstLine="0"/>
      </w:pPr>
      <w:rPr>
        <w:rFonts w:hint="eastAsia" w:ascii="黑体" w:hAnsi="Times New Roman" w:eastAsia="黑体"/>
        <w:b w:val="0"/>
        <w:i w:val="0"/>
        <w:snapToGrid/>
        <w:spacing w:val="0"/>
        <w:w w:val="100"/>
        <w:kern w:val="21"/>
        <w:sz w:val="21"/>
      </w:rPr>
    </w:lvl>
    <w:lvl w:ilvl="2" w:tentative="0">
      <w:start w:val="1"/>
      <w:numFmt w:val="decimal"/>
      <w:pStyle w:val="41"/>
      <w:suff w:val="nothing"/>
      <w:lvlText w:val="%1.%2.%3　"/>
      <w:lvlJc w:val="left"/>
      <w:pPr>
        <w:ind w:left="4320" w:firstLine="0"/>
      </w:pPr>
      <w:rPr>
        <w:rFonts w:hint="eastAsia" w:ascii="黑体" w:hAnsi="Times New Roman" w:eastAsia="黑体"/>
        <w:b w:val="0"/>
        <w:i w:val="0"/>
        <w:sz w:val="21"/>
      </w:rPr>
    </w:lvl>
    <w:lvl w:ilvl="3" w:tentative="0">
      <w:start w:val="1"/>
      <w:numFmt w:val="decimal"/>
      <w:pStyle w:val="40"/>
      <w:suff w:val="nothing"/>
      <w:lvlText w:val="%1.%2.%3.%4　"/>
      <w:lvlJc w:val="left"/>
      <w:pPr>
        <w:ind w:left="4320" w:firstLine="0"/>
      </w:pPr>
      <w:rPr>
        <w:rFonts w:hint="eastAsia" w:ascii="黑体" w:hAnsi="Times New Roman" w:eastAsia="黑体"/>
        <w:b w:val="0"/>
        <w:i w:val="0"/>
        <w:sz w:val="21"/>
      </w:rPr>
    </w:lvl>
    <w:lvl w:ilvl="4" w:tentative="0">
      <w:start w:val="1"/>
      <w:numFmt w:val="decimal"/>
      <w:pStyle w:val="49"/>
      <w:suff w:val="nothing"/>
      <w:lvlText w:val="%1.%2.%3.%4.%5　"/>
      <w:lvlJc w:val="left"/>
      <w:pPr>
        <w:ind w:left="4320" w:firstLine="0"/>
      </w:pPr>
      <w:rPr>
        <w:rFonts w:hint="eastAsia" w:ascii="黑体" w:hAnsi="Times New Roman" w:eastAsia="黑体"/>
        <w:b w:val="0"/>
        <w:i w:val="0"/>
        <w:sz w:val="21"/>
      </w:rPr>
    </w:lvl>
    <w:lvl w:ilvl="5" w:tentative="0">
      <w:start w:val="1"/>
      <w:numFmt w:val="decimal"/>
      <w:pStyle w:val="50"/>
      <w:suff w:val="nothing"/>
      <w:lvlText w:val="%1.%2.%3.%4.%5.%6　"/>
      <w:lvlJc w:val="left"/>
      <w:pPr>
        <w:ind w:left="4320" w:firstLine="0"/>
      </w:pPr>
      <w:rPr>
        <w:rFonts w:hint="eastAsia" w:ascii="黑体" w:hAnsi="Times New Roman" w:eastAsia="黑体"/>
        <w:b w:val="0"/>
        <w:i w:val="0"/>
        <w:sz w:val="21"/>
      </w:rPr>
    </w:lvl>
    <w:lvl w:ilvl="6" w:tentative="0">
      <w:start w:val="1"/>
      <w:numFmt w:val="decimal"/>
      <w:pStyle w:val="52"/>
      <w:suff w:val="nothing"/>
      <w:lvlText w:val="%1.%2.%3.%4.%5.%6.%7　"/>
      <w:lvlJc w:val="left"/>
      <w:pPr>
        <w:ind w:left="4320" w:firstLine="0"/>
      </w:pPr>
      <w:rPr>
        <w:rFonts w:hint="eastAsia" w:ascii="黑体" w:hAnsi="Times New Roman" w:eastAsia="黑体"/>
        <w:b w:val="0"/>
        <w:i w:val="0"/>
        <w:sz w:val="21"/>
      </w:rPr>
    </w:lvl>
    <w:lvl w:ilvl="7" w:tentative="0">
      <w:start w:val="1"/>
      <w:numFmt w:val="decimal"/>
      <w:lvlText w:val="%1.%2.%3.%4.%5.%6.%7.%8"/>
      <w:lvlJc w:val="left"/>
      <w:pPr>
        <w:tabs>
          <w:tab w:val="left" w:pos="8714"/>
        </w:tabs>
        <w:ind w:left="8714" w:hanging="1418"/>
      </w:pPr>
      <w:rPr>
        <w:rFonts w:hint="eastAsia"/>
      </w:rPr>
    </w:lvl>
    <w:lvl w:ilvl="8" w:tentative="0">
      <w:start w:val="1"/>
      <w:numFmt w:val="decimal"/>
      <w:lvlText w:val="%1.%2.%3.%4.%5.%6.%7.%8.%9"/>
      <w:lvlJc w:val="left"/>
      <w:pPr>
        <w:tabs>
          <w:tab w:val="left" w:pos="9422"/>
        </w:tabs>
        <w:ind w:left="9422" w:hanging="1700"/>
      </w:pPr>
      <w:rPr>
        <w:rFonts w:hint="eastAsia"/>
      </w:rPr>
    </w:lvl>
  </w:abstractNum>
  <w:abstractNum w:abstractNumId="6">
    <w:nsid w:val="6CEA2025"/>
    <w:multiLevelType w:val="multilevel"/>
    <w:tmpl w:val="6CEA2025"/>
    <w:lvl w:ilvl="0" w:tentative="0">
      <w:start w:val="1"/>
      <w:numFmt w:val="none"/>
      <w:pStyle w:val="47"/>
      <w:suff w:val="nothing"/>
      <w:lvlText w:val="%1"/>
      <w:lvlJc w:val="left"/>
      <w:pPr>
        <w:ind w:left="0" w:firstLine="0"/>
      </w:pPr>
      <w:rPr>
        <w:rFonts w:hint="default" w:ascii="Times New Roman" w:hAnsi="Times New Roman"/>
        <w:b/>
        <w:i w:val="0"/>
        <w:sz w:val="21"/>
      </w:rPr>
    </w:lvl>
    <w:lvl w:ilvl="1" w:tentative="0">
      <w:start w:val="1"/>
      <w:numFmt w:val="decimal"/>
      <w:pStyle w:val="53"/>
      <w:suff w:val="nothing"/>
      <w:lvlText w:val="%1%2　"/>
      <w:lvlJc w:val="left"/>
      <w:pPr>
        <w:ind w:left="0" w:firstLine="0"/>
      </w:pPr>
      <w:rPr>
        <w:rFonts w:hint="eastAsia" w:ascii="黑体" w:hAnsi="Times New Roman" w:eastAsia="黑体"/>
        <w:b w:val="0"/>
        <w:i w:val="0"/>
        <w:sz w:val="21"/>
      </w:rPr>
    </w:lvl>
    <w:lvl w:ilvl="2" w:tentative="0">
      <w:start w:val="1"/>
      <w:numFmt w:val="decimal"/>
      <w:pStyle w:val="46"/>
      <w:suff w:val="nothing"/>
      <w:lvlText w:val="%1%2.%3　"/>
      <w:lvlJc w:val="left"/>
      <w:pPr>
        <w:ind w:left="0" w:firstLine="0"/>
      </w:pPr>
      <w:rPr>
        <w:rFonts w:hint="eastAsia" w:ascii="黑体" w:hAnsi="Times New Roman" w:eastAsia="黑体"/>
        <w:b w:val="0"/>
        <w:i w:val="0"/>
        <w:sz w:val="21"/>
      </w:rPr>
    </w:lvl>
    <w:lvl w:ilvl="3" w:tentative="0">
      <w:start w:val="1"/>
      <w:numFmt w:val="decimal"/>
      <w:pStyle w:val="45"/>
      <w:suff w:val="nothing"/>
      <w:lvlText w:val="%1%2.%3.%4　"/>
      <w:lvlJc w:val="left"/>
      <w:pPr>
        <w:ind w:left="0" w:firstLine="0"/>
      </w:pPr>
      <w:rPr>
        <w:rFonts w:hint="eastAsia" w:ascii="黑体" w:hAnsi="Times New Roman" w:eastAsia="黑体"/>
        <w:b w:val="0"/>
        <w:i w:val="0"/>
        <w:sz w:val="21"/>
      </w:rPr>
    </w:lvl>
    <w:lvl w:ilvl="4" w:tentative="0">
      <w:start w:val="1"/>
      <w:numFmt w:val="decimal"/>
      <w:pStyle w:val="44"/>
      <w:suff w:val="nothing"/>
      <w:lvlText w:val="%1%2.%3.%4.%5　"/>
      <w:lvlJc w:val="left"/>
      <w:pPr>
        <w:ind w:left="0" w:firstLine="0"/>
      </w:pPr>
      <w:rPr>
        <w:rFonts w:hint="eastAsia" w:ascii="黑体" w:hAnsi="Times New Roman" w:eastAsia="黑体"/>
        <w:b w:val="0"/>
        <w:i w:val="0"/>
        <w:sz w:val="21"/>
      </w:rPr>
    </w:lvl>
    <w:lvl w:ilvl="5" w:tentative="0">
      <w:start w:val="1"/>
      <w:numFmt w:val="decimal"/>
      <w:pStyle w:val="51"/>
      <w:suff w:val="nothing"/>
      <w:lvlText w:val="%1%2.%3.%4.%5.%6　"/>
      <w:lvlJc w:val="left"/>
      <w:pPr>
        <w:ind w:left="0" w:firstLine="0"/>
      </w:pPr>
      <w:rPr>
        <w:rFonts w:hint="eastAsia" w:ascii="黑体" w:hAnsi="Times New Roman" w:eastAsia="黑体"/>
        <w:b w:val="0"/>
        <w:i w:val="0"/>
        <w:sz w:val="21"/>
      </w:rPr>
    </w:lvl>
    <w:lvl w:ilvl="6" w:tentative="0">
      <w:start w:val="1"/>
      <w:numFmt w:val="decimal"/>
      <w:pStyle w:val="55"/>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7">
    <w:nsid w:val="76933334"/>
    <w:multiLevelType w:val="multilevel"/>
    <w:tmpl w:val="76933334"/>
    <w:lvl w:ilvl="0" w:tentative="0">
      <w:start w:val="1"/>
      <w:numFmt w:val="none"/>
      <w:pStyle w:val="38"/>
      <w:lvlText w:val="%1——"/>
      <w:lvlJc w:val="left"/>
      <w:pPr>
        <w:tabs>
          <w:tab w:val="left" w:pos="1140"/>
        </w:tabs>
        <w:ind w:left="84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3"/>
  </w:num>
  <w:num w:numId="2">
    <w:abstractNumId w:val="5"/>
  </w:num>
  <w:num w:numId="3">
    <w:abstractNumId w:val="7"/>
  </w:num>
  <w:num w:numId="4">
    <w:abstractNumId w:val="6"/>
  </w:num>
  <w:num w:numId="5">
    <w:abstractNumId w:val="2"/>
  </w:num>
  <w:num w:numId="6">
    <w:abstractNumId w:val="0"/>
  </w:num>
  <w:num w:numId="7">
    <w:abstractNumId w:val="1"/>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bordersDoNotSurroundHeader w:val="0"/>
  <w:bordersDoNotSurroundFooter w:val="0"/>
  <w:stylePaneFormatFilter w:val="B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1"/>
  <w:documentProtection w:enforcement="0"/>
  <w:defaultTabStop w:val="420"/>
  <w:drawingGridHorizontalSpacing w:val="105"/>
  <w:drawingGridVerticalSpacing w:val="-794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38A3"/>
    <w:rsid w:val="000005EE"/>
    <w:rsid w:val="00011C0A"/>
    <w:rsid w:val="000121EB"/>
    <w:rsid w:val="000122AD"/>
    <w:rsid w:val="0001639E"/>
    <w:rsid w:val="0002614A"/>
    <w:rsid w:val="00033CD1"/>
    <w:rsid w:val="0003407A"/>
    <w:rsid w:val="000343EF"/>
    <w:rsid w:val="000472B2"/>
    <w:rsid w:val="00052D90"/>
    <w:rsid w:val="0005308C"/>
    <w:rsid w:val="000530A4"/>
    <w:rsid w:val="000600C9"/>
    <w:rsid w:val="000604E1"/>
    <w:rsid w:val="000708E7"/>
    <w:rsid w:val="0007114F"/>
    <w:rsid w:val="000846B8"/>
    <w:rsid w:val="00085F2D"/>
    <w:rsid w:val="0008780C"/>
    <w:rsid w:val="00090DEF"/>
    <w:rsid w:val="000937AE"/>
    <w:rsid w:val="00093A78"/>
    <w:rsid w:val="000956F0"/>
    <w:rsid w:val="000A1BF3"/>
    <w:rsid w:val="000A2771"/>
    <w:rsid w:val="000A2CFC"/>
    <w:rsid w:val="000B76D8"/>
    <w:rsid w:val="000C64FC"/>
    <w:rsid w:val="000C655B"/>
    <w:rsid w:val="000D185C"/>
    <w:rsid w:val="000D73C7"/>
    <w:rsid w:val="000E3620"/>
    <w:rsid w:val="000E485B"/>
    <w:rsid w:val="000E71BC"/>
    <w:rsid w:val="000F20DD"/>
    <w:rsid w:val="000F20F0"/>
    <w:rsid w:val="000F6CC7"/>
    <w:rsid w:val="00100232"/>
    <w:rsid w:val="00101440"/>
    <w:rsid w:val="00110E01"/>
    <w:rsid w:val="001118CD"/>
    <w:rsid w:val="00112ACC"/>
    <w:rsid w:val="001131E4"/>
    <w:rsid w:val="001315CE"/>
    <w:rsid w:val="001338A3"/>
    <w:rsid w:val="001355AC"/>
    <w:rsid w:val="001409CA"/>
    <w:rsid w:val="00145717"/>
    <w:rsid w:val="001524BF"/>
    <w:rsid w:val="00155391"/>
    <w:rsid w:val="0015652E"/>
    <w:rsid w:val="00165BE1"/>
    <w:rsid w:val="0016680B"/>
    <w:rsid w:val="00171EB3"/>
    <w:rsid w:val="00171F96"/>
    <w:rsid w:val="00172116"/>
    <w:rsid w:val="00174925"/>
    <w:rsid w:val="00175EAB"/>
    <w:rsid w:val="00181CFB"/>
    <w:rsid w:val="00187E7C"/>
    <w:rsid w:val="00191BBE"/>
    <w:rsid w:val="001922B1"/>
    <w:rsid w:val="00192E62"/>
    <w:rsid w:val="00194923"/>
    <w:rsid w:val="001966C5"/>
    <w:rsid w:val="0019674F"/>
    <w:rsid w:val="00197561"/>
    <w:rsid w:val="001A02B8"/>
    <w:rsid w:val="001D2E21"/>
    <w:rsid w:val="001D49A1"/>
    <w:rsid w:val="001E48DD"/>
    <w:rsid w:val="001E7514"/>
    <w:rsid w:val="00206859"/>
    <w:rsid w:val="00210EEF"/>
    <w:rsid w:val="00211B5C"/>
    <w:rsid w:val="0021460D"/>
    <w:rsid w:val="00214815"/>
    <w:rsid w:val="00215D56"/>
    <w:rsid w:val="00224A8D"/>
    <w:rsid w:val="00227DBC"/>
    <w:rsid w:val="00227E85"/>
    <w:rsid w:val="002419F0"/>
    <w:rsid w:val="00241FA4"/>
    <w:rsid w:val="00251B54"/>
    <w:rsid w:val="002543C0"/>
    <w:rsid w:val="0025740D"/>
    <w:rsid w:val="002575F1"/>
    <w:rsid w:val="00262123"/>
    <w:rsid w:val="00263906"/>
    <w:rsid w:val="00270432"/>
    <w:rsid w:val="0027074F"/>
    <w:rsid w:val="002808C1"/>
    <w:rsid w:val="00280B74"/>
    <w:rsid w:val="002818BF"/>
    <w:rsid w:val="002820CD"/>
    <w:rsid w:val="00282761"/>
    <w:rsid w:val="002832EC"/>
    <w:rsid w:val="00285CF2"/>
    <w:rsid w:val="00285E24"/>
    <w:rsid w:val="00286CCA"/>
    <w:rsid w:val="0029503B"/>
    <w:rsid w:val="002A4E2B"/>
    <w:rsid w:val="002C1A1B"/>
    <w:rsid w:val="002C46F7"/>
    <w:rsid w:val="002C6829"/>
    <w:rsid w:val="002E4A79"/>
    <w:rsid w:val="002E5827"/>
    <w:rsid w:val="002F4EDE"/>
    <w:rsid w:val="002F5F21"/>
    <w:rsid w:val="002F7D3E"/>
    <w:rsid w:val="002F7D75"/>
    <w:rsid w:val="00302AAA"/>
    <w:rsid w:val="00310754"/>
    <w:rsid w:val="003109C7"/>
    <w:rsid w:val="00312724"/>
    <w:rsid w:val="00313001"/>
    <w:rsid w:val="00313761"/>
    <w:rsid w:val="003137F1"/>
    <w:rsid w:val="00322495"/>
    <w:rsid w:val="00324BB2"/>
    <w:rsid w:val="00324BEE"/>
    <w:rsid w:val="00331D99"/>
    <w:rsid w:val="00337F16"/>
    <w:rsid w:val="00342C55"/>
    <w:rsid w:val="003449B2"/>
    <w:rsid w:val="003460DB"/>
    <w:rsid w:val="00347293"/>
    <w:rsid w:val="0035022B"/>
    <w:rsid w:val="00351E5C"/>
    <w:rsid w:val="00353A40"/>
    <w:rsid w:val="00353E51"/>
    <w:rsid w:val="00354A19"/>
    <w:rsid w:val="0035660B"/>
    <w:rsid w:val="003650A2"/>
    <w:rsid w:val="00366147"/>
    <w:rsid w:val="003722B0"/>
    <w:rsid w:val="0037344C"/>
    <w:rsid w:val="00375FC1"/>
    <w:rsid w:val="00377035"/>
    <w:rsid w:val="0038226A"/>
    <w:rsid w:val="00383782"/>
    <w:rsid w:val="00386A6E"/>
    <w:rsid w:val="003904FD"/>
    <w:rsid w:val="0039448F"/>
    <w:rsid w:val="003A27F2"/>
    <w:rsid w:val="003A60B1"/>
    <w:rsid w:val="003B63D3"/>
    <w:rsid w:val="003B7593"/>
    <w:rsid w:val="003D73DA"/>
    <w:rsid w:val="003E3351"/>
    <w:rsid w:val="003E3A7A"/>
    <w:rsid w:val="003F451A"/>
    <w:rsid w:val="0040091A"/>
    <w:rsid w:val="00400E45"/>
    <w:rsid w:val="00401CC1"/>
    <w:rsid w:val="0040525D"/>
    <w:rsid w:val="00405BEE"/>
    <w:rsid w:val="0040642B"/>
    <w:rsid w:val="004075DD"/>
    <w:rsid w:val="00412482"/>
    <w:rsid w:val="00415FB8"/>
    <w:rsid w:val="004211E3"/>
    <w:rsid w:val="004413B7"/>
    <w:rsid w:val="0044390B"/>
    <w:rsid w:val="00444B54"/>
    <w:rsid w:val="00446469"/>
    <w:rsid w:val="004466BB"/>
    <w:rsid w:val="00451450"/>
    <w:rsid w:val="00460A14"/>
    <w:rsid w:val="00460D27"/>
    <w:rsid w:val="00460FD4"/>
    <w:rsid w:val="0046225D"/>
    <w:rsid w:val="00467EFB"/>
    <w:rsid w:val="0048153D"/>
    <w:rsid w:val="00486C25"/>
    <w:rsid w:val="00492925"/>
    <w:rsid w:val="004A1F3A"/>
    <w:rsid w:val="004A34C6"/>
    <w:rsid w:val="004B1CB3"/>
    <w:rsid w:val="004B4F3E"/>
    <w:rsid w:val="004B63A9"/>
    <w:rsid w:val="004C287D"/>
    <w:rsid w:val="004C5CDF"/>
    <w:rsid w:val="004D2CFC"/>
    <w:rsid w:val="004D36AC"/>
    <w:rsid w:val="004D38A3"/>
    <w:rsid w:val="004D4225"/>
    <w:rsid w:val="004D5156"/>
    <w:rsid w:val="004E16F3"/>
    <w:rsid w:val="004E1ED0"/>
    <w:rsid w:val="004E3BF1"/>
    <w:rsid w:val="004E64A2"/>
    <w:rsid w:val="004F3F2C"/>
    <w:rsid w:val="004F5A4A"/>
    <w:rsid w:val="00502D4F"/>
    <w:rsid w:val="00505D66"/>
    <w:rsid w:val="00512219"/>
    <w:rsid w:val="00517CA6"/>
    <w:rsid w:val="0052183B"/>
    <w:rsid w:val="005246A6"/>
    <w:rsid w:val="005305AA"/>
    <w:rsid w:val="00532426"/>
    <w:rsid w:val="00536548"/>
    <w:rsid w:val="0054307D"/>
    <w:rsid w:val="005442B1"/>
    <w:rsid w:val="00546447"/>
    <w:rsid w:val="00552A19"/>
    <w:rsid w:val="0055318F"/>
    <w:rsid w:val="00553C68"/>
    <w:rsid w:val="00563ADB"/>
    <w:rsid w:val="00564F7E"/>
    <w:rsid w:val="0056671A"/>
    <w:rsid w:val="005710CF"/>
    <w:rsid w:val="00574159"/>
    <w:rsid w:val="0058232B"/>
    <w:rsid w:val="00582A3F"/>
    <w:rsid w:val="005847DA"/>
    <w:rsid w:val="005946A2"/>
    <w:rsid w:val="005B5425"/>
    <w:rsid w:val="005B59B4"/>
    <w:rsid w:val="005C2204"/>
    <w:rsid w:val="005C238C"/>
    <w:rsid w:val="005C2AA7"/>
    <w:rsid w:val="005C3924"/>
    <w:rsid w:val="005C69B1"/>
    <w:rsid w:val="005D54B9"/>
    <w:rsid w:val="005D5FF7"/>
    <w:rsid w:val="005E26D2"/>
    <w:rsid w:val="005E3E74"/>
    <w:rsid w:val="005E4766"/>
    <w:rsid w:val="005E6264"/>
    <w:rsid w:val="005F2551"/>
    <w:rsid w:val="005F3A8E"/>
    <w:rsid w:val="00603299"/>
    <w:rsid w:val="006040CE"/>
    <w:rsid w:val="006121D4"/>
    <w:rsid w:val="006158A1"/>
    <w:rsid w:val="0061745D"/>
    <w:rsid w:val="0062248D"/>
    <w:rsid w:val="00623098"/>
    <w:rsid w:val="006233CE"/>
    <w:rsid w:val="0062566D"/>
    <w:rsid w:val="00630B3C"/>
    <w:rsid w:val="00630F41"/>
    <w:rsid w:val="00635FB3"/>
    <w:rsid w:val="00640297"/>
    <w:rsid w:val="00651E41"/>
    <w:rsid w:val="0065287F"/>
    <w:rsid w:val="00655099"/>
    <w:rsid w:val="00665F2B"/>
    <w:rsid w:val="00673D45"/>
    <w:rsid w:val="00675743"/>
    <w:rsid w:val="006827ED"/>
    <w:rsid w:val="00687BCC"/>
    <w:rsid w:val="00692A44"/>
    <w:rsid w:val="006960AC"/>
    <w:rsid w:val="006A099B"/>
    <w:rsid w:val="006A2CED"/>
    <w:rsid w:val="006A4403"/>
    <w:rsid w:val="006A52F0"/>
    <w:rsid w:val="006B3450"/>
    <w:rsid w:val="006B3D66"/>
    <w:rsid w:val="006B4140"/>
    <w:rsid w:val="006B4510"/>
    <w:rsid w:val="006B6DD3"/>
    <w:rsid w:val="006C27AC"/>
    <w:rsid w:val="006C2D3F"/>
    <w:rsid w:val="006C573E"/>
    <w:rsid w:val="006E464F"/>
    <w:rsid w:val="006E7C3B"/>
    <w:rsid w:val="006F41CB"/>
    <w:rsid w:val="007013B8"/>
    <w:rsid w:val="00702002"/>
    <w:rsid w:val="0070209A"/>
    <w:rsid w:val="0070417F"/>
    <w:rsid w:val="00706AAF"/>
    <w:rsid w:val="00710E7F"/>
    <w:rsid w:val="007174ED"/>
    <w:rsid w:val="007211A4"/>
    <w:rsid w:val="0072708F"/>
    <w:rsid w:val="007362B8"/>
    <w:rsid w:val="00736F83"/>
    <w:rsid w:val="00746708"/>
    <w:rsid w:val="00746A44"/>
    <w:rsid w:val="007526F8"/>
    <w:rsid w:val="00753C0D"/>
    <w:rsid w:val="00760369"/>
    <w:rsid w:val="00770AAE"/>
    <w:rsid w:val="007721C3"/>
    <w:rsid w:val="00772FE6"/>
    <w:rsid w:val="00791A42"/>
    <w:rsid w:val="00792A90"/>
    <w:rsid w:val="00793A97"/>
    <w:rsid w:val="007946E1"/>
    <w:rsid w:val="007953AF"/>
    <w:rsid w:val="00796A12"/>
    <w:rsid w:val="007A355D"/>
    <w:rsid w:val="007A67A6"/>
    <w:rsid w:val="007A700D"/>
    <w:rsid w:val="007B024E"/>
    <w:rsid w:val="007B7322"/>
    <w:rsid w:val="007B7616"/>
    <w:rsid w:val="007C0689"/>
    <w:rsid w:val="007C4817"/>
    <w:rsid w:val="007D0D78"/>
    <w:rsid w:val="007D58BE"/>
    <w:rsid w:val="007E0227"/>
    <w:rsid w:val="007E1AF2"/>
    <w:rsid w:val="007E21E2"/>
    <w:rsid w:val="007E3714"/>
    <w:rsid w:val="007E7074"/>
    <w:rsid w:val="007F4EAB"/>
    <w:rsid w:val="00800F88"/>
    <w:rsid w:val="00804951"/>
    <w:rsid w:val="00807B73"/>
    <w:rsid w:val="00815E6F"/>
    <w:rsid w:val="008314EE"/>
    <w:rsid w:val="00834C7D"/>
    <w:rsid w:val="00860EFB"/>
    <w:rsid w:val="008653A1"/>
    <w:rsid w:val="00870454"/>
    <w:rsid w:val="00871E83"/>
    <w:rsid w:val="0087370A"/>
    <w:rsid w:val="008878D5"/>
    <w:rsid w:val="008923E0"/>
    <w:rsid w:val="0089427B"/>
    <w:rsid w:val="00896648"/>
    <w:rsid w:val="0089722A"/>
    <w:rsid w:val="008A519D"/>
    <w:rsid w:val="008B06E9"/>
    <w:rsid w:val="008C6B4C"/>
    <w:rsid w:val="008D25B3"/>
    <w:rsid w:val="008D4370"/>
    <w:rsid w:val="008D53EF"/>
    <w:rsid w:val="008D59D7"/>
    <w:rsid w:val="008E07DE"/>
    <w:rsid w:val="008E1DD0"/>
    <w:rsid w:val="008E3B4E"/>
    <w:rsid w:val="008E5B5E"/>
    <w:rsid w:val="008F436D"/>
    <w:rsid w:val="008F4388"/>
    <w:rsid w:val="008F4F77"/>
    <w:rsid w:val="008F5D16"/>
    <w:rsid w:val="00901734"/>
    <w:rsid w:val="00901BA9"/>
    <w:rsid w:val="00910EDC"/>
    <w:rsid w:val="00920E0C"/>
    <w:rsid w:val="00932F76"/>
    <w:rsid w:val="009374C3"/>
    <w:rsid w:val="00940AD7"/>
    <w:rsid w:val="00941F13"/>
    <w:rsid w:val="009612ED"/>
    <w:rsid w:val="00961B9A"/>
    <w:rsid w:val="00962987"/>
    <w:rsid w:val="009634A4"/>
    <w:rsid w:val="009652B5"/>
    <w:rsid w:val="00975566"/>
    <w:rsid w:val="00977B65"/>
    <w:rsid w:val="00984030"/>
    <w:rsid w:val="00984285"/>
    <w:rsid w:val="00987C17"/>
    <w:rsid w:val="0099399F"/>
    <w:rsid w:val="009B1F21"/>
    <w:rsid w:val="009B75BD"/>
    <w:rsid w:val="009C012E"/>
    <w:rsid w:val="009C22EF"/>
    <w:rsid w:val="009C7D8F"/>
    <w:rsid w:val="009D5D77"/>
    <w:rsid w:val="009E24C9"/>
    <w:rsid w:val="009E7899"/>
    <w:rsid w:val="00A3649A"/>
    <w:rsid w:val="00A3717B"/>
    <w:rsid w:val="00A41C01"/>
    <w:rsid w:val="00A4446A"/>
    <w:rsid w:val="00A47F7A"/>
    <w:rsid w:val="00A508C7"/>
    <w:rsid w:val="00A50D28"/>
    <w:rsid w:val="00A51C75"/>
    <w:rsid w:val="00A607F5"/>
    <w:rsid w:val="00A627DE"/>
    <w:rsid w:val="00A6333F"/>
    <w:rsid w:val="00A63E62"/>
    <w:rsid w:val="00A7101F"/>
    <w:rsid w:val="00A710FF"/>
    <w:rsid w:val="00A75A4B"/>
    <w:rsid w:val="00A80045"/>
    <w:rsid w:val="00A824C2"/>
    <w:rsid w:val="00A83C84"/>
    <w:rsid w:val="00A86CA6"/>
    <w:rsid w:val="00A86E6D"/>
    <w:rsid w:val="00A96DD4"/>
    <w:rsid w:val="00A97C96"/>
    <w:rsid w:val="00AA00A5"/>
    <w:rsid w:val="00AA0B7C"/>
    <w:rsid w:val="00AA7C23"/>
    <w:rsid w:val="00AB31BA"/>
    <w:rsid w:val="00AB766E"/>
    <w:rsid w:val="00AC0200"/>
    <w:rsid w:val="00AC1EE2"/>
    <w:rsid w:val="00AC4F04"/>
    <w:rsid w:val="00AC5EE8"/>
    <w:rsid w:val="00AC645F"/>
    <w:rsid w:val="00AD1C2B"/>
    <w:rsid w:val="00AD5A25"/>
    <w:rsid w:val="00AF0269"/>
    <w:rsid w:val="00AF548D"/>
    <w:rsid w:val="00B01760"/>
    <w:rsid w:val="00B0237E"/>
    <w:rsid w:val="00B03DA4"/>
    <w:rsid w:val="00B0624B"/>
    <w:rsid w:val="00B17A4A"/>
    <w:rsid w:val="00B22154"/>
    <w:rsid w:val="00B22378"/>
    <w:rsid w:val="00B24896"/>
    <w:rsid w:val="00B32396"/>
    <w:rsid w:val="00B36E74"/>
    <w:rsid w:val="00B4250C"/>
    <w:rsid w:val="00B5553E"/>
    <w:rsid w:val="00B66857"/>
    <w:rsid w:val="00B7063E"/>
    <w:rsid w:val="00B70D40"/>
    <w:rsid w:val="00B7180D"/>
    <w:rsid w:val="00B72DE7"/>
    <w:rsid w:val="00B74C0C"/>
    <w:rsid w:val="00B826D1"/>
    <w:rsid w:val="00B847EB"/>
    <w:rsid w:val="00B85254"/>
    <w:rsid w:val="00B86A16"/>
    <w:rsid w:val="00B86F50"/>
    <w:rsid w:val="00B92ABD"/>
    <w:rsid w:val="00BB1645"/>
    <w:rsid w:val="00BB3B19"/>
    <w:rsid w:val="00BB49D0"/>
    <w:rsid w:val="00BB590D"/>
    <w:rsid w:val="00BB6060"/>
    <w:rsid w:val="00BC11CB"/>
    <w:rsid w:val="00BC2CF5"/>
    <w:rsid w:val="00BC4E86"/>
    <w:rsid w:val="00BC6B85"/>
    <w:rsid w:val="00BD2834"/>
    <w:rsid w:val="00BD4973"/>
    <w:rsid w:val="00BD588C"/>
    <w:rsid w:val="00BD6B9C"/>
    <w:rsid w:val="00BE180C"/>
    <w:rsid w:val="00BE1B09"/>
    <w:rsid w:val="00BE4138"/>
    <w:rsid w:val="00BE79C2"/>
    <w:rsid w:val="00BF4E21"/>
    <w:rsid w:val="00C07713"/>
    <w:rsid w:val="00C109B9"/>
    <w:rsid w:val="00C143EE"/>
    <w:rsid w:val="00C2231E"/>
    <w:rsid w:val="00C23F59"/>
    <w:rsid w:val="00C25CE2"/>
    <w:rsid w:val="00C36439"/>
    <w:rsid w:val="00C36EE9"/>
    <w:rsid w:val="00C375BD"/>
    <w:rsid w:val="00C4052F"/>
    <w:rsid w:val="00C47793"/>
    <w:rsid w:val="00C522F0"/>
    <w:rsid w:val="00C53AF6"/>
    <w:rsid w:val="00C57414"/>
    <w:rsid w:val="00C60BC1"/>
    <w:rsid w:val="00C66AD8"/>
    <w:rsid w:val="00C67539"/>
    <w:rsid w:val="00C73558"/>
    <w:rsid w:val="00C821EC"/>
    <w:rsid w:val="00C93600"/>
    <w:rsid w:val="00C96C77"/>
    <w:rsid w:val="00C9782C"/>
    <w:rsid w:val="00CB29B6"/>
    <w:rsid w:val="00CC4A25"/>
    <w:rsid w:val="00CC6BE3"/>
    <w:rsid w:val="00CC7ACA"/>
    <w:rsid w:val="00CC7CDF"/>
    <w:rsid w:val="00CD4978"/>
    <w:rsid w:val="00CD5AF8"/>
    <w:rsid w:val="00CD72F8"/>
    <w:rsid w:val="00CE12F8"/>
    <w:rsid w:val="00CE1681"/>
    <w:rsid w:val="00CE3A54"/>
    <w:rsid w:val="00CE4815"/>
    <w:rsid w:val="00CE4D37"/>
    <w:rsid w:val="00CE6691"/>
    <w:rsid w:val="00CE68D9"/>
    <w:rsid w:val="00CF6222"/>
    <w:rsid w:val="00D0048B"/>
    <w:rsid w:val="00D01C0B"/>
    <w:rsid w:val="00D02595"/>
    <w:rsid w:val="00D068CB"/>
    <w:rsid w:val="00D11899"/>
    <w:rsid w:val="00D12F9E"/>
    <w:rsid w:val="00D15A8D"/>
    <w:rsid w:val="00D44939"/>
    <w:rsid w:val="00D56EC2"/>
    <w:rsid w:val="00D60CF7"/>
    <w:rsid w:val="00D653E0"/>
    <w:rsid w:val="00D65D10"/>
    <w:rsid w:val="00D704D0"/>
    <w:rsid w:val="00D723F8"/>
    <w:rsid w:val="00D7381C"/>
    <w:rsid w:val="00D73B28"/>
    <w:rsid w:val="00D8550A"/>
    <w:rsid w:val="00D86FBF"/>
    <w:rsid w:val="00D9241D"/>
    <w:rsid w:val="00DA4161"/>
    <w:rsid w:val="00DB0BF3"/>
    <w:rsid w:val="00DB2F51"/>
    <w:rsid w:val="00DC22B9"/>
    <w:rsid w:val="00DE2617"/>
    <w:rsid w:val="00DE50F3"/>
    <w:rsid w:val="00DE74CC"/>
    <w:rsid w:val="00DF14D0"/>
    <w:rsid w:val="00E0001B"/>
    <w:rsid w:val="00E02AB1"/>
    <w:rsid w:val="00E0339C"/>
    <w:rsid w:val="00E03D91"/>
    <w:rsid w:val="00E121A8"/>
    <w:rsid w:val="00E2173E"/>
    <w:rsid w:val="00E239AF"/>
    <w:rsid w:val="00E248AA"/>
    <w:rsid w:val="00E27EA1"/>
    <w:rsid w:val="00E32B36"/>
    <w:rsid w:val="00E440B9"/>
    <w:rsid w:val="00E45DEF"/>
    <w:rsid w:val="00E45E06"/>
    <w:rsid w:val="00E45F09"/>
    <w:rsid w:val="00E4694B"/>
    <w:rsid w:val="00E50C68"/>
    <w:rsid w:val="00E52E75"/>
    <w:rsid w:val="00E5387E"/>
    <w:rsid w:val="00E6001C"/>
    <w:rsid w:val="00E62CCC"/>
    <w:rsid w:val="00E6333F"/>
    <w:rsid w:val="00E77B4F"/>
    <w:rsid w:val="00E77FEA"/>
    <w:rsid w:val="00E8089B"/>
    <w:rsid w:val="00E83A3F"/>
    <w:rsid w:val="00E87A3B"/>
    <w:rsid w:val="00E90AA7"/>
    <w:rsid w:val="00E92042"/>
    <w:rsid w:val="00E92A9D"/>
    <w:rsid w:val="00E93012"/>
    <w:rsid w:val="00EA05F7"/>
    <w:rsid w:val="00EA1F6B"/>
    <w:rsid w:val="00EA22DB"/>
    <w:rsid w:val="00EA4D36"/>
    <w:rsid w:val="00EA71EF"/>
    <w:rsid w:val="00EB0946"/>
    <w:rsid w:val="00EB68E8"/>
    <w:rsid w:val="00EC0F88"/>
    <w:rsid w:val="00EC2914"/>
    <w:rsid w:val="00ED2E38"/>
    <w:rsid w:val="00ED471B"/>
    <w:rsid w:val="00EF19E1"/>
    <w:rsid w:val="00EF32B7"/>
    <w:rsid w:val="00EF5D8B"/>
    <w:rsid w:val="00F00DF7"/>
    <w:rsid w:val="00F012C5"/>
    <w:rsid w:val="00F021E0"/>
    <w:rsid w:val="00F0570E"/>
    <w:rsid w:val="00F0600F"/>
    <w:rsid w:val="00F101CB"/>
    <w:rsid w:val="00F158FF"/>
    <w:rsid w:val="00F15F4E"/>
    <w:rsid w:val="00F17D2E"/>
    <w:rsid w:val="00F24C87"/>
    <w:rsid w:val="00F3275A"/>
    <w:rsid w:val="00F34D06"/>
    <w:rsid w:val="00F3655F"/>
    <w:rsid w:val="00F43107"/>
    <w:rsid w:val="00F43578"/>
    <w:rsid w:val="00F45C6E"/>
    <w:rsid w:val="00F46C13"/>
    <w:rsid w:val="00F50C07"/>
    <w:rsid w:val="00F61432"/>
    <w:rsid w:val="00F71292"/>
    <w:rsid w:val="00F75853"/>
    <w:rsid w:val="00F771A7"/>
    <w:rsid w:val="00F77B6F"/>
    <w:rsid w:val="00F83D05"/>
    <w:rsid w:val="00F86DBF"/>
    <w:rsid w:val="00F903AD"/>
    <w:rsid w:val="00F933DF"/>
    <w:rsid w:val="00F934A7"/>
    <w:rsid w:val="00F93792"/>
    <w:rsid w:val="00FA11CA"/>
    <w:rsid w:val="00FA1CB7"/>
    <w:rsid w:val="00FD4529"/>
    <w:rsid w:val="00FE0CBD"/>
    <w:rsid w:val="00FE4181"/>
    <w:rsid w:val="00FE6E56"/>
    <w:rsid w:val="00FF0EED"/>
    <w:rsid w:val="00FF17BD"/>
    <w:rsid w:val="00FF1E50"/>
    <w:rsid w:val="00FF45E8"/>
    <w:rsid w:val="00FF71B3"/>
    <w:rsid w:val="046E0273"/>
    <w:rsid w:val="15D169DF"/>
    <w:rsid w:val="17BC7C66"/>
    <w:rsid w:val="185B666A"/>
    <w:rsid w:val="18BB71FD"/>
    <w:rsid w:val="19154E3B"/>
    <w:rsid w:val="1E254CBA"/>
    <w:rsid w:val="22FC1BAA"/>
    <w:rsid w:val="23BD6E60"/>
    <w:rsid w:val="24B569AF"/>
    <w:rsid w:val="2625093B"/>
    <w:rsid w:val="26F162A7"/>
    <w:rsid w:val="2ABB6310"/>
    <w:rsid w:val="2F914564"/>
    <w:rsid w:val="2FDF03F5"/>
    <w:rsid w:val="356D6922"/>
    <w:rsid w:val="35F71456"/>
    <w:rsid w:val="37052E4B"/>
    <w:rsid w:val="38D66634"/>
    <w:rsid w:val="3C763276"/>
    <w:rsid w:val="3F6C2950"/>
    <w:rsid w:val="3F7EDD55"/>
    <w:rsid w:val="3FBE7125"/>
    <w:rsid w:val="3FFFF626"/>
    <w:rsid w:val="40ED7B95"/>
    <w:rsid w:val="41CD35DF"/>
    <w:rsid w:val="44641925"/>
    <w:rsid w:val="4A386E55"/>
    <w:rsid w:val="4B8C522F"/>
    <w:rsid w:val="4DF670E1"/>
    <w:rsid w:val="51F34806"/>
    <w:rsid w:val="53A223C0"/>
    <w:rsid w:val="56F5099F"/>
    <w:rsid w:val="57E129AA"/>
    <w:rsid w:val="59966DA7"/>
    <w:rsid w:val="59DF2A8C"/>
    <w:rsid w:val="5DD7CBBE"/>
    <w:rsid w:val="60ED14FA"/>
    <w:rsid w:val="60F83BD7"/>
    <w:rsid w:val="655A6E02"/>
    <w:rsid w:val="65A704A3"/>
    <w:rsid w:val="6636161D"/>
    <w:rsid w:val="6E8F6C94"/>
    <w:rsid w:val="71B317EC"/>
    <w:rsid w:val="725900BB"/>
    <w:rsid w:val="72E21EDE"/>
    <w:rsid w:val="73CD3C72"/>
    <w:rsid w:val="74BF7AF4"/>
    <w:rsid w:val="7636593E"/>
    <w:rsid w:val="76995646"/>
    <w:rsid w:val="76FFF7A1"/>
    <w:rsid w:val="77653BC9"/>
    <w:rsid w:val="777ED8A4"/>
    <w:rsid w:val="77B99891"/>
    <w:rsid w:val="77BD9545"/>
    <w:rsid w:val="7ABB7379"/>
    <w:rsid w:val="B3CDCF48"/>
    <w:rsid w:val="B7FDEA74"/>
    <w:rsid w:val="E7ED028A"/>
    <w:rsid w:val="F78F2428"/>
    <w:rsid w:val="F97F52D4"/>
    <w:rsid w:val="F9FF17DD"/>
    <w:rsid w:val="FDF79B8B"/>
    <w:rsid w:val="FEF75BEB"/>
    <w:rsid w:val="FFAF4293"/>
    <w:rsid w:val="FFF5C6B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nhideWhenUsed="0" w:uiPriority="39" w:semiHidden="0" w:name="toc 1"/>
    <w:lsdException w:unhideWhenUsed="0" w:uiPriority="39" w:semiHidden="0" w:name="toc 2"/>
    <w:lsdException w:unhideWhenUsed="0" w:uiPriority="39"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iPriority="0" w:name="index heading"/>
    <w:lsdException w:qFormat="1" w:unhideWhenUsed="0" w:uiPriority="0" w:semiHidden="0" w:name="caption"/>
    <w:lsdException w:unhideWhenUsed="0" w:uiPriority="99" w:semiHidden="0" w:name="table of figures"/>
    <w:lsdException w:uiPriority="0" w:name="envelope address"/>
    <w:lsdException w:uiPriority="0" w:name="envelope return"/>
    <w:lsdException w:unhideWhenUsed="0" w:uiPriority="0" w:semiHidden="0" w:name="footnote reference"/>
    <w:lsdException w:unhideWhenUsed="0" w:uiPriority="0" w:semiHidden="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nhideWhenUsed="0" w:uiPriority="0" w:semiHidden="0" w:name="macro"/>
    <w:lsdException w:uiPriority="0" w:name="toa heading"/>
    <w:lsdException w:uiPriority="0" w:name="List"/>
    <w:lsdException w:unhideWhenUsed="0" w:uiPriority="0" w:semiHidden="0" w:name="List Bullet"/>
    <w:lsdException w:unhideWhenUsed="0" w:uiPriority="0" w:semiHidden="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nhideWhenUsed="0" w:uiPriority="99" w:semiHidden="0" w:name="Hyperlink"/>
    <w:lsdException w:uiPriority="0" w:name="FollowedHyperlink"/>
    <w:lsdException w:unhideWhenUsed="0" w:uiPriority="0" w:semiHidden="0" w:name="Strong"/>
    <w:lsdException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nhideWhenUsed="0" w:uiPriority="0" w:semiHidden="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iPriority="99" w:semiHidden="0" w:name="Placeholder Text"/>
    <w:lsdException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9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60" w:lineRule="auto"/>
      <w:ind w:firstLine="480" w:firstLineChars="200"/>
      <w:jc w:val="both"/>
    </w:pPr>
    <w:rPr>
      <w:rFonts w:ascii="Times New Roman" w:hAnsi="Times New Roman" w:eastAsia="宋体" w:cs="Times New Roman"/>
      <w:kern w:val="2"/>
      <w:sz w:val="21"/>
      <w:szCs w:val="24"/>
      <w:lang w:val="en-US" w:eastAsia="zh-CN" w:bidi="ar-SA"/>
    </w:rPr>
  </w:style>
  <w:style w:type="paragraph" w:styleId="2">
    <w:name w:val="heading 1"/>
    <w:next w:val="1"/>
    <w:link w:val="75"/>
    <w:qFormat/>
    <w:uiPriority w:val="0"/>
    <w:pPr>
      <w:keepNext/>
      <w:keepLines/>
      <w:widowControl w:val="0"/>
      <w:numPr>
        <w:ilvl w:val="0"/>
        <w:numId w:val="1"/>
      </w:numPr>
      <w:adjustRightInd w:val="0"/>
      <w:snapToGrid w:val="0"/>
      <w:spacing w:after="50" w:afterLines="50" w:line="360" w:lineRule="auto"/>
      <w:jc w:val="both"/>
      <w:outlineLvl w:val="0"/>
    </w:pPr>
    <w:rPr>
      <w:rFonts w:ascii="Times New Roman" w:hAnsi="Times New Roman" w:eastAsia="黑体" w:cs="Times New Roman"/>
      <w:b/>
      <w:bCs/>
      <w:snapToGrid w:val="0"/>
      <w:kern w:val="44"/>
      <w:sz w:val="30"/>
      <w:szCs w:val="44"/>
      <w:lang w:val="en-US" w:eastAsia="zh-CN" w:bidi="ar-SA"/>
    </w:rPr>
  </w:style>
  <w:style w:type="paragraph" w:styleId="3">
    <w:name w:val="heading 2"/>
    <w:basedOn w:val="2"/>
    <w:next w:val="1"/>
    <w:link w:val="76"/>
    <w:qFormat/>
    <w:uiPriority w:val="0"/>
    <w:pPr>
      <w:numPr>
        <w:ilvl w:val="1"/>
      </w:numPr>
      <w:spacing w:before="100" w:beforeLines="100"/>
      <w:outlineLvl w:val="1"/>
    </w:pPr>
    <w:rPr>
      <w:rFonts w:ascii="Times New Roman" w:hAnsi="Times New Roman" w:eastAsia="宋体"/>
      <w:bCs w:val="0"/>
      <w:sz w:val="28"/>
    </w:rPr>
  </w:style>
  <w:style w:type="paragraph" w:styleId="4">
    <w:name w:val="heading 3"/>
    <w:basedOn w:val="3"/>
    <w:next w:val="1"/>
    <w:link w:val="77"/>
    <w:qFormat/>
    <w:uiPriority w:val="0"/>
    <w:pPr>
      <w:numPr>
        <w:ilvl w:val="2"/>
      </w:numPr>
      <w:spacing w:before="50" w:beforeLines="50" w:after="0" w:afterLines="0"/>
      <w:outlineLvl w:val="2"/>
    </w:pPr>
    <w:rPr>
      <w:bCs/>
      <w:sz w:val="24"/>
    </w:rPr>
  </w:style>
  <w:style w:type="paragraph" w:styleId="5">
    <w:name w:val="heading 4"/>
    <w:basedOn w:val="4"/>
    <w:next w:val="1"/>
    <w:qFormat/>
    <w:uiPriority w:val="0"/>
    <w:pPr>
      <w:numPr>
        <w:ilvl w:val="3"/>
      </w:numPr>
      <w:spacing w:beforeLines="0"/>
      <w:outlineLvl w:val="3"/>
    </w:pPr>
  </w:style>
  <w:style w:type="paragraph" w:styleId="6">
    <w:name w:val="heading 5"/>
    <w:basedOn w:val="5"/>
    <w:next w:val="1"/>
    <w:qFormat/>
    <w:uiPriority w:val="0"/>
    <w:pPr>
      <w:numPr>
        <w:ilvl w:val="4"/>
      </w:numPr>
      <w:outlineLvl w:val="4"/>
    </w:pPr>
    <w:rPr>
      <w:bCs w:val="0"/>
      <w:szCs w:val="28"/>
    </w:rPr>
  </w:style>
  <w:style w:type="paragraph" w:styleId="7">
    <w:name w:val="heading 6"/>
    <w:basedOn w:val="6"/>
    <w:next w:val="1"/>
    <w:qFormat/>
    <w:uiPriority w:val="0"/>
    <w:pPr>
      <w:numPr>
        <w:ilvl w:val="5"/>
      </w:numPr>
      <w:outlineLvl w:val="5"/>
    </w:pPr>
  </w:style>
  <w:style w:type="paragraph" w:styleId="8">
    <w:name w:val="heading 7"/>
    <w:basedOn w:val="7"/>
    <w:next w:val="1"/>
    <w:qFormat/>
    <w:uiPriority w:val="0"/>
    <w:pPr>
      <w:numPr>
        <w:ilvl w:val="6"/>
      </w:numPr>
      <w:ind w:left="1055" w:hanging="590"/>
      <w:outlineLvl w:val="6"/>
    </w:pPr>
  </w:style>
  <w:style w:type="character" w:default="1" w:styleId="26">
    <w:name w:val="Default Paragraph Font"/>
    <w:semiHidden/>
    <w:unhideWhenUsed/>
    <w:uiPriority w:val="1"/>
  </w:style>
  <w:style w:type="table" w:default="1" w:styleId="23">
    <w:name w:val="Normal Table"/>
    <w:semiHidden/>
    <w:unhideWhenUsed/>
    <w:uiPriority w:val="99"/>
    <w:tblPr>
      <w:tblCellMar>
        <w:top w:w="0" w:type="dxa"/>
        <w:left w:w="108" w:type="dxa"/>
        <w:bottom w:w="0" w:type="dxa"/>
        <w:right w:w="108" w:type="dxa"/>
      </w:tblCellMar>
    </w:tblPr>
  </w:style>
  <w:style w:type="paragraph" w:styleId="9">
    <w:name w:val="caption"/>
    <w:next w:val="1"/>
    <w:qFormat/>
    <w:uiPriority w:val="0"/>
    <w:pPr>
      <w:adjustRightInd w:val="0"/>
      <w:snapToGrid w:val="0"/>
      <w:spacing w:after="120" w:afterLines="50"/>
      <w:jc w:val="center"/>
    </w:pPr>
    <w:rPr>
      <w:rFonts w:ascii="Times New Roman" w:hAnsi="Times New Roman" w:eastAsia="仿宋" w:cs="仿宋"/>
      <w:kern w:val="2"/>
      <w:sz w:val="21"/>
      <w:szCs w:val="21"/>
      <w:lang w:val="en-US" w:eastAsia="zh-CN" w:bidi="ar-SA"/>
    </w:rPr>
  </w:style>
  <w:style w:type="paragraph" w:styleId="10">
    <w:name w:val="annotation text"/>
    <w:basedOn w:val="1"/>
    <w:link w:val="63"/>
    <w:uiPriority w:val="0"/>
    <w:pPr>
      <w:jc w:val="left"/>
    </w:pPr>
  </w:style>
  <w:style w:type="paragraph" w:styleId="11">
    <w:name w:val="toc 3"/>
    <w:next w:val="1"/>
    <w:uiPriority w:val="39"/>
    <w:pPr>
      <w:adjustRightInd w:val="0"/>
      <w:snapToGrid w:val="0"/>
      <w:spacing w:line="360" w:lineRule="auto"/>
      <w:ind w:left="400" w:leftChars="400"/>
      <w:jc w:val="both"/>
    </w:pPr>
    <w:rPr>
      <w:rFonts w:ascii="Times New Roman" w:hAnsi="Times New Roman" w:eastAsia="仿宋" w:cs="Times New Roman"/>
      <w:kern w:val="2"/>
      <w:sz w:val="24"/>
      <w:szCs w:val="24"/>
      <w:lang w:val="en-US" w:eastAsia="zh-CN" w:bidi="ar-SA"/>
    </w:rPr>
  </w:style>
  <w:style w:type="paragraph" w:styleId="12">
    <w:name w:val="Balloon Text"/>
    <w:basedOn w:val="1"/>
    <w:link w:val="33"/>
    <w:uiPriority w:val="0"/>
    <w:rPr>
      <w:sz w:val="18"/>
      <w:szCs w:val="18"/>
    </w:rPr>
  </w:style>
  <w:style w:type="paragraph" w:styleId="13">
    <w:name w:val="footer"/>
    <w:basedOn w:val="1"/>
    <w:link w:val="65"/>
    <w:qFormat/>
    <w:uiPriority w:val="99"/>
    <w:pPr>
      <w:tabs>
        <w:tab w:val="center" w:pos="4153"/>
        <w:tab w:val="right" w:pos="8306"/>
      </w:tabs>
      <w:spacing w:line="240" w:lineRule="auto"/>
      <w:ind w:firstLine="0"/>
      <w:jc w:val="center"/>
    </w:pPr>
    <w:rPr>
      <w:sz w:val="18"/>
      <w:szCs w:val="18"/>
    </w:rPr>
  </w:style>
  <w:style w:type="paragraph" w:styleId="14">
    <w:name w:val="header"/>
    <w:link w:val="35"/>
    <w:qFormat/>
    <w:uiPriority w:val="99"/>
    <w:pPr>
      <w:pBdr>
        <w:bottom w:val="single" w:color="auto" w:sz="6" w:space="0"/>
      </w:pBdr>
      <w:tabs>
        <w:tab w:val="center" w:pos="4153"/>
        <w:tab w:val="right" w:pos="8306"/>
      </w:tabs>
      <w:adjustRightInd w:val="0"/>
      <w:snapToGrid w:val="0"/>
      <w:jc w:val="center"/>
    </w:pPr>
    <w:rPr>
      <w:rFonts w:ascii="Times New Roman" w:hAnsi="Times New Roman" w:eastAsia="仿宋" w:cs="Times New Roman"/>
      <w:kern w:val="2"/>
      <w:sz w:val="18"/>
      <w:szCs w:val="18"/>
      <w:lang w:val="en-US" w:eastAsia="zh-CN" w:bidi="ar-SA"/>
    </w:rPr>
  </w:style>
  <w:style w:type="paragraph" w:styleId="15">
    <w:name w:val="toc 1"/>
    <w:next w:val="1"/>
    <w:uiPriority w:val="39"/>
    <w:pPr>
      <w:adjustRightInd w:val="0"/>
      <w:snapToGrid w:val="0"/>
      <w:spacing w:line="360" w:lineRule="auto"/>
      <w:jc w:val="both"/>
    </w:pPr>
    <w:rPr>
      <w:rFonts w:ascii="Times New Roman" w:hAnsi="Times New Roman" w:eastAsia="仿宋" w:cs="Times New Roman"/>
      <w:b/>
      <w:kern w:val="2"/>
      <w:sz w:val="28"/>
      <w:szCs w:val="24"/>
      <w:lang w:val="en-US" w:eastAsia="zh-CN" w:bidi="ar-SA"/>
    </w:rPr>
  </w:style>
  <w:style w:type="paragraph" w:styleId="16">
    <w:name w:val="Subtitle"/>
    <w:basedOn w:val="1"/>
    <w:next w:val="1"/>
    <w:link w:val="71"/>
    <w:uiPriority w:val="0"/>
    <w:pPr>
      <w:spacing w:before="100" w:beforeLines="100" w:after="50" w:afterLines="50"/>
      <w:ind w:firstLine="0" w:firstLineChars="0"/>
      <w:jc w:val="center"/>
    </w:pPr>
    <w:rPr>
      <w:b/>
      <w:color w:val="000000"/>
      <w:sz w:val="36"/>
      <w:szCs w:val="36"/>
    </w:rPr>
  </w:style>
  <w:style w:type="paragraph" w:styleId="17">
    <w:name w:val="footnote text"/>
    <w:basedOn w:val="1"/>
    <w:link w:val="86"/>
    <w:uiPriority w:val="0"/>
    <w:pPr>
      <w:ind w:firstLine="0" w:firstLineChars="0"/>
    </w:pPr>
    <w:rPr>
      <w:rFonts w:ascii="宋体" w:hAnsi="宋体" w:eastAsia="宋体"/>
      <w:sz w:val="18"/>
      <w:szCs w:val="18"/>
    </w:rPr>
  </w:style>
  <w:style w:type="paragraph" w:styleId="18">
    <w:name w:val="table of figures"/>
    <w:next w:val="1"/>
    <w:uiPriority w:val="99"/>
    <w:pPr>
      <w:adjustRightInd w:val="0"/>
      <w:snapToGrid w:val="0"/>
      <w:spacing w:line="360" w:lineRule="auto"/>
      <w:jc w:val="both"/>
    </w:pPr>
    <w:rPr>
      <w:rFonts w:ascii="Times New Roman" w:hAnsi="Times New Roman" w:eastAsia="仿宋" w:cs="Times New Roman"/>
      <w:kern w:val="2"/>
      <w:sz w:val="24"/>
      <w:szCs w:val="24"/>
      <w:lang w:val="en-US" w:eastAsia="zh-CN" w:bidi="ar-SA"/>
    </w:rPr>
  </w:style>
  <w:style w:type="paragraph" w:styleId="19">
    <w:name w:val="toc 2"/>
    <w:next w:val="1"/>
    <w:uiPriority w:val="39"/>
    <w:pPr>
      <w:adjustRightInd w:val="0"/>
      <w:snapToGrid w:val="0"/>
      <w:spacing w:line="360" w:lineRule="auto"/>
      <w:ind w:left="200" w:leftChars="200"/>
      <w:jc w:val="both"/>
    </w:pPr>
    <w:rPr>
      <w:rFonts w:ascii="Times New Roman" w:hAnsi="Times New Roman" w:eastAsia="仿宋" w:cs="Times New Roman"/>
      <w:kern w:val="2"/>
      <w:sz w:val="24"/>
      <w:szCs w:val="24"/>
      <w:lang w:val="en-US" w:eastAsia="zh-CN" w:bidi="ar-SA"/>
    </w:rPr>
  </w:style>
  <w:style w:type="paragraph" w:styleId="20">
    <w:name w:val="Normal (Web)"/>
    <w:basedOn w:val="1"/>
    <w:semiHidden/>
    <w:unhideWhenUsed/>
    <w:uiPriority w:val="0"/>
    <w:pPr>
      <w:spacing w:before="0" w:beforeAutospacing="1" w:after="0" w:afterAutospacing="1"/>
      <w:ind w:left="0" w:right="0"/>
      <w:jc w:val="left"/>
    </w:pPr>
    <w:rPr>
      <w:kern w:val="0"/>
      <w:sz w:val="24"/>
      <w:lang w:val="en-US" w:eastAsia="zh-CN" w:bidi="ar"/>
    </w:rPr>
  </w:style>
  <w:style w:type="paragraph" w:styleId="21">
    <w:name w:val="Title"/>
    <w:next w:val="1"/>
    <w:link w:val="67"/>
    <w:qFormat/>
    <w:uiPriority w:val="0"/>
    <w:pPr>
      <w:adjustRightInd w:val="0"/>
      <w:snapToGrid w:val="0"/>
      <w:spacing w:before="100" w:beforeLines="100" w:after="150" w:afterLines="150" w:line="360" w:lineRule="auto"/>
      <w:jc w:val="center"/>
      <w:outlineLvl w:val="0"/>
    </w:pPr>
    <w:rPr>
      <w:rFonts w:ascii="Times New Roman" w:hAnsi="Times New Roman" w:eastAsia="仿宋" w:cs="Times New Roman"/>
      <w:b/>
      <w:kern w:val="2"/>
      <w:sz w:val="36"/>
      <w:szCs w:val="36"/>
      <w:lang w:val="en-US" w:eastAsia="zh-CN" w:bidi="ar-SA"/>
    </w:rPr>
  </w:style>
  <w:style w:type="paragraph" w:styleId="22">
    <w:name w:val="annotation subject"/>
    <w:basedOn w:val="10"/>
    <w:next w:val="10"/>
    <w:link w:val="64"/>
    <w:uiPriority w:val="0"/>
    <w:rPr>
      <w:b/>
      <w:bCs/>
    </w:rPr>
  </w:style>
  <w:style w:type="table" w:styleId="24">
    <w:name w:val="Table Grid"/>
    <w:basedOn w:val="2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5">
    <w:name w:val="Table Classic 1"/>
    <w:basedOn w:val="23"/>
    <w:uiPriority w:val="0"/>
    <w:pPr>
      <w:widowControl w:val="0"/>
      <w:jc w:val="both"/>
    </w:pPr>
    <w:rPr>
      <w:rFonts w:eastAsia="仿宋"/>
      <w:sz w:val="21"/>
    </w:rPr>
    <w:tblPr>
      <w:tblBorders>
        <w:top w:val="single" w:color="00B050" w:sz="12" w:space="0"/>
        <w:bottom w:val="single" w:color="00B050" w:sz="12" w:space="0"/>
      </w:tblBorders>
    </w:tblPr>
    <w:tcPr>
      <w:shd w:val="clear" w:color="auto" w:fill="auto"/>
    </w:tcPr>
    <w:tblStylePr w:type="firstRow">
      <w:rPr>
        <w:i/>
        <w:iCs/>
      </w:rPr>
      <w:tblPr/>
      <w:tcPr>
        <w:tcBorders>
          <w:top w:val="nil"/>
          <w:left w:val="nil"/>
          <w:bottom w:val="single" w:color="000000" w:sz="6" w:space="0"/>
          <w:right w:val="nil"/>
          <w:insideH w:val="nil"/>
          <w:insideV w:val="nil"/>
          <w:tl2br w:val="nil"/>
          <w:tr2bl w:val="nil"/>
        </w:tcBorders>
      </w:tcPr>
    </w:tblStylePr>
    <w:tblStylePr w:type="lastRow">
      <w:rPr>
        <w:color w:val="auto"/>
      </w:rPr>
      <w:tblPr/>
      <w:tcPr>
        <w:tcBorders>
          <w:top w:val="nil"/>
          <w:left w:val="nil"/>
          <w:bottom w:val="nil"/>
          <w:right w:val="nil"/>
          <w:insideH w:val="nil"/>
          <w:insideV w:val="nil"/>
          <w:tl2br w:val="nil"/>
          <w:tr2bl w:val="nil"/>
        </w:tcBorders>
        <w:shd w:val="clear" w:color="auto" w:fill="auto"/>
      </w:tcPr>
    </w:tblStylePr>
    <w:tblStylePr w:type="firstCol">
      <w:tblPr/>
      <w:tcPr>
        <w:tcBorders>
          <w:top w:val="nil"/>
          <w:left w:val="nil"/>
          <w:bottom w:val="nil"/>
          <w:right w:val="nil"/>
          <w:insideH w:val="nil"/>
          <w:insideV w:val="nil"/>
          <w:tl2br w:val="nil"/>
          <w:tr2bl w:val="nil"/>
        </w:tcBorders>
        <w:shd w:val="clear" w:color="auto" w:fill="auto"/>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character" w:styleId="27">
    <w:name w:val="Strong"/>
    <w:basedOn w:val="26"/>
    <w:uiPriority w:val="0"/>
    <w:rPr>
      <w:b/>
    </w:rPr>
  </w:style>
  <w:style w:type="character" w:styleId="28">
    <w:name w:val="FollowedHyperlink"/>
    <w:basedOn w:val="26"/>
    <w:semiHidden/>
    <w:unhideWhenUsed/>
    <w:uiPriority w:val="0"/>
    <w:rPr>
      <w:color w:val="800080" w:themeColor="followedHyperlink"/>
      <w:u w:val="single"/>
      <w14:textFill>
        <w14:solidFill>
          <w14:schemeClr w14:val="folHlink"/>
        </w14:solidFill>
      </w14:textFill>
    </w:rPr>
  </w:style>
  <w:style w:type="character" w:styleId="29">
    <w:name w:val="Emphasis"/>
    <w:basedOn w:val="26"/>
    <w:uiPriority w:val="0"/>
    <w:rPr>
      <w:i/>
    </w:rPr>
  </w:style>
  <w:style w:type="character" w:styleId="30">
    <w:name w:val="Hyperlink"/>
    <w:uiPriority w:val="99"/>
    <w:rPr>
      <w:color w:val="0000FF"/>
      <w:u w:val="single"/>
    </w:rPr>
  </w:style>
  <w:style w:type="character" w:styleId="31">
    <w:name w:val="annotation reference"/>
    <w:basedOn w:val="26"/>
    <w:uiPriority w:val="0"/>
    <w:rPr>
      <w:sz w:val="21"/>
      <w:szCs w:val="21"/>
    </w:rPr>
  </w:style>
  <w:style w:type="character" w:styleId="32">
    <w:name w:val="footnote reference"/>
    <w:uiPriority w:val="0"/>
    <w:rPr>
      <w:vertAlign w:val="superscript"/>
    </w:rPr>
  </w:style>
  <w:style w:type="character" w:customStyle="1" w:styleId="33">
    <w:name w:val="Balloon Text Char"/>
    <w:link w:val="12"/>
    <w:uiPriority w:val="0"/>
    <w:rPr>
      <w:kern w:val="2"/>
      <w:sz w:val="18"/>
      <w:szCs w:val="18"/>
    </w:rPr>
  </w:style>
  <w:style w:type="table" w:customStyle="1" w:styleId="34">
    <w:name w:val="表格"/>
    <w:basedOn w:val="23"/>
    <w:uiPriority w:val="99"/>
    <w:pPr>
      <w:adjustRightInd w:val="0"/>
      <w:snapToGrid w:val="0"/>
      <w:spacing w:after="50" w:afterLines="50"/>
    </w:pPr>
    <w:rPr>
      <w:rFonts w:eastAsia="仿宋"/>
      <w:sz w:val="21"/>
    </w:rPr>
    <w:tblPr>
      <w:tblBorders>
        <w:top w:val="single" w:color="auto" w:sz="12" w:space="0"/>
        <w:bottom w:val="single" w:color="auto" w:sz="12" w:space="0"/>
      </w:tblBorders>
    </w:tblPr>
    <w:tcPr>
      <w:shd w:val="clear" w:color="auto" w:fill="FFFFFF"/>
    </w:tcPr>
    <w:tblStylePr w:type="firstRow">
      <w:rPr>
        <w:rFonts w:eastAsia="仿宋"/>
        <w:sz w:val="21"/>
      </w:rPr>
      <w:tcPr>
        <w:tcBorders>
          <w:bottom w:val="single" w:color="auto" w:sz="6" w:space="0"/>
        </w:tcBorders>
        <w:shd w:val="clear" w:color="auto" w:fill="FFFFFF"/>
      </w:tcPr>
    </w:tblStylePr>
  </w:style>
  <w:style w:type="character" w:customStyle="1" w:styleId="35">
    <w:name w:val="Header Char"/>
    <w:link w:val="14"/>
    <w:uiPriority w:val="99"/>
    <w:rPr>
      <w:rFonts w:eastAsia="仿宋"/>
      <w:kern w:val="2"/>
      <w:sz w:val="18"/>
      <w:szCs w:val="18"/>
    </w:rPr>
  </w:style>
  <w:style w:type="paragraph" w:customStyle="1" w:styleId="36">
    <w:name w:val="列项——"/>
    <w:link w:val="84"/>
    <w:uiPriority w:val="0"/>
    <w:pPr>
      <w:widowControl w:val="0"/>
      <w:numPr>
        <w:ilvl w:val="0"/>
        <w:numId w:val="2"/>
      </w:numPr>
      <w:tabs>
        <w:tab w:val="left" w:pos="854"/>
      </w:tabs>
      <w:spacing w:line="360" w:lineRule="auto"/>
      <w:ind w:left="200" w:leftChars="200" w:hanging="200" w:hangingChars="200"/>
      <w:jc w:val="both"/>
    </w:pPr>
    <w:rPr>
      <w:rFonts w:ascii="宋体" w:hAnsi="Times New Roman" w:eastAsia="宋体" w:cs="Times New Roman"/>
      <w:sz w:val="21"/>
      <w:lang w:val="en-US" w:eastAsia="zh-CN" w:bidi="ar-SA"/>
    </w:rPr>
  </w:style>
  <w:style w:type="paragraph" w:customStyle="1" w:styleId="37">
    <w:name w:val="公式"/>
    <w:next w:val="1"/>
    <w:uiPriority w:val="0"/>
    <w:pPr>
      <w:tabs>
        <w:tab w:val="right" w:pos="8971"/>
      </w:tabs>
      <w:spacing w:beforeLines="50" w:afterLines="50"/>
      <w:ind w:firstLine="480"/>
      <w:jc w:val="right"/>
    </w:pPr>
    <w:rPr>
      <w:rFonts w:ascii="仿宋" w:hAnsi="仿宋" w:eastAsia="仿宋" w:cs="仿宋"/>
      <w:kern w:val="2"/>
      <w:sz w:val="24"/>
      <w:szCs w:val="24"/>
      <w:lang w:val="en-US" w:eastAsia="zh-CN" w:bidi="ar-SA"/>
    </w:rPr>
  </w:style>
  <w:style w:type="paragraph" w:customStyle="1" w:styleId="38">
    <w:name w:val="列项——（一级）"/>
    <w:uiPriority w:val="0"/>
    <w:pPr>
      <w:widowControl w:val="0"/>
      <w:numPr>
        <w:ilvl w:val="0"/>
        <w:numId w:val="3"/>
      </w:numPr>
      <w:tabs>
        <w:tab w:val="left" w:pos="854"/>
        <w:tab w:val="clear" w:pos="1140"/>
      </w:tabs>
      <w:spacing w:line="360" w:lineRule="auto"/>
      <w:ind w:left="200" w:leftChars="200" w:hanging="200" w:hangingChars="200"/>
      <w:jc w:val="both"/>
    </w:pPr>
    <w:rPr>
      <w:rFonts w:ascii="宋体" w:hAnsi="Times New Roman" w:eastAsia="宋体" w:cs="Times New Roman"/>
      <w:sz w:val="21"/>
      <w:lang w:val="en-US" w:eastAsia="zh-CN" w:bidi="ar-SA"/>
    </w:rPr>
  </w:style>
  <w:style w:type="paragraph" w:customStyle="1" w:styleId="39">
    <w:name w:val="段"/>
    <w:uiPriority w:val="0"/>
    <w:pPr>
      <w:autoSpaceDE w:val="0"/>
      <w:autoSpaceDN w:val="0"/>
      <w:spacing w:line="360" w:lineRule="auto"/>
      <w:ind w:firstLine="200" w:firstLineChars="200"/>
      <w:jc w:val="both"/>
    </w:pPr>
    <w:rPr>
      <w:rFonts w:ascii="宋体" w:hAnsi="Times New Roman" w:eastAsia="宋体" w:cs="Times New Roman"/>
      <w:sz w:val="21"/>
      <w:lang w:val="en-US" w:eastAsia="zh-CN" w:bidi="ar-SA"/>
    </w:rPr>
  </w:style>
  <w:style w:type="paragraph" w:customStyle="1" w:styleId="40">
    <w:name w:val="附录二级条标题"/>
    <w:basedOn w:val="41"/>
    <w:next w:val="39"/>
    <w:uiPriority w:val="0"/>
    <w:pPr>
      <w:numPr>
        <w:ilvl w:val="3"/>
      </w:numPr>
      <w:outlineLvl w:val="3"/>
    </w:pPr>
  </w:style>
  <w:style w:type="paragraph" w:customStyle="1" w:styleId="41">
    <w:name w:val="附录一级条标题"/>
    <w:basedOn w:val="42"/>
    <w:next w:val="39"/>
    <w:uiPriority w:val="0"/>
    <w:pPr>
      <w:numPr>
        <w:ilvl w:val="2"/>
      </w:numPr>
      <w:autoSpaceDN w:val="0"/>
      <w:spacing w:beforeLines="0" w:afterLines="0"/>
      <w:outlineLvl w:val="2"/>
    </w:pPr>
  </w:style>
  <w:style w:type="paragraph" w:customStyle="1" w:styleId="42">
    <w:name w:val="附录章标题"/>
    <w:next w:val="39"/>
    <w:uiPriority w:val="0"/>
    <w:pPr>
      <w:numPr>
        <w:ilvl w:val="1"/>
        <w:numId w:val="2"/>
      </w:numPr>
      <w:wordWrap w:val="0"/>
      <w:overflowPunct w:val="0"/>
      <w:autoSpaceDE w:val="0"/>
      <w:spacing w:beforeLines="50" w:afterLines="50" w:line="360" w:lineRule="auto"/>
      <w:jc w:val="both"/>
      <w:textAlignment w:val="baseline"/>
      <w:outlineLvl w:val="1"/>
    </w:pPr>
    <w:rPr>
      <w:rFonts w:ascii="黑体" w:hAnsi="Times New Roman" w:eastAsia="黑体" w:cs="Times New Roman"/>
      <w:kern w:val="21"/>
      <w:sz w:val="21"/>
      <w:lang w:val="en-US" w:eastAsia="zh-CN" w:bidi="ar-SA"/>
    </w:rPr>
  </w:style>
  <w:style w:type="paragraph" w:customStyle="1" w:styleId="43">
    <w:name w:val="题注-表"/>
    <w:next w:val="1"/>
    <w:qFormat/>
    <w:uiPriority w:val="0"/>
    <w:pPr>
      <w:keepNext/>
      <w:adjustRightInd w:val="0"/>
      <w:snapToGrid w:val="0"/>
      <w:spacing w:before="120" w:beforeLines="50"/>
      <w:jc w:val="center"/>
    </w:pPr>
    <w:rPr>
      <w:rFonts w:ascii="Times New Roman" w:hAnsi="Times New Roman" w:eastAsia="仿宋" w:cs="仿宋"/>
      <w:kern w:val="2"/>
      <w:sz w:val="21"/>
      <w:szCs w:val="21"/>
      <w:lang w:val="en-US" w:eastAsia="zh-CN" w:bidi="ar-SA"/>
    </w:rPr>
  </w:style>
  <w:style w:type="paragraph" w:customStyle="1" w:styleId="44">
    <w:name w:val="三级条标题"/>
    <w:basedOn w:val="45"/>
    <w:next w:val="39"/>
    <w:uiPriority w:val="0"/>
    <w:pPr>
      <w:numPr>
        <w:ilvl w:val="4"/>
      </w:numPr>
      <w:outlineLvl w:val="4"/>
    </w:pPr>
  </w:style>
  <w:style w:type="paragraph" w:customStyle="1" w:styleId="45">
    <w:name w:val="二级条标题"/>
    <w:basedOn w:val="46"/>
    <w:next w:val="39"/>
    <w:uiPriority w:val="0"/>
    <w:pPr>
      <w:numPr>
        <w:ilvl w:val="3"/>
      </w:numPr>
      <w:outlineLvl w:val="3"/>
    </w:pPr>
  </w:style>
  <w:style w:type="paragraph" w:customStyle="1" w:styleId="46">
    <w:name w:val="一级条标题"/>
    <w:next w:val="39"/>
    <w:uiPriority w:val="0"/>
    <w:pPr>
      <w:numPr>
        <w:ilvl w:val="2"/>
        <w:numId w:val="4"/>
      </w:numPr>
      <w:spacing w:line="360" w:lineRule="auto"/>
      <w:jc w:val="both"/>
      <w:outlineLvl w:val="2"/>
    </w:pPr>
    <w:rPr>
      <w:rFonts w:ascii="Times New Roman" w:hAnsi="Times New Roman" w:eastAsia="黑体" w:cs="Times New Roman"/>
      <w:sz w:val="21"/>
      <w:lang w:val="en-US" w:eastAsia="zh-CN" w:bidi="ar-SA"/>
    </w:rPr>
  </w:style>
  <w:style w:type="paragraph" w:customStyle="1" w:styleId="47">
    <w:name w:val="前言、引言标题"/>
    <w:next w:val="1"/>
    <w:uiPriority w:val="0"/>
    <w:pPr>
      <w:numPr>
        <w:ilvl w:val="0"/>
        <w:numId w:val="4"/>
      </w:numPr>
      <w:shd w:val="clear" w:color="FFFFFF" w:fill="FFFFFF"/>
      <w:spacing w:before="640" w:after="560" w:line="360" w:lineRule="auto"/>
      <w:jc w:val="center"/>
      <w:outlineLvl w:val="0"/>
    </w:pPr>
    <w:rPr>
      <w:rFonts w:ascii="黑体" w:hAnsi="Times New Roman" w:eastAsia="黑体" w:cs="Times New Roman"/>
      <w:sz w:val="32"/>
      <w:lang w:val="en-US" w:eastAsia="zh-CN" w:bidi="ar-SA"/>
    </w:rPr>
  </w:style>
  <w:style w:type="paragraph" w:customStyle="1" w:styleId="48">
    <w:name w:val="样式1"/>
    <w:basedOn w:val="15"/>
    <w:uiPriority w:val="0"/>
  </w:style>
  <w:style w:type="paragraph" w:customStyle="1" w:styleId="49">
    <w:name w:val="附录三级条标题"/>
    <w:basedOn w:val="40"/>
    <w:next w:val="39"/>
    <w:uiPriority w:val="0"/>
    <w:pPr>
      <w:numPr>
        <w:ilvl w:val="4"/>
      </w:numPr>
      <w:outlineLvl w:val="4"/>
    </w:pPr>
  </w:style>
  <w:style w:type="paragraph" w:customStyle="1" w:styleId="50">
    <w:name w:val="附录四级条标题"/>
    <w:basedOn w:val="49"/>
    <w:next w:val="39"/>
    <w:uiPriority w:val="0"/>
    <w:pPr>
      <w:numPr>
        <w:ilvl w:val="5"/>
      </w:numPr>
      <w:outlineLvl w:val="5"/>
    </w:pPr>
  </w:style>
  <w:style w:type="paragraph" w:customStyle="1" w:styleId="51">
    <w:name w:val="四级条标题"/>
    <w:basedOn w:val="44"/>
    <w:next w:val="39"/>
    <w:uiPriority w:val="0"/>
    <w:pPr>
      <w:numPr>
        <w:ilvl w:val="5"/>
      </w:numPr>
      <w:outlineLvl w:val="5"/>
    </w:pPr>
  </w:style>
  <w:style w:type="paragraph" w:customStyle="1" w:styleId="52">
    <w:name w:val="附录五级条标题"/>
    <w:basedOn w:val="50"/>
    <w:next w:val="39"/>
    <w:uiPriority w:val="0"/>
    <w:pPr>
      <w:numPr>
        <w:ilvl w:val="6"/>
      </w:numPr>
      <w:outlineLvl w:val="6"/>
    </w:pPr>
  </w:style>
  <w:style w:type="paragraph" w:customStyle="1" w:styleId="53">
    <w:name w:val="章标题"/>
    <w:next w:val="39"/>
    <w:uiPriority w:val="0"/>
    <w:pPr>
      <w:numPr>
        <w:ilvl w:val="1"/>
        <w:numId w:val="4"/>
      </w:numPr>
      <w:spacing w:beforeLines="50" w:afterLines="50" w:line="360" w:lineRule="auto"/>
      <w:jc w:val="both"/>
      <w:outlineLvl w:val="1"/>
    </w:pPr>
    <w:rPr>
      <w:rFonts w:ascii="黑体" w:hAnsi="Times New Roman" w:eastAsia="黑体" w:cs="Times New Roman"/>
      <w:sz w:val="21"/>
      <w:lang w:val="en-US" w:eastAsia="zh-CN" w:bidi="ar-SA"/>
    </w:rPr>
  </w:style>
  <w:style w:type="paragraph" w:customStyle="1" w:styleId="54">
    <w:name w:val="附录标识"/>
    <w:basedOn w:val="47"/>
    <w:uiPriority w:val="0"/>
    <w:pPr>
      <w:numPr>
        <w:numId w:val="0"/>
      </w:numPr>
      <w:tabs>
        <w:tab w:val="left" w:pos="6405"/>
      </w:tabs>
      <w:spacing w:after="200"/>
      <w:ind w:left="4320"/>
    </w:pPr>
    <w:rPr>
      <w:sz w:val="21"/>
    </w:rPr>
  </w:style>
  <w:style w:type="paragraph" w:customStyle="1" w:styleId="55">
    <w:name w:val="五级条标题"/>
    <w:basedOn w:val="51"/>
    <w:next w:val="39"/>
    <w:uiPriority w:val="0"/>
    <w:pPr>
      <w:numPr>
        <w:ilvl w:val="6"/>
      </w:numPr>
      <w:outlineLvl w:val="6"/>
    </w:pPr>
  </w:style>
  <w:style w:type="paragraph" w:customStyle="1" w:styleId="56">
    <w:name w:val="Default"/>
    <w:uiPriority w:val="0"/>
    <w:pPr>
      <w:widowControl w:val="0"/>
      <w:autoSpaceDE w:val="0"/>
      <w:autoSpaceDN w:val="0"/>
      <w:adjustRightInd w:val="0"/>
      <w:spacing w:line="360" w:lineRule="auto"/>
      <w:jc w:val="both"/>
    </w:pPr>
    <w:rPr>
      <w:rFonts w:ascii="仿宋" w:hAnsi="Times New Roman" w:eastAsia="仿宋" w:cs="仿宋"/>
      <w:color w:val="000000"/>
      <w:sz w:val="24"/>
      <w:szCs w:val="24"/>
      <w:lang w:val="en-US" w:eastAsia="zh-CN" w:bidi="ar-SA"/>
    </w:rPr>
  </w:style>
  <w:style w:type="paragraph" w:customStyle="1" w:styleId="57">
    <w:name w:val="示例"/>
    <w:next w:val="39"/>
    <w:uiPriority w:val="0"/>
    <w:pPr>
      <w:numPr>
        <w:ilvl w:val="0"/>
        <w:numId w:val="5"/>
      </w:numPr>
      <w:tabs>
        <w:tab w:val="left" w:pos="816"/>
        <w:tab w:val="clear" w:pos="1120"/>
      </w:tabs>
      <w:spacing w:line="360" w:lineRule="auto"/>
      <w:ind w:firstLine="419" w:firstLineChars="233"/>
      <w:jc w:val="both"/>
    </w:pPr>
    <w:rPr>
      <w:rFonts w:ascii="宋体" w:hAnsi="Times New Roman" w:eastAsia="宋体" w:cs="Times New Roman"/>
      <w:sz w:val="18"/>
      <w:lang w:val="en-US" w:eastAsia="zh-CN" w:bidi="ar-SA"/>
    </w:rPr>
  </w:style>
  <w:style w:type="paragraph" w:styleId="58">
    <w:name w:val="No Spacing"/>
    <w:uiPriority w:val="1"/>
    <w:pPr>
      <w:widowControl w:val="0"/>
      <w:spacing w:line="360" w:lineRule="auto"/>
      <w:jc w:val="both"/>
    </w:pPr>
    <w:rPr>
      <w:rFonts w:ascii="Times New Roman" w:hAnsi="Times New Roman" w:eastAsia="宋体" w:cs="Times New Roman"/>
      <w:kern w:val="2"/>
      <w:sz w:val="21"/>
      <w:szCs w:val="24"/>
      <w:lang w:val="en-US" w:eastAsia="zh-CN" w:bidi="ar-SA"/>
    </w:rPr>
  </w:style>
  <w:style w:type="paragraph" w:customStyle="1" w:styleId="59">
    <w:name w:val="参考文献"/>
    <w:basedOn w:val="60"/>
    <w:qFormat/>
    <w:uiPriority w:val="0"/>
    <w:pPr>
      <w:ind w:left="200" w:hanging="200"/>
    </w:pPr>
  </w:style>
  <w:style w:type="paragraph" w:styleId="60">
    <w:name w:val="Quote"/>
    <w:basedOn w:val="1"/>
    <w:link w:val="70"/>
    <w:uiPriority w:val="99"/>
    <w:pPr>
      <w:widowControl/>
      <w:ind w:left="480" w:hanging="480" w:hangingChars="200"/>
    </w:pPr>
    <w:rPr>
      <w:kern w:val="0"/>
    </w:rPr>
  </w:style>
  <w:style w:type="paragraph" w:customStyle="1" w:styleId="61">
    <w:name w:val="TOC Heading"/>
    <w:basedOn w:val="2"/>
    <w:next w:val="1"/>
    <w:semiHidden/>
    <w:unhideWhenUsed/>
    <w:qFormat/>
    <w:uiPriority w:val="39"/>
    <w:pPr>
      <w:numPr>
        <w:numId w:val="0"/>
      </w:numPr>
      <w:spacing w:afterLines="0" w:line="276" w:lineRule="auto"/>
      <w:outlineLvl w:val="9"/>
    </w:pPr>
    <w:rPr>
      <w:rFonts w:ascii="Cambria" w:hAnsi="Cambria" w:eastAsia="宋体"/>
      <w:snapToGrid/>
      <w:color w:val="365F91"/>
      <w:kern w:val="0"/>
      <w:sz w:val="28"/>
      <w:szCs w:val="28"/>
    </w:rPr>
  </w:style>
  <w:style w:type="table" w:customStyle="1" w:styleId="62">
    <w:name w:val="三线表"/>
    <w:basedOn w:val="23"/>
    <w:uiPriority w:val="0"/>
    <w:rPr>
      <w:rFonts w:eastAsia="仿宋"/>
      <w:sz w:val="21"/>
    </w:rPr>
    <w:tblPr>
      <w:tblBorders>
        <w:top w:val="single" w:color="00B050" w:sz="12" w:space="0"/>
        <w:bottom w:val="single" w:color="00B050" w:sz="12" w:space="0"/>
      </w:tblBorders>
    </w:tblPr>
    <w:tcPr>
      <w:shd w:val="clear" w:color="auto" w:fill="FFFFFF"/>
    </w:tcPr>
    <w:tblStylePr w:type="firstRow">
      <w:rPr>
        <w:rFonts w:eastAsia="仿宋"/>
        <w:sz w:val="21"/>
      </w:rPr>
      <w:tcPr>
        <w:tcBorders>
          <w:bottom w:val="single" w:color="auto" w:sz="6" w:space="0"/>
        </w:tcBorders>
        <w:shd w:val="clear" w:color="auto" w:fill="FFFFFF"/>
      </w:tcPr>
    </w:tblStylePr>
  </w:style>
  <w:style w:type="character" w:customStyle="1" w:styleId="63">
    <w:name w:val="Comment Text Char"/>
    <w:basedOn w:val="26"/>
    <w:link w:val="10"/>
    <w:uiPriority w:val="0"/>
    <w:rPr>
      <w:kern w:val="2"/>
      <w:sz w:val="21"/>
      <w:szCs w:val="24"/>
    </w:rPr>
  </w:style>
  <w:style w:type="character" w:customStyle="1" w:styleId="64">
    <w:name w:val="Comment Subject Char"/>
    <w:basedOn w:val="63"/>
    <w:link w:val="22"/>
    <w:uiPriority w:val="0"/>
    <w:rPr>
      <w:b/>
      <w:bCs/>
      <w:kern w:val="2"/>
      <w:sz w:val="21"/>
      <w:szCs w:val="24"/>
    </w:rPr>
  </w:style>
  <w:style w:type="character" w:customStyle="1" w:styleId="65">
    <w:name w:val="Footer Char"/>
    <w:basedOn w:val="26"/>
    <w:link w:val="13"/>
    <w:uiPriority w:val="99"/>
    <w:rPr>
      <w:rFonts w:eastAsia="仿宋" w:cs="仿宋"/>
      <w:kern w:val="2"/>
      <w:sz w:val="18"/>
      <w:szCs w:val="18"/>
    </w:rPr>
  </w:style>
  <w:style w:type="paragraph" w:styleId="66">
    <w:name w:val="List Paragraph"/>
    <w:basedOn w:val="1"/>
    <w:uiPriority w:val="99"/>
    <w:pPr>
      <w:ind w:firstLine="420"/>
    </w:pPr>
  </w:style>
  <w:style w:type="character" w:customStyle="1" w:styleId="67">
    <w:name w:val="Title Char"/>
    <w:basedOn w:val="26"/>
    <w:link w:val="21"/>
    <w:uiPriority w:val="0"/>
    <w:rPr>
      <w:rFonts w:eastAsia="仿宋"/>
      <w:b/>
      <w:kern w:val="2"/>
      <w:sz w:val="36"/>
      <w:szCs w:val="36"/>
    </w:rPr>
  </w:style>
  <w:style w:type="character" w:styleId="68">
    <w:name w:val="Placeholder Text"/>
    <w:basedOn w:val="26"/>
    <w:unhideWhenUsed/>
    <w:uiPriority w:val="99"/>
    <w:rPr>
      <w:color w:val="808080"/>
    </w:rPr>
  </w:style>
  <w:style w:type="paragraph" w:customStyle="1" w:styleId="69">
    <w:name w:val="表格正文"/>
    <w:link w:val="89"/>
    <w:qFormat/>
    <w:uiPriority w:val="0"/>
    <w:pPr>
      <w:adjustRightInd w:val="0"/>
      <w:snapToGrid w:val="0"/>
      <w:spacing w:before="30" w:beforeLines="30" w:after="30" w:afterLines="30"/>
      <w:jc w:val="both"/>
    </w:pPr>
    <w:rPr>
      <w:rFonts w:ascii="Times New Roman" w:hAnsi="Times New Roman" w:eastAsia="仿宋" w:cs="仿宋"/>
      <w:kern w:val="2"/>
      <w:sz w:val="21"/>
      <w:szCs w:val="24"/>
      <w:lang w:val="en-US" w:eastAsia="zh-CN" w:bidi="ar-SA"/>
    </w:rPr>
  </w:style>
  <w:style w:type="character" w:customStyle="1" w:styleId="70">
    <w:name w:val="Quote Char"/>
    <w:basedOn w:val="26"/>
    <w:link w:val="60"/>
    <w:uiPriority w:val="99"/>
    <w:rPr>
      <w:rFonts w:eastAsia="仿宋"/>
      <w:sz w:val="24"/>
      <w:szCs w:val="24"/>
    </w:rPr>
  </w:style>
  <w:style w:type="character" w:customStyle="1" w:styleId="71">
    <w:name w:val="Subtitle Char"/>
    <w:basedOn w:val="26"/>
    <w:link w:val="16"/>
    <w:uiPriority w:val="0"/>
    <w:rPr>
      <w:rFonts w:eastAsia="仿宋"/>
      <w:b/>
      <w:color w:val="000000"/>
      <w:kern w:val="2"/>
      <w:sz w:val="36"/>
      <w:szCs w:val="36"/>
    </w:rPr>
  </w:style>
  <w:style w:type="paragraph" w:customStyle="1" w:styleId="72">
    <w:name w:val="其它"/>
    <w:link w:val="79"/>
    <w:uiPriority w:val="0"/>
    <w:pPr>
      <w:adjustRightInd w:val="0"/>
      <w:snapToGrid w:val="0"/>
      <w:spacing w:line="360" w:lineRule="auto"/>
      <w:jc w:val="center"/>
    </w:pPr>
    <w:rPr>
      <w:rFonts w:ascii="Times New Roman" w:hAnsi="Times New Roman" w:eastAsia="宋体" w:cs="Times New Roman"/>
      <w:color w:val="000000"/>
      <w:kern w:val="2"/>
      <w:sz w:val="48"/>
      <w:szCs w:val="48"/>
      <w:lang w:val="en-US" w:eastAsia="zh-CN" w:bidi="ar-SA"/>
    </w:rPr>
  </w:style>
  <w:style w:type="paragraph" w:customStyle="1" w:styleId="73">
    <w:name w:val="临时样式2"/>
    <w:basedOn w:val="72"/>
    <w:link w:val="80"/>
    <w:uiPriority w:val="0"/>
    <w:pPr>
      <w:spacing w:before="120" w:beforeLines="50" w:line="240" w:lineRule="auto"/>
    </w:pPr>
    <w:rPr>
      <w:rFonts w:eastAsia="仿宋"/>
      <w:b/>
      <w:sz w:val="32"/>
      <w:szCs w:val="32"/>
    </w:rPr>
  </w:style>
  <w:style w:type="paragraph" w:customStyle="1" w:styleId="74">
    <w:name w:val="图表题注"/>
    <w:basedOn w:val="1"/>
    <w:next w:val="1"/>
    <w:uiPriority w:val="0"/>
    <w:pPr>
      <w:adjustRightInd/>
      <w:snapToGrid/>
      <w:spacing w:beforeLines="50" w:afterLines="50"/>
      <w:ind w:firstLine="0" w:firstLineChars="0"/>
      <w:jc w:val="center"/>
    </w:pPr>
  </w:style>
  <w:style w:type="character" w:customStyle="1" w:styleId="75">
    <w:name w:val="Heading 1 Char"/>
    <w:basedOn w:val="26"/>
    <w:link w:val="2"/>
    <w:uiPriority w:val="0"/>
    <w:rPr>
      <w:rFonts w:ascii="Times New Roman" w:hAnsi="Times New Roman" w:eastAsia="黑体"/>
      <w:b/>
      <w:bCs/>
      <w:snapToGrid w:val="0"/>
      <w:kern w:val="44"/>
      <w:sz w:val="30"/>
      <w:szCs w:val="44"/>
    </w:rPr>
  </w:style>
  <w:style w:type="character" w:customStyle="1" w:styleId="76">
    <w:name w:val="Heading 2 Char"/>
    <w:basedOn w:val="26"/>
    <w:link w:val="3"/>
    <w:uiPriority w:val="0"/>
    <w:rPr>
      <w:rFonts w:ascii="Times New Roman" w:hAnsi="Times New Roman" w:eastAsia="宋体"/>
      <w:b/>
      <w:snapToGrid w:val="0"/>
      <w:kern w:val="44"/>
      <w:sz w:val="28"/>
      <w:szCs w:val="44"/>
    </w:rPr>
  </w:style>
  <w:style w:type="character" w:customStyle="1" w:styleId="77">
    <w:name w:val="Heading 3 Char"/>
    <w:basedOn w:val="26"/>
    <w:link w:val="4"/>
    <w:uiPriority w:val="0"/>
    <w:rPr>
      <w:rFonts w:eastAsia="仿宋"/>
      <w:b/>
      <w:bCs/>
      <w:snapToGrid w:val="0"/>
      <w:kern w:val="44"/>
      <w:sz w:val="24"/>
      <w:szCs w:val="44"/>
    </w:rPr>
  </w:style>
  <w:style w:type="paragraph" w:customStyle="1" w:styleId="78">
    <w:name w:val="临时样式3"/>
    <w:basedOn w:val="72"/>
    <w:link w:val="82"/>
    <w:uiPriority w:val="0"/>
    <w:pPr>
      <w:spacing w:before="120" w:beforeLines="50" w:line="240" w:lineRule="auto"/>
    </w:pPr>
    <w:rPr>
      <w:rFonts w:eastAsia="仿宋"/>
      <w:b/>
      <w:sz w:val="32"/>
      <w:szCs w:val="32"/>
    </w:rPr>
  </w:style>
  <w:style w:type="character" w:customStyle="1" w:styleId="79">
    <w:name w:val="其它 字符"/>
    <w:basedOn w:val="26"/>
    <w:link w:val="72"/>
    <w:uiPriority w:val="0"/>
    <w:rPr>
      <w:color w:val="000000"/>
      <w:kern w:val="2"/>
      <w:sz w:val="48"/>
      <w:szCs w:val="48"/>
    </w:rPr>
  </w:style>
  <w:style w:type="character" w:customStyle="1" w:styleId="80">
    <w:name w:val="临时样式2 字符"/>
    <w:basedOn w:val="79"/>
    <w:link w:val="73"/>
    <w:uiPriority w:val="0"/>
    <w:rPr>
      <w:rFonts w:eastAsia="仿宋"/>
      <w:b/>
      <w:color w:val="000000"/>
      <w:kern w:val="2"/>
      <w:sz w:val="32"/>
      <w:szCs w:val="32"/>
    </w:rPr>
  </w:style>
  <w:style w:type="paragraph" w:customStyle="1" w:styleId="81">
    <w:name w:val="临时样式-封面"/>
    <w:basedOn w:val="36"/>
    <w:link w:val="85"/>
    <w:uiPriority w:val="0"/>
    <w:pPr>
      <w:numPr>
        <w:ilvl w:val="0"/>
        <w:numId w:val="0"/>
      </w:numPr>
      <w:adjustRightInd w:val="0"/>
      <w:snapToGrid w:val="0"/>
      <w:spacing w:before="120" w:beforeLines="50" w:line="240" w:lineRule="auto"/>
      <w:jc w:val="center"/>
    </w:pPr>
    <w:rPr>
      <w:rFonts w:ascii="Times New Roman"/>
      <w:sz w:val="24"/>
      <w:szCs w:val="24"/>
    </w:rPr>
  </w:style>
  <w:style w:type="character" w:customStyle="1" w:styleId="82">
    <w:name w:val="临时样式3 字符"/>
    <w:basedOn w:val="79"/>
    <w:link w:val="78"/>
    <w:uiPriority w:val="0"/>
    <w:rPr>
      <w:rFonts w:eastAsia="仿宋"/>
      <w:b/>
      <w:color w:val="000000"/>
      <w:kern w:val="2"/>
      <w:sz w:val="32"/>
      <w:szCs w:val="32"/>
    </w:rPr>
  </w:style>
  <w:style w:type="paragraph" w:customStyle="1" w:styleId="83">
    <w:name w:val="居中(图)"/>
    <w:qFormat/>
    <w:uiPriority w:val="0"/>
    <w:pPr>
      <w:keepNext/>
      <w:adjustRightInd w:val="0"/>
      <w:snapToGrid w:val="0"/>
      <w:spacing w:before="120" w:beforeLines="50"/>
      <w:jc w:val="center"/>
    </w:pPr>
    <w:rPr>
      <w:rFonts w:ascii="Times New Roman" w:hAnsi="Times New Roman" w:eastAsia="仿宋" w:cs="Times New Roman"/>
      <w:kern w:val="2"/>
      <w:sz w:val="24"/>
      <w:szCs w:val="24"/>
      <w:lang w:val="en-US" w:eastAsia="zh-CN" w:bidi="ar-SA"/>
    </w:rPr>
  </w:style>
  <w:style w:type="character" w:customStyle="1" w:styleId="84">
    <w:name w:val="列项—— 字符"/>
    <w:basedOn w:val="26"/>
    <w:link w:val="36"/>
    <w:uiPriority w:val="0"/>
    <w:rPr>
      <w:rFonts w:ascii="宋体"/>
      <w:sz w:val="21"/>
    </w:rPr>
  </w:style>
  <w:style w:type="character" w:customStyle="1" w:styleId="85">
    <w:name w:val="临时样式-封面 字符"/>
    <w:basedOn w:val="84"/>
    <w:link w:val="81"/>
    <w:uiPriority w:val="0"/>
    <w:rPr>
      <w:rFonts w:ascii="宋体"/>
      <w:sz w:val="24"/>
      <w:szCs w:val="24"/>
    </w:rPr>
  </w:style>
  <w:style w:type="character" w:customStyle="1" w:styleId="86">
    <w:name w:val="Footnote Text Char"/>
    <w:basedOn w:val="26"/>
    <w:link w:val="17"/>
    <w:uiPriority w:val="0"/>
    <w:rPr>
      <w:rFonts w:ascii="宋体" w:hAnsi="宋体"/>
      <w:kern w:val="2"/>
      <w:sz w:val="18"/>
      <w:szCs w:val="18"/>
    </w:rPr>
  </w:style>
  <w:style w:type="paragraph" w:customStyle="1" w:styleId="87">
    <w:name w:val="表格后第一段"/>
    <w:basedOn w:val="1"/>
    <w:next w:val="1"/>
    <w:link w:val="88"/>
    <w:qFormat/>
    <w:uiPriority w:val="0"/>
    <w:pPr>
      <w:spacing w:before="120" w:beforeLines="50"/>
    </w:pPr>
  </w:style>
  <w:style w:type="character" w:customStyle="1" w:styleId="88">
    <w:name w:val="表格后第一段 字符"/>
    <w:basedOn w:val="26"/>
    <w:link w:val="87"/>
    <w:uiPriority w:val="0"/>
    <w:rPr>
      <w:rFonts w:eastAsia="仿宋"/>
      <w:kern w:val="2"/>
      <w:sz w:val="24"/>
      <w:szCs w:val="24"/>
    </w:rPr>
  </w:style>
  <w:style w:type="character" w:customStyle="1" w:styleId="89">
    <w:name w:val="表格正文 字符"/>
    <w:basedOn w:val="26"/>
    <w:link w:val="69"/>
    <w:uiPriority w:val="0"/>
    <w:rPr>
      <w:rFonts w:eastAsia="仿宋" w:cs="仿宋"/>
      <w:kern w:val="2"/>
      <w:sz w:val="21"/>
      <w:szCs w:val="24"/>
    </w:rPr>
  </w:style>
  <w:style w:type="character" w:customStyle="1" w:styleId="90">
    <w:name w:val="Unresolved Mention"/>
    <w:basedOn w:val="26"/>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jpe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C0834CDF-9C4C-4E7B-8DA8-68EDB48C76F4}">
  <ds:schemaRefs/>
</ds:datastoreItem>
</file>

<file path=docProps/app.xml><?xml version="1.0" encoding="utf-8"?>
<Properties xmlns="http://schemas.openxmlformats.org/officeDocument/2006/extended-properties" xmlns:vt="http://schemas.openxmlformats.org/officeDocument/2006/docPropsVTypes">
  <Template>Normal.dotm</Template>
  <Pages>13</Pages>
  <Words>218</Words>
  <Characters>1246</Characters>
  <Lines>10</Lines>
  <Paragraphs>2</Paragraphs>
  <TotalTime>7</TotalTime>
  <ScaleCrop>false</ScaleCrop>
  <LinksUpToDate>false</LinksUpToDate>
  <CharactersWithSpaces>1462</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2023-03-22T04:51:00Z</dcterms:created>
  <dc:creator>邵宇浩</dc:creator>
  <cp:lastModifiedBy>鲍一鸣</cp:lastModifiedBy>
  <cp:lastPrinted>2023-03-22T20:57:00Z</cp:lastPrinted>
  <dcterms:modified xsi:type="dcterms:W3CDTF">2026-08-22T18:41:33Z</dcterms:modified>
  <dc:title>浙江大学研究生学位论文编写规则</dc:title>
  <cp:revision>271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40830FD913810E5D4EF8626AF4032D77_42</vt:lpwstr>
  </property>
</Properties>
</file>