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4BA8F">
      <w:pPr>
        <w:pStyle w:val="2"/>
        <w:bidi w:val="0"/>
        <w:rPr>
          <w:rFonts w:hint="eastAsia"/>
          <w:lang w:val="en-US" w:eastAsia="zh-CN"/>
        </w:rPr>
      </w:pPr>
      <w:bookmarkStart w:id="0" w:name="_Toc816532333"/>
      <w:r>
        <w:rPr>
          <w:rFonts w:hint="eastAsia"/>
          <w:lang w:val="en-US" w:eastAsia="zh-CN"/>
        </w:rPr>
        <w:t>密集台阵远震接收函数处理、CCP 成像与 H–κ 叠加实验</w:t>
      </w:r>
      <w:bookmarkEnd w:id="0"/>
    </w:p>
    <w:p w14:paraId="61C2F2DC">
      <w:pPr>
        <w:pStyle w:val="3"/>
        <w:bidi w:val="0"/>
        <w:rPr>
          <w:rFonts w:hint="eastAsia"/>
          <w:lang w:val="en-US" w:eastAsia="zh-CN"/>
        </w:rPr>
      </w:pPr>
      <w:bookmarkStart w:id="1" w:name="_Toc1038416401"/>
      <w:r>
        <w:rPr>
          <w:rFonts w:hint="eastAsia"/>
          <w:lang w:val="en-US" w:eastAsia="zh-CN"/>
        </w:rPr>
        <w:t>实验目的与基本原理</w:t>
      </w:r>
      <w:bookmarkEnd w:id="1"/>
    </w:p>
    <w:p w14:paraId="25B442C2">
      <w:pPr>
        <w:pStyle w:val="4"/>
        <w:bidi w:val="0"/>
        <w:rPr>
          <w:rFonts w:hint="eastAsia"/>
          <w:lang w:val="en-US" w:eastAsia="zh-CN"/>
        </w:rPr>
      </w:pPr>
      <w:bookmarkStart w:id="2" w:name="_Toc64852438"/>
      <w:r>
        <w:rPr>
          <w:rFonts w:hint="eastAsia"/>
          <w:lang w:val="en-US" w:eastAsia="zh-CN"/>
        </w:rPr>
        <w:t>实验目的</w:t>
      </w:r>
      <w:bookmarkEnd w:id="2"/>
    </w:p>
    <w:p w14:paraId="5743B96E">
      <w:pPr>
        <w:ind w:left="0" w:leftChars="0" w:firstLine="420" w:firstLineChars="200"/>
        <w:rPr>
          <w:rFonts w:hint="eastAsia"/>
          <w:lang w:val="en-US" w:eastAsia="zh-CN"/>
        </w:rPr>
      </w:pPr>
      <w:r>
        <w:rPr>
          <w:rFonts w:hint="eastAsia"/>
          <w:lang w:val="en-US" w:eastAsia="zh-CN"/>
        </w:rPr>
        <w:t>基于密集地震台阵的远震P波接收函数，本文采用H-κ叠加（即地壳厚度H和地壳平均波速比κ）和CCP成像方法（即Common Conversion Point，共转换点成像）研究台阵下方地壳结构。密集台阵因台间距小、射线覆盖密，可显著提高对速度间断面的横向分辨能力。其中，H-κ叠加约束各台站下方的地壳厚度H和平均Vp/Vs（即κ），CCP成像则揭示Moho等界面的空间展布及横向变化。两种方法互为补充，共同为祁连山的地壳增厚和深部构造变形提供地球物理约束</w:t>
      </w:r>
      <w:r>
        <w:rPr>
          <w:rFonts w:hint="eastAsia"/>
          <w:vertAlign w:val="superscript"/>
          <w:lang w:val="en-US" w:eastAsia="zh-CN"/>
        </w:rPr>
        <w:t>[18-19]</w:t>
      </w:r>
      <w:r>
        <w:rPr>
          <w:rFonts w:hint="eastAsia"/>
          <w:lang w:val="en-US" w:eastAsia="zh-CN"/>
        </w:rPr>
        <w:t>。</w:t>
      </w:r>
    </w:p>
    <w:p w14:paraId="25EBAF7C">
      <w:pPr>
        <w:pStyle w:val="4"/>
        <w:bidi w:val="0"/>
        <w:rPr>
          <w:rFonts w:hint="eastAsia"/>
          <w:lang w:val="en-US" w:eastAsia="zh-CN"/>
        </w:rPr>
      </w:pPr>
      <w:bookmarkStart w:id="3" w:name="_Toc1200716437"/>
      <w:r>
        <w:rPr>
          <w:rFonts w:hint="eastAsia"/>
          <w:lang w:val="en-US" w:eastAsia="zh-CN"/>
        </w:rPr>
        <w:t>实验原理</w:t>
      </w:r>
      <w:bookmarkEnd w:id="3"/>
    </w:p>
    <w:p w14:paraId="6EC7CDF8">
      <w:pPr>
        <w:ind w:left="0" w:leftChars="0" w:firstLine="420" w:firstLineChars="200"/>
        <w:rPr>
          <w:rFonts w:hint="default"/>
          <w:lang w:val="en-US" w:eastAsia="zh-CN"/>
        </w:rPr>
      </w:pPr>
      <w:r>
        <w:rPr>
          <w:rFonts w:hint="default"/>
          <w:lang w:val="en-US" w:eastAsia="zh-CN"/>
        </w:rPr>
        <w:t xml:space="preserve">远震 P 波以较陡的入射角到达台站下方，当其传播经过 Moho </w:t>
      </w:r>
      <w:r>
        <w:rPr>
          <w:rFonts w:hint="eastAsia"/>
          <w:lang w:val="en-US" w:eastAsia="zh-CN"/>
        </w:rPr>
        <w:t>（即 Mohorovičić discontinuity ，莫霍洛维奇不连续面，简称莫霍面）</w:t>
      </w:r>
      <w:r>
        <w:rPr>
          <w:rFonts w:hint="default"/>
          <w:lang w:val="en-US" w:eastAsia="zh-CN"/>
        </w:rPr>
        <w:t>等速度不连续界面时，一部分 P 波会发生 P-S 波型转换。通过对三分量远震记录进行旋转和反褶积，可在一定程度上去除震源时间函数和共同传播路径的影响，获得主要反映台站下方介质结构的接收函数。接收函数中的直达 P 波、Moho 产生的 Ps 转换波及其多次反射转换相，可以用于约束地壳速度间断面的位置和性质；迭代时域反卷积方法由 Ligorría 和 Ammon（1999）提出。该方法通过源波形与观测分量之间的互相关，在每次迭代中优先提取贡献最大的接收函数脉冲，并不断更新残差、逐步恢复较弱的转换震相，从而获得接收函数</w:t>
      </w:r>
      <w:r>
        <w:rPr>
          <w:rFonts w:hint="eastAsia"/>
          <w:lang w:val="en-US" w:eastAsia="zh-CN"/>
        </w:rPr>
        <w:t>，</w:t>
      </w:r>
      <w:r>
        <w:rPr>
          <w:rFonts w:hint="default"/>
          <w:lang w:val="en-US" w:eastAsia="zh-CN"/>
        </w:rPr>
        <w:t>是接收函数提取中常用的方法之一</w:t>
      </w:r>
      <w:r>
        <w:rPr>
          <w:rFonts w:hint="default"/>
          <w:vertAlign w:val="superscript"/>
          <w:lang w:val="en-US" w:eastAsia="zh-CN"/>
        </w:rPr>
        <w:t>[</w:t>
      </w:r>
      <w:r>
        <w:rPr>
          <w:rFonts w:hint="eastAsia"/>
          <w:vertAlign w:val="superscript"/>
          <w:lang w:val="en-US" w:eastAsia="zh-CN"/>
        </w:rPr>
        <w:t>20</w:t>
      </w:r>
      <w:r>
        <w:rPr>
          <w:rFonts w:hint="default"/>
          <w:vertAlign w:val="superscript"/>
          <w:lang w:val="en-US" w:eastAsia="zh-CN"/>
        </w:rPr>
        <w:t>]</w:t>
      </w:r>
      <w:r>
        <w:rPr>
          <w:rFonts w:hint="default"/>
          <w:lang w:val="en-US" w:eastAsia="zh-CN"/>
        </w:rPr>
        <w:t>。</w:t>
      </w:r>
    </w:p>
    <w:p w14:paraId="56B40CE8">
      <w:pPr>
        <w:ind w:left="0" w:leftChars="0" w:firstLine="420" w:firstLineChars="200"/>
        <w:rPr>
          <w:rFonts w:hint="eastAsia"/>
          <w:lang w:val="en-US" w:eastAsia="zh-CN"/>
        </w:rPr>
      </w:pPr>
      <w:r>
        <w:rPr>
          <w:rFonts w:hint="default"/>
          <w:lang w:val="en-US" w:eastAsia="zh-CN"/>
        </w:rPr>
        <w:t>H–κ 叠加利用 Moho 的 Ps、PpPs 和 PpSs+PsPs 等震相对地壳厚度 H 和平均 Vp​/Vs​ 比 κ 的不同敏感性，在给定的 H−κ 参数空间中计算各震相的理论到时，并对相应接收函数振幅进行加权叠加。叠加能量最大的参数组合被认为是台站下方较优的地壳厚度和 Vp/Vs解。由于仅利用 Ps 到时会存在较明显的 H 与 Vp/Vs权衡，联合多次波能够显著减小这种非唯一性</w:t>
      </w:r>
      <w:r>
        <w:rPr>
          <w:rFonts w:hint="default"/>
          <w:vertAlign w:val="superscript"/>
          <w:lang w:val="en-US" w:eastAsia="zh-CN"/>
        </w:rPr>
        <w:t>[1</w:t>
      </w:r>
      <w:r>
        <w:rPr>
          <w:rFonts w:hint="eastAsia"/>
          <w:vertAlign w:val="superscript"/>
          <w:lang w:val="en-US" w:eastAsia="zh-CN"/>
        </w:rPr>
        <w:t>8</w:t>
      </w:r>
      <w:r>
        <w:rPr>
          <w:rFonts w:hint="default"/>
          <w:vertAlign w:val="superscript"/>
          <w:lang w:val="en-US" w:eastAsia="zh-CN"/>
        </w:rPr>
        <w:t>]</w:t>
      </w:r>
      <w:r>
        <w:rPr>
          <w:rFonts w:hint="eastAsia"/>
          <w:lang w:val="en-US" w:eastAsia="zh-CN"/>
        </w:rPr>
        <w:t>。</w:t>
      </w:r>
    </w:p>
    <w:p w14:paraId="1B5E13CE">
      <w:pPr>
        <w:ind w:left="0" w:leftChars="0" w:firstLine="420" w:firstLineChars="200"/>
        <w:rPr>
          <w:rFonts w:hint="default"/>
          <w:lang w:val="en-US" w:eastAsia="zh-CN"/>
        </w:rPr>
      </w:pPr>
      <w:r>
        <w:rPr>
          <w:rFonts w:hint="default"/>
          <w:lang w:val="en-US" w:eastAsia="zh-CN"/>
        </w:rPr>
        <w:t>CCP 成像则侧重于获得地下结构的空间连续变化。根据参考速度模型和射线路径，将不同地震、不同台站接收函数中的 P-S 转换能量反投影到地下相应的转换位置，并对落入同一空间单元内的信号进行叠加，从而增强相干转换信号、降低随机噪声的影响，形成沿剖面的地壳结构图像</w:t>
      </w:r>
      <w:r>
        <w:rPr>
          <w:rFonts w:hint="default"/>
          <w:vertAlign w:val="superscript"/>
          <w:lang w:val="en-US" w:eastAsia="zh-CN"/>
        </w:rPr>
        <w:t>[</w:t>
      </w:r>
      <w:r>
        <w:rPr>
          <w:rFonts w:hint="eastAsia"/>
          <w:vertAlign w:val="superscript"/>
          <w:lang w:val="en-US" w:eastAsia="zh-CN"/>
        </w:rPr>
        <w:t>21</w:t>
      </w:r>
      <w:r>
        <w:rPr>
          <w:rFonts w:hint="default"/>
          <w:vertAlign w:val="superscript"/>
          <w:lang w:val="en-US" w:eastAsia="zh-CN"/>
        </w:rPr>
        <w:t>]</w:t>
      </w:r>
      <w:r>
        <w:rPr>
          <w:rFonts w:hint="default"/>
          <w:lang w:val="en-US" w:eastAsia="zh-CN"/>
        </w:rPr>
        <w:t>。因此，H–κ 主要提供单个台站下方的地壳厚度和 Vp/Vs约束，而 CCP 成像能够进一步显示 Moho 等界面的横向起伏；二者结合可以提高对研究区地壳结构解释的可靠性。</w:t>
      </w:r>
    </w:p>
    <w:p w14:paraId="04078B47">
      <w:pPr>
        <w:ind w:left="0" w:leftChars="0" w:firstLine="0" w:firstLineChars="0"/>
        <w:rPr>
          <w:rFonts w:hint="default"/>
          <w:lang w:val="en-US" w:eastAsia="zh-CN"/>
        </w:rPr>
      </w:pPr>
    </w:p>
    <w:p w14:paraId="27879D48">
      <w:pPr>
        <w:pStyle w:val="3"/>
        <w:bidi w:val="0"/>
        <w:rPr>
          <w:rFonts w:hint="eastAsia"/>
          <w:lang w:val="en-US" w:eastAsia="zh-CN"/>
        </w:rPr>
      </w:pPr>
      <w:bookmarkStart w:id="4" w:name="_Toc537325800"/>
      <w:r>
        <w:rPr>
          <w:rFonts w:hint="eastAsia"/>
          <w:lang w:val="en-US" w:eastAsia="zh-CN"/>
        </w:rPr>
        <w:t>数据与处理过程及结果</w:t>
      </w:r>
      <w:bookmarkEnd w:id="4"/>
    </w:p>
    <w:p w14:paraId="7C537E59">
      <w:pPr>
        <w:pStyle w:val="4"/>
        <w:bidi w:val="0"/>
        <w:rPr>
          <w:rFonts w:hint="eastAsia"/>
          <w:lang w:val="en-US" w:eastAsia="zh-CN"/>
        </w:rPr>
      </w:pPr>
      <w:bookmarkStart w:id="5" w:name="_Toc665984965"/>
      <w:r>
        <w:rPr>
          <w:rFonts w:hint="eastAsia"/>
          <w:lang w:val="en-US" w:eastAsia="zh-CN"/>
        </w:rPr>
        <w:t>实验数据</w:t>
      </w:r>
      <w:bookmarkEnd w:id="5"/>
    </w:p>
    <w:p w14:paraId="5466EF44">
      <w:pPr>
        <w:numPr>
          <w:ilvl w:val="0"/>
          <w:numId w:val="0"/>
        </w:numPr>
        <w:ind w:firstLine="420" w:firstLineChars="200"/>
        <w:rPr>
          <w:rFonts w:hint="default"/>
          <w:lang w:val="en-US" w:eastAsia="zh-CN"/>
        </w:rPr>
      </w:pPr>
      <w:r>
        <w:rPr>
          <w:rFonts w:hint="default"/>
          <w:lang w:val="en-US" w:eastAsia="zh-CN"/>
        </w:rPr>
        <w:t>本实验采用课程提供的、布设于野外实习区附近的短周期密集地震台阵远震三分量波形数据</w:t>
      </w:r>
      <w:r>
        <w:rPr>
          <w:rFonts w:hint="eastAsia"/>
          <w:lang w:val="en-US" w:eastAsia="zh-CN"/>
        </w:rPr>
        <w:t>（如</w:t>
      </w:r>
      <w:r>
        <w:rPr>
          <w:rFonts w:hint="eastAsia"/>
          <w:lang w:val="en-US" w:eastAsia="zh-CN"/>
        </w:rPr>
        <w:fldChar w:fldCharType="begin"/>
      </w:r>
      <w:r>
        <w:rPr>
          <w:rFonts w:hint="eastAsia"/>
          <w:lang w:val="en-US" w:eastAsia="zh-CN"/>
        </w:rPr>
        <w:instrText xml:space="preserve"> REF _Ref337199274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val="en-US" w:eastAsia="zh-CN"/>
        </w:rPr>
        <w:fldChar w:fldCharType="end"/>
      </w:r>
      <w:r>
        <w:rPr>
          <w:rFonts w:hint="eastAsia"/>
          <w:lang w:val="en-US" w:eastAsia="zh-CN"/>
        </w:rPr>
        <w:t>）</w:t>
      </w:r>
      <w:r>
        <w:rPr>
          <w:rFonts w:hint="default"/>
          <w:lang w:val="en-US" w:eastAsia="zh-CN"/>
        </w:rPr>
        <w:t>，研究范围约为 39.3863°–40.1444°N、97.6215°–97.8821°E</w:t>
      </w:r>
      <w:r>
        <w:rPr>
          <w:rFonts w:hint="eastAsia"/>
          <w:lang w:val="en-US" w:eastAsia="zh-CN"/>
        </w:rPr>
        <w:t>（如</w:t>
      </w:r>
      <w:r>
        <w:rPr>
          <w:rFonts w:hint="eastAsia"/>
          <w:lang w:val="en-US" w:eastAsia="zh-CN"/>
        </w:rPr>
        <w:fldChar w:fldCharType="begin"/>
      </w:r>
      <w:r>
        <w:rPr>
          <w:rFonts w:hint="eastAsia"/>
          <w:lang w:val="en-US" w:eastAsia="zh-CN"/>
        </w:rPr>
        <w:instrText xml:space="preserve"> REF _Ref337518607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2</w:t>
      </w:r>
      <w:r>
        <w:rPr>
          <w:rFonts w:hint="eastAsia"/>
          <w:lang w:val="en-US" w:eastAsia="zh-CN"/>
        </w:rPr>
        <w:fldChar w:fldCharType="end"/>
      </w:r>
      <w:r>
        <w:rPr>
          <w:rFonts w:hint="eastAsia"/>
          <w:lang w:val="en-US" w:eastAsia="zh-CN"/>
        </w:rPr>
        <w:t>）</w:t>
      </w:r>
      <w:r>
        <w:rPr>
          <w:rFonts w:hint="default"/>
          <w:lang w:val="en-US" w:eastAsia="zh-CN"/>
        </w:rPr>
        <w:t>。台阵剖面跨越祁连山北缘及河西走廊等不同构造单元，可用于研究不同构造单元之间地壳结构及 Moho 深度的横向变化。</w:t>
      </w:r>
    </w:p>
    <w:p w14:paraId="5F08410A">
      <w:pPr>
        <w:numPr>
          <w:ilvl w:val="0"/>
          <w:numId w:val="0"/>
        </w:numPr>
        <w:ind w:firstLine="420" w:firstLineChars="200"/>
        <w:rPr>
          <w:rFonts w:hint="default"/>
          <w:lang w:val="en-US" w:eastAsia="zh-CN"/>
        </w:rPr>
      </w:pPr>
      <w:r>
        <w:rPr>
          <w:rFonts w:hint="default"/>
          <w:lang w:val="en-US" w:eastAsia="zh-CN"/>
        </w:rPr>
        <w:t>本实验的主要任务为：利用 Dense Array Toolkit处理实习区附近密集台阵数据，获得接收函数叠加和深部成像结果，并分析不同构造边界和断裂两侧的深部结构变化。</w:t>
      </w:r>
    </w:p>
    <w:p w14:paraId="4361521D">
      <w:pPr>
        <w:ind w:left="0" w:leftChars="0" w:firstLine="0" w:firstLineChars="0"/>
        <w:jc w:val="center"/>
        <w:rPr>
          <w:rFonts w:hint="eastAsia"/>
          <w:lang w:val="en-US" w:eastAsia="zh-CN"/>
        </w:rPr>
      </w:pPr>
      <w:r>
        <w:rPr>
          <w:rFonts w:hint="eastAsia"/>
          <w:shd w:val="clear" w:color="FFFFFF" w:fill="D9D9D9"/>
          <w:lang w:val="en-US" w:eastAsia="zh-CN"/>
        </w:rPr>
        <w:drawing>
          <wp:inline distT="0" distB="0" distL="114300" distR="114300">
            <wp:extent cx="3362325" cy="2169160"/>
            <wp:effectExtent l="0" t="0" r="15875" b="1524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8"/>
                    <a:stretch>
                      <a:fillRect/>
                    </a:stretch>
                  </pic:blipFill>
                  <pic:spPr>
                    <a:xfrm>
                      <a:off x="0" y="0"/>
                      <a:ext cx="3362325" cy="2169160"/>
                    </a:xfrm>
                    <a:prstGeom prst="rect">
                      <a:avLst/>
                    </a:prstGeom>
                    <a:noFill/>
                    <a:ln>
                      <a:noFill/>
                    </a:ln>
                  </pic:spPr>
                </pic:pic>
              </a:graphicData>
            </a:graphic>
          </wp:inline>
        </w:drawing>
      </w:r>
    </w:p>
    <w:p w14:paraId="3F311E5B">
      <w:pPr>
        <w:pStyle w:val="9"/>
        <w:rPr>
          <w:rFonts w:hint="default"/>
          <w:lang w:val="en-US" w:eastAsia="zh-CN"/>
        </w:rPr>
      </w:pPr>
      <w:bookmarkStart w:id="6" w:name="_Ref337199274"/>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6"/>
      <w:bookmarkStart w:id="7" w:name="_Toc9230669"/>
      <w:r>
        <w:rPr>
          <w:rFonts w:hint="eastAsia"/>
          <w:lang w:val="en-US" w:eastAsia="zh-CN"/>
        </w:rPr>
        <w:t xml:space="preserve"> 远震事件分布</w:t>
      </w:r>
      <w:bookmarkEnd w:id="7"/>
    </w:p>
    <w:p w14:paraId="15B5FE92">
      <w:pPr>
        <w:ind w:left="0" w:leftChars="0" w:firstLine="0" w:firstLineChars="0"/>
        <w:jc w:val="center"/>
        <w:rPr>
          <w:rFonts w:hint="eastAsia"/>
          <w:lang w:val="en-US" w:eastAsia="zh-CN"/>
        </w:rPr>
      </w:pPr>
      <w:r>
        <w:rPr>
          <w:rFonts w:hint="eastAsia"/>
          <w:lang w:val="en-US" w:eastAsia="zh-CN"/>
        </w:rPr>
        <w:drawing>
          <wp:inline distT="0" distB="0" distL="114300" distR="114300">
            <wp:extent cx="3204210" cy="2080895"/>
            <wp:effectExtent l="0" t="0" r="21590" b="190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9"/>
                    <a:stretch>
                      <a:fillRect/>
                    </a:stretch>
                  </pic:blipFill>
                  <pic:spPr>
                    <a:xfrm>
                      <a:off x="0" y="0"/>
                      <a:ext cx="3204210" cy="2080895"/>
                    </a:xfrm>
                    <a:prstGeom prst="rect">
                      <a:avLst/>
                    </a:prstGeom>
                    <a:noFill/>
                    <a:ln>
                      <a:noFill/>
                    </a:ln>
                  </pic:spPr>
                </pic:pic>
              </a:graphicData>
            </a:graphic>
          </wp:inline>
        </w:drawing>
      </w:r>
    </w:p>
    <w:p w14:paraId="1D1E492F">
      <w:pPr>
        <w:pStyle w:val="9"/>
        <w:rPr>
          <w:rFonts w:hint="default"/>
          <w:lang w:val="en-US" w:eastAsia="zh-CN"/>
        </w:rPr>
      </w:pPr>
      <w:bookmarkStart w:id="8" w:name="_Ref337518607"/>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8"/>
      <w:bookmarkStart w:id="9" w:name="_Toc1682213474"/>
      <w:r>
        <w:rPr>
          <w:rFonts w:hint="eastAsia"/>
          <w:lang w:val="en-US" w:eastAsia="zh-CN"/>
        </w:rPr>
        <w:t xml:space="preserve"> 祁连山地区密集台站分布</w:t>
      </w:r>
      <w:bookmarkEnd w:id="9"/>
    </w:p>
    <w:p w14:paraId="35958E31">
      <w:pPr>
        <w:pStyle w:val="4"/>
        <w:bidi w:val="0"/>
        <w:rPr>
          <w:rFonts w:hint="default"/>
          <w:lang w:val="en-US" w:eastAsia="zh-CN"/>
        </w:rPr>
      </w:pPr>
      <w:bookmarkStart w:id="10" w:name="_Toc524538591"/>
      <w:r>
        <w:rPr>
          <w:rFonts w:hint="eastAsia"/>
          <w:lang w:val="en-US" w:eastAsia="zh-CN"/>
        </w:rPr>
        <w:t>实验步骤与结果</w:t>
      </w:r>
      <w:bookmarkEnd w:id="10"/>
    </w:p>
    <w:p w14:paraId="21BB906F">
      <w:pPr>
        <w:numPr>
          <w:ilvl w:val="0"/>
          <w:numId w:val="0"/>
        </w:numPr>
        <w:rPr>
          <w:rFonts w:hint="eastAsia"/>
          <w:b/>
          <w:bCs/>
          <w:lang w:val="en-US" w:eastAsia="zh-CN"/>
        </w:rPr>
      </w:pPr>
      <w:r>
        <w:rPr>
          <w:rFonts w:hint="eastAsia"/>
          <w:b/>
          <w:bCs/>
          <w:lang w:val="en-US" w:eastAsia="zh-CN"/>
        </w:rPr>
        <w:t>1. 接收函数计算与质量检查</w:t>
      </w:r>
    </w:p>
    <w:p w14:paraId="709DD7E9">
      <w:pPr>
        <w:numPr>
          <w:ilvl w:val="0"/>
          <w:numId w:val="0"/>
        </w:numPr>
        <w:ind w:firstLine="420" w:firstLineChars="200"/>
        <w:rPr>
          <w:rFonts w:hint="eastAsia"/>
          <w:b w:val="0"/>
          <w:bCs w:val="0"/>
          <w:lang w:val="en-US" w:eastAsia="zh-CN"/>
        </w:rPr>
      </w:pPr>
      <w:r>
        <w:rPr>
          <w:rFonts w:hint="eastAsia"/>
          <w:b w:val="0"/>
          <w:bCs w:val="0"/>
          <w:lang w:val="en-US" w:eastAsia="zh-CN"/>
        </w:rPr>
        <w:t>对远震三分量记录完成时间窗截取及坐标旋转后，获得径向（R）、横向（T）和垂向（Z）分量。垂向分量主要包含直达 P 波能量，径向分量中包含与地下速度间断面有关的 P-S 转换信息。进一步通过反褶积削弱震源时间函数及共同传播路径的影响，得到径向接收函数。图中接收函数在 0 s 附近具有明显的直达 P 波响应，其后出现多组正、负振幅转换信号。</w:t>
      </w:r>
      <w:r>
        <w:rPr>
          <w:rFonts w:hint="eastAsia"/>
          <w:b w:val="0"/>
          <w:bCs w:val="0"/>
          <w:lang w:val="en-US" w:eastAsia="zh-CN"/>
        </w:rPr>
        <w:fldChar w:fldCharType="begin"/>
      </w:r>
      <w:r>
        <w:rPr>
          <w:rFonts w:hint="eastAsia"/>
          <w:b w:val="0"/>
          <w:bCs w:val="0"/>
          <w:lang w:val="en-US" w:eastAsia="zh-CN"/>
        </w:rPr>
        <w:instrText xml:space="preserve"> REF _Ref338375764 \h </w:instrText>
      </w:r>
      <w:r>
        <w:rPr>
          <w:rFonts w:hint="eastAsia"/>
          <w:b w:val="0"/>
          <w:bCs w:val="0"/>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3</w:t>
      </w:r>
      <w:r>
        <w:rPr>
          <w:rFonts w:hint="eastAsia"/>
          <w:b w:val="0"/>
          <w:bCs w:val="0"/>
          <w:lang w:val="en-US" w:eastAsia="zh-CN"/>
        </w:rPr>
        <w:fldChar w:fldCharType="end"/>
      </w:r>
      <w:r>
        <w:rPr>
          <w:rFonts w:hint="eastAsia"/>
          <w:b w:val="0"/>
          <w:bCs w:val="0"/>
          <w:lang w:val="en-US" w:eastAsia="zh-CN"/>
        </w:rPr>
        <w:t>中R是径向分量 Radial；T是切向分量 Transverse；Z是垂向分量 Vertical；RF (wlr)表示 water-level deconvolution，即水准法反褶积得到的接收函数；RF (itr）表示 iterative deconvolution，即迭代反褶积得到的接收函数。</w:t>
      </w:r>
    </w:p>
    <w:p w14:paraId="4D41C749">
      <w:pPr>
        <w:numPr>
          <w:ilvl w:val="0"/>
          <w:numId w:val="0"/>
        </w:numPr>
        <w:jc w:val="center"/>
        <w:rPr>
          <w:rFonts w:hint="default"/>
          <w:lang w:val="en-US" w:eastAsia="zh-CN"/>
        </w:rPr>
      </w:pPr>
      <w:r>
        <w:rPr>
          <w:rFonts w:hint="default"/>
          <w:lang w:val="en-US" w:eastAsia="zh-CN"/>
        </w:rPr>
        <w:drawing>
          <wp:inline distT="0" distB="0" distL="114300" distR="114300">
            <wp:extent cx="3524250" cy="2819400"/>
            <wp:effectExtent l="0" t="0" r="6350" b="0"/>
            <wp:docPr id="48" name="图片 48" descr="Default_SingleTrace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efault_SingleTrace_70"/>
                    <pic:cNvPicPr>
                      <a:picLocks noChangeAspect="1"/>
                    </pic:cNvPicPr>
                  </pic:nvPicPr>
                  <pic:blipFill>
                    <a:blip r:embed="rId10"/>
                    <a:stretch>
                      <a:fillRect/>
                    </a:stretch>
                  </pic:blipFill>
                  <pic:spPr>
                    <a:xfrm>
                      <a:off x="0" y="0"/>
                      <a:ext cx="3524250" cy="2819400"/>
                    </a:xfrm>
                    <a:prstGeom prst="rect">
                      <a:avLst/>
                    </a:prstGeom>
                  </pic:spPr>
                </pic:pic>
              </a:graphicData>
            </a:graphic>
          </wp:inline>
        </w:drawing>
      </w:r>
    </w:p>
    <w:p w14:paraId="615831F6">
      <w:pPr>
        <w:pStyle w:val="9"/>
        <w:numPr>
          <w:ilvl w:val="0"/>
          <w:numId w:val="0"/>
        </w:numPr>
        <w:rPr>
          <w:rFonts w:hint="eastAsia"/>
          <w:lang w:val="en-US" w:eastAsia="zh-CN"/>
        </w:rPr>
      </w:pPr>
      <w:bookmarkStart w:id="11" w:name="_Ref338375764"/>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1"/>
      <w:bookmarkStart w:id="12" w:name="_Toc1190976593"/>
      <w:r>
        <w:rPr>
          <w:rFonts w:hint="eastAsia"/>
          <w:lang w:val="en-US" w:eastAsia="zh-CN"/>
        </w:rPr>
        <w:t xml:space="preserve"> 单条远震记录三分量波形及不同反褶积方法获得的接收函数</w:t>
      </w:r>
      <w:bookmarkEnd w:id="12"/>
    </w:p>
    <w:p w14:paraId="48C93B96">
      <w:pPr>
        <w:numPr>
          <w:ilvl w:val="0"/>
          <w:numId w:val="0"/>
        </w:numPr>
        <w:rPr>
          <w:rFonts w:hint="eastAsia"/>
          <w:b w:val="0"/>
          <w:bCs w:val="0"/>
          <w:lang w:val="en-US" w:eastAsia="zh-CN"/>
        </w:rPr>
      </w:pPr>
      <w:r>
        <w:rPr>
          <w:rFonts w:hint="eastAsia"/>
          <w:b w:val="0"/>
          <w:bCs w:val="0"/>
          <w:lang w:val="en-US" w:eastAsia="zh-CN"/>
        </w:rPr>
        <w:t xml:space="preserve">2. </w:t>
      </w:r>
      <w:r>
        <w:rPr>
          <w:rFonts w:hint="eastAsia"/>
          <w:b/>
          <w:bCs/>
          <w:lang w:val="en-US" w:eastAsia="zh-CN"/>
        </w:rPr>
        <w:t>密集台阵接收函数特征</w:t>
      </w:r>
    </w:p>
    <w:p w14:paraId="1C1146E0">
      <w:pPr>
        <w:numPr>
          <w:ilvl w:val="0"/>
          <w:numId w:val="0"/>
        </w:numPr>
        <w:ind w:firstLine="420" w:firstLineChars="200"/>
        <w:rPr>
          <w:rFonts w:hint="eastAsia"/>
          <w:b w:val="0"/>
          <w:bCs w:val="0"/>
          <w:lang w:val="en-US" w:eastAsia="zh-CN"/>
        </w:rPr>
      </w:pPr>
      <w:r>
        <w:rPr>
          <w:rFonts w:hint="eastAsia"/>
          <w:b w:val="0"/>
          <w:bCs w:val="0"/>
          <w:lang w:val="en-US" w:eastAsia="zh-CN"/>
        </w:rPr>
        <w:t>实验发现不同远震事件虽然传播路径和震中距不同，但经过反褶积处理后，直达 P 波附近及部分后续转换震相具有一定一致性（如</w:t>
      </w:r>
      <w:r>
        <w:rPr>
          <w:rFonts w:hint="eastAsia"/>
          <w:b w:val="0"/>
          <w:bCs w:val="0"/>
          <w:lang w:val="en-US" w:eastAsia="zh-CN"/>
        </w:rPr>
        <w:fldChar w:fldCharType="begin"/>
      </w:r>
      <w:r>
        <w:rPr>
          <w:rFonts w:hint="eastAsia"/>
          <w:b w:val="0"/>
          <w:bCs w:val="0"/>
          <w:lang w:val="en-US" w:eastAsia="zh-CN"/>
        </w:rPr>
        <w:instrText xml:space="preserve"> REF _Ref339232921 \h </w:instrText>
      </w:r>
      <w:r>
        <w:rPr>
          <w:rFonts w:hint="eastAsia"/>
          <w:b w:val="0"/>
          <w:bCs w:val="0"/>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4</w:t>
      </w:r>
      <w:r>
        <w:rPr>
          <w:rFonts w:hint="eastAsia"/>
          <w:b w:val="0"/>
          <w:bCs w:val="0"/>
          <w:lang w:val="en-US" w:eastAsia="zh-CN"/>
        </w:rPr>
        <w:fldChar w:fldCharType="end"/>
      </w:r>
      <w:r>
        <w:rPr>
          <w:rFonts w:hint="eastAsia"/>
          <w:b w:val="0"/>
          <w:bCs w:val="0"/>
          <w:lang w:val="en-US" w:eastAsia="zh-CN"/>
        </w:rPr>
        <w:t>），表明接收函数有效削弱了震源差异；同时，不同震中距记录之间仍存在一定波形差异，反映了射线路径、地下横向非均一性及噪声的共同影响。</w:t>
      </w:r>
    </w:p>
    <w:p w14:paraId="0F6B5084">
      <w:pPr>
        <w:numPr>
          <w:ilvl w:val="0"/>
          <w:numId w:val="0"/>
        </w:numPr>
        <w:jc w:val="center"/>
        <w:rPr>
          <w:rFonts w:hint="eastAsia"/>
          <w:b w:val="0"/>
          <w:bCs w:val="0"/>
          <w:lang w:val="en-US" w:eastAsia="zh-CN"/>
        </w:rPr>
      </w:pPr>
      <w:r>
        <w:rPr>
          <w:rFonts w:hint="eastAsia"/>
          <w:b w:val="0"/>
          <w:bCs w:val="0"/>
          <w:lang w:val="en-US" w:eastAsia="zh-CN"/>
        </w:rPr>
        <w:drawing>
          <wp:inline distT="0" distB="0" distL="114300" distR="114300">
            <wp:extent cx="2513330" cy="3102610"/>
            <wp:effectExtent l="0" t="0" r="1270" b="21590"/>
            <wp:docPr id="49" name="图片 49" descr="StationGather_3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StationGather_30388"/>
                    <pic:cNvPicPr>
                      <a:picLocks noChangeAspect="1"/>
                    </pic:cNvPicPr>
                  </pic:nvPicPr>
                  <pic:blipFill>
                    <a:blip r:embed="rId11"/>
                    <a:srcRect l="3930" t="3477" r="7826" b="3867"/>
                    <a:stretch>
                      <a:fillRect/>
                    </a:stretch>
                  </pic:blipFill>
                  <pic:spPr>
                    <a:xfrm>
                      <a:off x="0" y="0"/>
                      <a:ext cx="2513330" cy="3102610"/>
                    </a:xfrm>
                    <a:prstGeom prst="rect">
                      <a:avLst/>
                    </a:prstGeom>
                  </pic:spPr>
                </pic:pic>
              </a:graphicData>
            </a:graphic>
          </wp:inline>
        </w:drawing>
      </w:r>
    </w:p>
    <w:p w14:paraId="110B61D4">
      <w:pPr>
        <w:pStyle w:val="9"/>
        <w:numPr>
          <w:ilvl w:val="0"/>
          <w:numId w:val="0"/>
        </w:numPr>
        <w:jc w:val="center"/>
        <w:rPr>
          <w:rFonts w:hint="eastAsia"/>
          <w:b w:val="0"/>
          <w:bCs w:val="0"/>
          <w:lang w:val="en-US" w:eastAsia="zh-CN"/>
        </w:rPr>
      </w:pPr>
      <w:bookmarkStart w:id="13" w:name="_Ref339232921"/>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13"/>
      <w:bookmarkStart w:id="14" w:name="_Toc1661087035"/>
      <w:r>
        <w:rPr>
          <w:rFonts w:hint="eastAsia"/>
          <w:lang w:val="en-US" w:eastAsia="zh-CN"/>
        </w:rPr>
        <w:t xml:space="preserve"> 典型台站共台站接收函数道集</w:t>
      </w:r>
      <w:bookmarkEnd w:id="14"/>
    </w:p>
    <w:p w14:paraId="06F5D89B">
      <w:pPr>
        <w:numPr>
          <w:ilvl w:val="0"/>
          <w:numId w:val="0"/>
        </w:numPr>
        <w:ind w:firstLine="420" w:firstLineChars="200"/>
        <w:rPr>
          <w:rFonts w:hint="eastAsia"/>
          <w:b w:val="0"/>
          <w:bCs w:val="0"/>
          <w:lang w:val="en-US" w:eastAsia="zh-CN"/>
        </w:rPr>
      </w:pPr>
      <w:r>
        <w:rPr>
          <w:rFonts w:hint="eastAsia"/>
          <w:b w:val="0"/>
          <w:bCs w:val="0"/>
          <w:lang w:val="en-US" w:eastAsia="zh-CN"/>
        </w:rPr>
        <w:t>将同一远震事件在密集台阵不同台站得到的接收函数按台站位置排列，可观察转换震相沿剖面的横向变化（如</w:t>
      </w:r>
      <w:r>
        <w:rPr>
          <w:rFonts w:hint="eastAsia"/>
          <w:b w:val="0"/>
          <w:bCs w:val="0"/>
          <w:lang w:val="en-US" w:eastAsia="zh-CN"/>
        </w:rPr>
        <w:fldChar w:fldCharType="begin"/>
      </w:r>
      <w:r>
        <w:rPr>
          <w:rFonts w:hint="eastAsia"/>
          <w:b w:val="0"/>
          <w:bCs w:val="0"/>
          <w:lang w:val="en-US" w:eastAsia="zh-CN"/>
        </w:rPr>
        <w:instrText xml:space="preserve"> REF _Ref339619482 \h </w:instrText>
      </w:r>
      <w:r>
        <w:rPr>
          <w:rFonts w:hint="eastAsia"/>
          <w:b w:val="0"/>
          <w:bCs w:val="0"/>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5</w:t>
      </w:r>
      <w:r>
        <w:rPr>
          <w:rFonts w:hint="eastAsia"/>
          <w:b w:val="0"/>
          <w:bCs w:val="0"/>
          <w:lang w:val="en-US" w:eastAsia="zh-CN"/>
        </w:rPr>
        <w:fldChar w:fldCharType="end"/>
      </w:r>
      <w:r>
        <w:rPr>
          <w:rFonts w:hint="eastAsia"/>
          <w:b w:val="0"/>
          <w:bCs w:val="0"/>
          <w:lang w:val="en-US" w:eastAsia="zh-CN"/>
        </w:rPr>
        <w:t>）。0 s 附近各台站均表现出较一致的强正振幅响应，而后续转换信号在不同台站间具有一定连续性，同时局部发生明显变化。这说明密集台阵能够利用较小的台站间距连续采样地下结构，为进一步追踪地壳内部速度间断面及 Moho 横向变化提供了基础。</w:t>
      </w:r>
    </w:p>
    <w:p w14:paraId="2C667647">
      <w:pPr>
        <w:numPr>
          <w:ilvl w:val="0"/>
          <w:numId w:val="0"/>
        </w:numPr>
        <w:rPr>
          <w:rFonts w:hint="eastAsia"/>
          <w:b w:val="0"/>
          <w:bCs w:val="0"/>
          <w:lang w:val="en-US" w:eastAsia="zh-CN"/>
        </w:rPr>
      </w:pPr>
      <w:r>
        <w:rPr>
          <w:rFonts w:hint="eastAsia"/>
          <w:b w:val="0"/>
          <w:bCs w:val="0"/>
          <w:lang w:val="en-US" w:eastAsia="zh-CN"/>
        </w:rPr>
        <w:drawing>
          <wp:inline distT="0" distB="0" distL="114300" distR="114300">
            <wp:extent cx="5669280" cy="2204720"/>
            <wp:effectExtent l="0" t="0" r="20320" b="5080"/>
            <wp:docPr id="50" name="图片 50" descr="EventGather_2019081410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ventGather_20190814102303"/>
                    <pic:cNvPicPr>
                      <a:picLocks noChangeAspect="1"/>
                    </pic:cNvPicPr>
                  </pic:nvPicPr>
                  <pic:blipFill>
                    <a:blip r:embed="rId12"/>
                    <a:stretch>
                      <a:fillRect/>
                    </a:stretch>
                  </pic:blipFill>
                  <pic:spPr>
                    <a:xfrm>
                      <a:off x="0" y="0"/>
                      <a:ext cx="5669280" cy="2204720"/>
                    </a:xfrm>
                    <a:prstGeom prst="rect">
                      <a:avLst/>
                    </a:prstGeom>
                  </pic:spPr>
                </pic:pic>
              </a:graphicData>
            </a:graphic>
          </wp:inline>
        </w:drawing>
      </w:r>
    </w:p>
    <w:p w14:paraId="69A47508">
      <w:pPr>
        <w:pStyle w:val="9"/>
        <w:numPr>
          <w:ilvl w:val="0"/>
          <w:numId w:val="0"/>
        </w:numPr>
        <w:rPr>
          <w:rFonts w:hint="default"/>
          <w:b w:val="0"/>
          <w:bCs w:val="0"/>
          <w:lang w:val="en-US" w:eastAsia="zh-CN"/>
        </w:rPr>
      </w:pPr>
      <w:bookmarkStart w:id="15" w:name="_Ref33961948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15"/>
      <w:bookmarkStart w:id="16" w:name="_Toc1067707757"/>
      <w:r>
        <w:rPr>
          <w:rFonts w:hint="eastAsia"/>
          <w:lang w:val="en-US" w:eastAsia="zh-CN"/>
        </w:rPr>
        <w:t xml:space="preserve"> 典型远震事件共事件接收函数道集</w:t>
      </w:r>
      <w:bookmarkEnd w:id="16"/>
    </w:p>
    <w:p w14:paraId="5DD1435B">
      <w:pPr>
        <w:numPr>
          <w:ilvl w:val="0"/>
          <w:numId w:val="0"/>
        </w:numPr>
        <w:rPr>
          <w:rFonts w:hint="default"/>
          <w:b w:val="0"/>
          <w:bCs w:val="0"/>
          <w:lang w:val="en-US" w:eastAsia="zh-CN"/>
        </w:rPr>
      </w:pPr>
    </w:p>
    <w:p w14:paraId="471898D5">
      <w:pPr>
        <w:numPr>
          <w:ilvl w:val="0"/>
          <w:numId w:val="0"/>
        </w:numPr>
        <w:ind w:leftChars="0"/>
        <w:rPr>
          <w:rFonts w:hint="eastAsia"/>
          <w:lang w:val="en-US" w:eastAsia="zh-CN"/>
        </w:rPr>
      </w:pPr>
      <w:r>
        <w:rPr>
          <w:rFonts w:hint="eastAsia"/>
          <w:lang w:val="en-US" w:eastAsia="zh-CN"/>
        </w:rPr>
        <w:t xml:space="preserve">3. </w:t>
      </w:r>
      <w:r>
        <w:rPr>
          <w:rFonts w:hint="eastAsia"/>
          <w:b/>
          <w:bCs/>
          <w:lang w:val="en-US" w:eastAsia="zh-CN"/>
        </w:rPr>
        <w:t>接收函数叠加与 Moho 初步识别</w:t>
      </w:r>
    </w:p>
    <w:p w14:paraId="379E678B">
      <w:pPr>
        <w:numPr>
          <w:ilvl w:val="0"/>
          <w:numId w:val="0"/>
        </w:numPr>
        <w:ind w:leftChars="0" w:firstLine="420" w:firstLineChars="200"/>
        <w:rPr>
          <w:rFonts w:hint="eastAsia"/>
          <w:lang w:val="en-US" w:eastAsia="zh-CN"/>
        </w:rPr>
      </w:pPr>
      <w:r>
        <w:rPr>
          <w:rFonts w:hint="eastAsia"/>
          <w:lang w:val="en-US" w:eastAsia="zh-CN"/>
        </w:rPr>
        <w:t>接收函数叠加结果（如</w:t>
      </w:r>
      <w:r>
        <w:rPr>
          <w:rFonts w:hint="eastAsia"/>
          <w:lang w:val="en-US" w:eastAsia="zh-CN"/>
        </w:rPr>
        <w:fldChar w:fldCharType="begin"/>
      </w:r>
      <w:r>
        <w:rPr>
          <w:rFonts w:hint="eastAsia"/>
          <w:lang w:val="en-US" w:eastAsia="zh-CN"/>
        </w:rPr>
        <w:instrText xml:space="preserve"> REF _Ref340291762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6</w:t>
      </w:r>
      <w:r>
        <w:rPr>
          <w:rFonts w:hint="eastAsia"/>
          <w:lang w:val="en-US" w:eastAsia="zh-CN"/>
        </w:rPr>
        <w:fldChar w:fldCharType="end"/>
      </w:r>
      <w:r>
        <w:rPr>
          <w:rFonts w:hint="eastAsia"/>
          <w:lang w:val="en-US" w:eastAsia="zh-CN"/>
        </w:rPr>
        <w:t>）显示，在约 50–60 km 深度范围内存在较连续的强转换能量带，可解释为 Moho 附近的 P-S 转换响应。根据该界面的空间位置进行拾取，研究区 Moho 深度总体约为51–58 km，并沿密集台阵剖面存在明显起伏，表明祁连山北缘—河西走廊地区地壳厚度具有一定横向非均一性。</w:t>
      </w:r>
    </w:p>
    <w:p w14:paraId="407D6928">
      <w:pPr>
        <w:ind w:left="0" w:leftChars="0" w:firstLine="0" w:firstLineChars="0"/>
        <w:rPr>
          <w:rFonts w:hint="eastAsia"/>
          <w:lang w:val="en-US" w:eastAsia="zh-CN"/>
        </w:rPr>
      </w:pPr>
      <w:r>
        <w:rPr>
          <w:rFonts w:hint="eastAsia"/>
          <w:lang w:val="en-US" w:eastAsia="zh-CN"/>
        </w:rPr>
        <w:drawing>
          <wp:inline distT="0" distB="0" distL="114300" distR="114300">
            <wp:extent cx="5688330" cy="1878330"/>
            <wp:effectExtent l="0" t="0" r="1270" b="127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3"/>
                    <a:stretch>
                      <a:fillRect/>
                    </a:stretch>
                  </pic:blipFill>
                  <pic:spPr>
                    <a:xfrm>
                      <a:off x="0" y="0"/>
                      <a:ext cx="5688330" cy="1878330"/>
                    </a:xfrm>
                    <a:prstGeom prst="rect">
                      <a:avLst/>
                    </a:prstGeom>
                    <a:noFill/>
                    <a:ln>
                      <a:noFill/>
                    </a:ln>
                  </pic:spPr>
                </pic:pic>
              </a:graphicData>
            </a:graphic>
          </wp:inline>
        </w:drawing>
      </w:r>
    </w:p>
    <w:p w14:paraId="2EAC5C5D">
      <w:pPr>
        <w:pStyle w:val="9"/>
        <w:ind w:left="0" w:leftChars="0" w:firstLine="0" w:firstLineChars="0"/>
        <w:rPr>
          <w:rFonts w:hint="default"/>
          <w:lang w:val="en-US" w:eastAsia="zh-CN"/>
        </w:rPr>
      </w:pPr>
      <w:bookmarkStart w:id="17" w:name="_Ref34029176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17"/>
      <w:bookmarkStart w:id="18" w:name="_Toc1587164841"/>
      <w:r>
        <w:rPr>
          <w:rFonts w:hint="eastAsia"/>
          <w:lang w:val="en-US" w:eastAsia="zh-CN"/>
        </w:rPr>
        <w:t xml:space="preserve"> 接收函数叠加成像及莫霍面深度结果</w:t>
      </w:r>
      <w:r>
        <w:rPr>
          <w:rFonts w:hint="default"/>
          <w:lang w:val="en-US" w:eastAsia="zh-CN"/>
        </w:rPr>
        <w:br w:type="textWrapping"/>
      </w:r>
      <w:r>
        <w:rPr>
          <w:rFonts w:hint="default"/>
          <w:lang w:val="en-US" w:eastAsia="zh-CN"/>
        </w:rPr>
        <w:t>（a）沿台阵的 Moho 深度分布；（b）接收函数深度域叠加剖面</w:t>
      </w:r>
      <w:bookmarkEnd w:id="18"/>
    </w:p>
    <w:p w14:paraId="7DC34AC7">
      <w:pPr>
        <w:rPr>
          <w:rFonts w:hint="default"/>
          <w:lang w:val="en-US" w:eastAsia="zh-CN"/>
        </w:rPr>
      </w:pPr>
    </w:p>
    <w:p w14:paraId="0183F8CF">
      <w:pPr>
        <w:numPr>
          <w:ilvl w:val="0"/>
          <w:numId w:val="6"/>
        </w:numPr>
        <w:ind w:left="0" w:leftChars="0" w:firstLine="0" w:firstLineChars="0"/>
        <w:rPr>
          <w:rFonts w:hint="default"/>
          <w:b/>
          <w:bCs/>
          <w:lang w:val="en-US" w:eastAsia="zh-CN"/>
        </w:rPr>
      </w:pPr>
      <w:r>
        <w:rPr>
          <w:rFonts w:hint="eastAsia"/>
          <w:b/>
          <w:bCs/>
          <w:lang w:val="en-US" w:eastAsia="zh-CN"/>
        </w:rPr>
        <w:t>CCP成像及平滑参数试验</w:t>
      </w:r>
    </w:p>
    <w:p w14:paraId="6C5493D3">
      <w:pPr>
        <w:rPr>
          <w:rFonts w:hint="default"/>
          <w:lang w:val="en-US" w:eastAsia="zh-CN"/>
        </w:rPr>
      </w:pPr>
      <w:r>
        <w:rPr>
          <w:rFonts w:hint="default"/>
          <w:lang w:val="en-US" w:eastAsia="zh-CN"/>
        </w:rPr>
        <w:t>CCP 成像前，根据台阵主轴方向将台站坐标投影至规则二维网格</w:t>
      </w:r>
      <w:r>
        <w:rPr>
          <w:rFonts w:hint="eastAsia"/>
          <w:lang w:val="en-US" w:eastAsia="zh-CN"/>
        </w:rPr>
        <w:t>（如</w:t>
      </w:r>
      <w:r>
        <w:rPr>
          <w:rFonts w:hint="eastAsia"/>
          <w:lang w:val="en-US" w:eastAsia="zh-CN"/>
        </w:rPr>
        <w:fldChar w:fldCharType="begin"/>
      </w:r>
      <w:r>
        <w:rPr>
          <w:rFonts w:hint="eastAsia"/>
          <w:lang w:val="en-US" w:eastAsia="zh-CN"/>
        </w:rPr>
        <w:instrText xml:space="preserve"> REF _Ref342073304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7</w:t>
      </w:r>
      <w:r>
        <w:rPr>
          <w:rFonts w:hint="eastAsia"/>
          <w:lang w:val="en-US" w:eastAsia="zh-CN"/>
        </w:rPr>
        <w:fldChar w:fldCharType="end"/>
      </w:r>
      <w:r>
        <w:rPr>
          <w:rFonts w:hint="eastAsia"/>
          <w:lang w:val="en-US" w:eastAsia="zh-CN"/>
        </w:rPr>
        <w:t>）</w:t>
      </w:r>
      <w:r>
        <w:rPr>
          <w:rFonts w:hint="default"/>
          <w:lang w:val="en-US" w:eastAsia="zh-CN"/>
        </w:rPr>
        <w:t>，并在此基础上进行转换点射线投影及空间叠加。</w:t>
      </w:r>
    </w:p>
    <w:p w14:paraId="63F8CF40">
      <w:pPr>
        <w:jc w:val="center"/>
        <w:rPr>
          <w:rFonts w:hint="default"/>
          <w:lang w:val="en-US" w:eastAsia="zh-CN"/>
        </w:rPr>
      </w:pPr>
      <w:r>
        <w:rPr>
          <w:rFonts w:hint="default"/>
          <w:lang w:val="en-US" w:eastAsia="zh-CN"/>
        </w:rPr>
        <w:drawing>
          <wp:inline distT="0" distB="0" distL="114300" distR="114300">
            <wp:extent cx="2518410" cy="2518410"/>
            <wp:effectExtent l="0" t="0" r="21590" b="21590"/>
            <wp:docPr id="51" name="图片 51" descr="CCP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CP_Grid"/>
                    <pic:cNvPicPr>
                      <a:picLocks noChangeAspect="1"/>
                    </pic:cNvPicPr>
                  </pic:nvPicPr>
                  <pic:blipFill>
                    <a:blip r:embed="rId14"/>
                    <a:stretch>
                      <a:fillRect/>
                    </a:stretch>
                  </pic:blipFill>
                  <pic:spPr>
                    <a:xfrm>
                      <a:off x="0" y="0"/>
                      <a:ext cx="2518410" cy="2518410"/>
                    </a:xfrm>
                    <a:prstGeom prst="rect">
                      <a:avLst/>
                    </a:prstGeom>
                  </pic:spPr>
                </pic:pic>
              </a:graphicData>
            </a:graphic>
          </wp:inline>
        </w:drawing>
      </w:r>
    </w:p>
    <w:p w14:paraId="311DFFB7">
      <w:pPr>
        <w:pStyle w:val="9"/>
        <w:jc w:val="center"/>
        <w:rPr>
          <w:rFonts w:hint="default"/>
          <w:lang w:val="en-US" w:eastAsia="zh-CN"/>
        </w:rPr>
      </w:pPr>
      <w:bookmarkStart w:id="19" w:name="_Ref342073304"/>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19"/>
      <w:bookmarkStart w:id="20" w:name="_Toc1296522065"/>
      <w:r>
        <w:rPr>
          <w:rFonts w:hint="eastAsia"/>
          <w:lang w:val="en-US" w:eastAsia="zh-CN"/>
        </w:rPr>
        <w:t xml:space="preserve"> CCP 成像坐标系及规则网格设置</w:t>
      </w:r>
      <w:bookmarkEnd w:id="20"/>
    </w:p>
    <w:p w14:paraId="4911FBE0">
      <w:pPr>
        <w:ind w:left="0" w:leftChars="0" w:firstLine="420" w:firstLineChars="200"/>
        <w:rPr>
          <w:rFonts w:hint="default"/>
          <w:lang w:val="en-US" w:eastAsia="zh-CN"/>
        </w:rPr>
      </w:pPr>
      <w:r>
        <w:rPr>
          <w:rFonts w:hint="eastAsia"/>
          <w:lang w:val="en-US" w:eastAsia="zh-CN"/>
        </w:rPr>
        <w:t>为检验空间平滑对 CCP 成像结果的影响，本实验分别比较了不进行平滑（Param=0）和采用随深度增加的平滑半径（Param=1）两种方案（如</w:t>
      </w:r>
      <w:r>
        <w:rPr>
          <w:rFonts w:hint="eastAsia"/>
          <w:lang w:val="en-US" w:eastAsia="zh-CN"/>
        </w:rPr>
        <w:fldChar w:fldCharType="begin"/>
      </w:r>
      <w:r>
        <w:rPr>
          <w:rFonts w:hint="eastAsia"/>
          <w:lang w:val="en-US" w:eastAsia="zh-CN"/>
        </w:rPr>
        <w:instrText xml:space="preserve"> REF _Ref342493479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8</w:t>
      </w:r>
      <w:r>
        <w:rPr>
          <w:rFonts w:hint="eastAsia"/>
          <w:lang w:val="en-US" w:eastAsia="zh-CN"/>
        </w:rPr>
        <w:fldChar w:fldCharType="end"/>
      </w:r>
      <w:r>
        <w:rPr>
          <w:rFonts w:hint="eastAsia"/>
          <w:lang w:val="en-US" w:eastAsia="zh-CN"/>
        </w:rPr>
        <w:t>）。不进行平滑时，CCP 剖面存在较多短波长、斑块状振幅变化，主要界面的横向连续性受到一定干扰；采用深度相关空间平滑后，小尺度非相干能量得到抑制，约 50–60 km 深度处的主要转换界面更加连续清晰。因此后续 Moho 识别采用平滑后的 CCP 结果。</w:t>
      </w:r>
    </w:p>
    <w:p w14:paraId="2AC2CF69">
      <w:pPr>
        <w:ind w:left="0" w:leftChars="0" w:firstLine="0" w:firstLineChars="0"/>
        <w:jc w:val="center"/>
        <w:rPr>
          <w:rFonts w:hint="default"/>
          <w:lang w:val="en-US" w:eastAsia="zh-CN"/>
        </w:rPr>
      </w:pPr>
      <w:r>
        <w:rPr>
          <w:rFonts w:hint="default"/>
          <w:lang w:val="en-US" w:eastAsia="zh-CN"/>
        </w:rPr>
        <w:drawing>
          <wp:inline distT="0" distB="0" distL="114300" distR="114300">
            <wp:extent cx="3509645" cy="4202430"/>
            <wp:effectExtent l="0" t="0" r="20955" b="13970"/>
            <wp:docPr id="56" name="图片 21" descr="/Users/b810/Library/Containers/com.kingsoft.wpsoffice.mac/Data/tmp/photoeditapp/2026080817280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descr="/Users/b810/Library/Containers/com.kingsoft.wpsoffice.mac/Data/tmp/photoeditapp/20260808172800/temp.pngtemp"/>
                    <pic:cNvPicPr>
                      <a:picLocks noChangeAspect="1"/>
                    </pic:cNvPicPr>
                  </pic:nvPicPr>
                  <pic:blipFill>
                    <a:blip r:embed="rId15"/>
                    <a:srcRect r="3104" b="1944"/>
                    <a:stretch>
                      <a:fillRect/>
                    </a:stretch>
                  </pic:blipFill>
                  <pic:spPr>
                    <a:xfrm>
                      <a:off x="0" y="0"/>
                      <a:ext cx="3509645" cy="4202430"/>
                    </a:xfrm>
                    <a:prstGeom prst="rect">
                      <a:avLst/>
                    </a:prstGeom>
                    <a:noFill/>
                    <a:ln>
                      <a:noFill/>
                    </a:ln>
                  </pic:spPr>
                </pic:pic>
              </a:graphicData>
            </a:graphic>
          </wp:inline>
        </w:drawing>
      </w:r>
    </w:p>
    <w:p w14:paraId="66875106">
      <w:pPr>
        <w:pStyle w:val="9"/>
        <w:ind w:left="0" w:leftChars="0" w:firstLine="0" w:firstLineChars="0"/>
        <w:rPr>
          <w:rFonts w:hint="eastAsia" w:eastAsia="仿宋"/>
          <w:lang w:val="en-US" w:eastAsia="zh-CN"/>
        </w:rPr>
      </w:pPr>
      <w:bookmarkStart w:id="21" w:name="_Ref342493479"/>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21"/>
      <w:bookmarkStart w:id="22" w:name="_Toc1522373517"/>
      <w:r>
        <w:rPr>
          <w:rFonts w:hint="eastAsia"/>
          <w:lang w:val="en-US" w:eastAsia="zh-CN"/>
        </w:rPr>
        <w:t xml:space="preserve"> 不同空间平滑参数下的 CCP 成像结果对比（a）Smoothing=0；（b）Smoothing=1</w:t>
      </w:r>
      <w:bookmarkEnd w:id="22"/>
    </w:p>
    <w:p w14:paraId="02695218">
      <w:pPr>
        <w:numPr>
          <w:ilvl w:val="0"/>
          <w:numId w:val="6"/>
        </w:numPr>
        <w:ind w:left="0" w:leftChars="0" w:firstLine="0" w:firstLineChars="0"/>
        <w:rPr>
          <w:rFonts w:hint="default"/>
          <w:b/>
          <w:bCs/>
          <w:lang w:val="en-US" w:eastAsia="zh-CN"/>
        </w:rPr>
      </w:pPr>
      <w:r>
        <w:rPr>
          <w:rFonts w:hint="default"/>
          <w:b/>
          <w:bCs/>
          <w:lang w:val="en-US" w:eastAsia="zh-CN"/>
        </w:rPr>
        <w:t>CCP 最终结果与 Moho 拾取</w:t>
      </w:r>
    </w:p>
    <w:p w14:paraId="0D6471DA">
      <w:pPr>
        <w:rPr>
          <w:rFonts w:hint="default"/>
          <w:lang w:val="en-US" w:eastAsia="zh-CN"/>
        </w:rPr>
      </w:pPr>
      <w:r>
        <w:rPr>
          <w:rFonts w:hint="default"/>
          <w:lang w:val="en-US" w:eastAsia="zh-CN"/>
        </w:rPr>
        <w:t>CCP 成像结果显示</w:t>
      </w:r>
      <w:r>
        <w:rPr>
          <w:rFonts w:hint="eastAsia"/>
          <w:lang w:val="en-US" w:eastAsia="zh-CN"/>
        </w:rPr>
        <w:t>（如</w:t>
      </w:r>
      <w:r>
        <w:rPr>
          <w:rFonts w:hint="eastAsia"/>
          <w:lang w:val="en-US" w:eastAsia="zh-CN"/>
        </w:rPr>
        <w:fldChar w:fldCharType="begin"/>
      </w:r>
      <w:r>
        <w:rPr>
          <w:rFonts w:hint="eastAsia"/>
          <w:lang w:val="en-US" w:eastAsia="zh-CN"/>
        </w:rPr>
        <w:instrText xml:space="preserve"> REF _Ref343619548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9</w:t>
      </w:r>
      <w:r>
        <w:rPr>
          <w:rFonts w:hint="eastAsia"/>
          <w:lang w:val="en-US" w:eastAsia="zh-CN"/>
        </w:rPr>
        <w:fldChar w:fldCharType="end"/>
      </w:r>
      <w:r>
        <w:rPr>
          <w:rFonts w:hint="eastAsia"/>
          <w:lang w:val="en-US" w:eastAsia="zh-CN"/>
        </w:rPr>
        <w:t>）</w:t>
      </w:r>
      <w:r>
        <w:rPr>
          <w:rFonts w:hint="default"/>
          <w:lang w:val="en-US" w:eastAsia="zh-CN"/>
        </w:rPr>
        <w:t>，在约 50–60 km 深度范围内存在较连续的强振幅转换界面</w:t>
      </w:r>
      <w:r>
        <w:rPr>
          <w:rFonts w:hint="eastAsia"/>
          <w:lang w:val="en-US" w:eastAsia="zh-CN"/>
        </w:rPr>
        <w:t>（正振幅转换带）</w:t>
      </w:r>
      <w:r>
        <w:rPr>
          <w:rFonts w:hint="default"/>
          <w:lang w:val="en-US" w:eastAsia="zh-CN"/>
        </w:rPr>
        <w:t>。根据该界面的横向连续性对 Moho 进行拾取，所得 Moho 深度整体约为 50–58 km，并沿剖面表现出一定的横向起伏。该结果表明祁连山北缘及邻近地区具有较厚的大陆地壳，同时 Moho 并非简单水平界面，而表现出</w:t>
      </w:r>
      <w:r>
        <w:rPr>
          <w:rFonts w:hint="eastAsia"/>
          <w:lang w:val="en-US" w:eastAsia="zh-CN"/>
        </w:rPr>
        <w:t>较</w:t>
      </w:r>
      <w:r>
        <w:rPr>
          <w:rFonts w:hint="default"/>
          <w:lang w:val="en-US" w:eastAsia="zh-CN"/>
        </w:rPr>
        <w:t>明显的横向变化。</w:t>
      </w:r>
    </w:p>
    <w:p w14:paraId="16E16A45">
      <w:pPr>
        <w:ind w:left="0" w:leftChars="0" w:firstLine="0" w:firstLineChars="0"/>
        <w:jc w:val="center"/>
        <w:rPr>
          <w:rFonts w:hint="default"/>
          <w:lang w:val="en-US" w:eastAsia="zh-CN"/>
        </w:rPr>
      </w:pPr>
      <w:r>
        <w:rPr>
          <w:rFonts w:hint="default"/>
          <w:lang w:val="en-US" w:eastAsia="zh-CN"/>
        </w:rPr>
        <w:drawing>
          <wp:inline distT="0" distB="0" distL="114300" distR="114300">
            <wp:extent cx="4843780" cy="1890395"/>
            <wp:effectExtent l="0" t="0" r="7620" b="14605"/>
            <wp:docPr id="55" name="图片 55" descr="Moho_Pick_Smooth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Moho_Pick_Smoothing1"/>
                    <pic:cNvPicPr>
                      <a:picLocks noChangeAspect="1"/>
                    </pic:cNvPicPr>
                  </pic:nvPicPr>
                  <pic:blipFill>
                    <a:blip r:embed="rId16"/>
                    <a:stretch>
                      <a:fillRect/>
                    </a:stretch>
                  </pic:blipFill>
                  <pic:spPr>
                    <a:xfrm>
                      <a:off x="0" y="0"/>
                      <a:ext cx="4843780" cy="1890395"/>
                    </a:xfrm>
                    <a:prstGeom prst="rect">
                      <a:avLst/>
                    </a:prstGeom>
                  </pic:spPr>
                </pic:pic>
              </a:graphicData>
            </a:graphic>
          </wp:inline>
        </w:drawing>
      </w:r>
    </w:p>
    <w:p w14:paraId="7CEDE7E2">
      <w:pPr>
        <w:pStyle w:val="9"/>
        <w:ind w:left="0" w:leftChars="0" w:firstLine="0" w:firstLineChars="0"/>
        <w:rPr>
          <w:rFonts w:hint="eastAsia" w:eastAsia="仿宋"/>
          <w:lang w:val="en-US" w:eastAsia="zh-CN"/>
        </w:rPr>
      </w:pPr>
      <w:bookmarkStart w:id="23" w:name="_Ref343619548"/>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23"/>
      <w:bookmarkStart w:id="24" w:name="_Toc330525418"/>
      <w:r>
        <w:rPr>
          <w:rFonts w:hint="eastAsia"/>
          <w:lang w:val="en-US" w:eastAsia="zh-CN"/>
        </w:rPr>
        <w:t xml:space="preserve"> CCP 接收函数成像剖面及 Moho 深度拾取结果</w:t>
      </w:r>
      <w:bookmarkEnd w:id="24"/>
    </w:p>
    <w:p w14:paraId="359F0F5F">
      <w:pPr>
        <w:numPr>
          <w:ilvl w:val="0"/>
          <w:numId w:val="6"/>
        </w:numPr>
        <w:ind w:left="0" w:leftChars="0" w:firstLine="0" w:firstLineChars="0"/>
        <w:rPr>
          <w:rFonts w:hint="default"/>
          <w:b/>
          <w:bCs/>
          <w:lang w:val="en-US" w:eastAsia="zh-CN"/>
        </w:rPr>
      </w:pPr>
      <w:r>
        <w:rPr>
          <w:rFonts w:hint="eastAsia"/>
          <w:b/>
          <w:bCs/>
          <w:lang w:val="en-US" w:eastAsia="zh-CN"/>
        </w:rPr>
        <w:t>H–κ 叠加及参数敏感性分析</w:t>
      </w:r>
    </w:p>
    <w:p w14:paraId="6D03D590">
      <w:pPr>
        <w:ind w:left="0" w:leftChars="0" w:firstLine="420" w:firstLineChars="200"/>
        <w:rPr>
          <w:rFonts w:hint="default"/>
          <w:lang w:val="en-US" w:eastAsia="zh-CN"/>
        </w:rPr>
      </w:pPr>
      <w:r>
        <w:rPr>
          <w:rFonts w:hint="eastAsia"/>
          <w:lang w:val="en-US" w:eastAsia="zh-CN"/>
        </w:rPr>
        <w:t>本实验以30384台站为例进行 H–κ叠加分析，设置地壳厚度搜索范围为30-70 km，步长为0.1 km，Vp/Vs​搜索范围为1.5-2.2，步长为0.01。叠加结果显示（如</w:t>
      </w:r>
      <w:r>
        <w:rPr>
          <w:rFonts w:hint="eastAsia"/>
          <w:lang w:val="en-US" w:eastAsia="zh-CN"/>
        </w:rPr>
        <w:fldChar w:fldCharType="begin"/>
      </w:r>
      <w:r>
        <w:rPr>
          <w:rFonts w:hint="eastAsia"/>
          <w:lang w:val="en-US" w:eastAsia="zh-CN"/>
        </w:rPr>
        <w:instrText xml:space="preserve"> REF _Ref344543933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10</w:t>
      </w:r>
      <w:r>
        <w:rPr>
          <w:rFonts w:hint="eastAsia"/>
          <w:lang w:val="en-US" w:eastAsia="zh-CN"/>
        </w:rPr>
        <w:fldChar w:fldCharType="end"/>
      </w:r>
      <w:r>
        <w:rPr>
          <w:rFonts w:hint="eastAsia"/>
          <w:lang w:val="en-US" w:eastAsia="zh-CN"/>
        </w:rPr>
        <w:t>），最大能量集中于 H=51.30 km、Vp/Vs=1.71 附近，所得地壳厚度和波速比分别为 51.30±2.01 km 和 1.71±0.03。最优解位于搜索范围内部，表明参数范围设置合理。并且，实验发现30384台站下方地壳厚度约为51 km，显示出较明显的地壳增厚特征，与祁连山区域背景相符合。Vp/Vs、约为1.71，处于大陆地壳常见范围内。H–κ高值区具有一定斜向展布特征，反映地壳厚度与 Vp/Vs之间存在一定参数权衡，因此结果应结合其不确定度进行解释。</w:t>
      </w:r>
      <w:r>
        <w:rPr>
          <w:rFonts w:hint="default"/>
          <w:lang w:val="en-US" w:eastAsia="zh-CN"/>
        </w:rPr>
        <w:t>改变 H–κ 搜索范围后，主叠加峰位置基本稳定，说明所得地壳厚度及 Vp/Vs结果对搜索参数的依赖较弱。</w:t>
      </w:r>
    </w:p>
    <w:p w14:paraId="7D79598F">
      <w:pPr>
        <w:ind w:left="0" w:leftChars="0" w:firstLine="0" w:firstLineChars="0"/>
        <w:jc w:val="center"/>
        <w:rPr>
          <w:rFonts w:hint="default"/>
          <w:lang w:val="en-US" w:eastAsia="zh-CN"/>
        </w:rPr>
      </w:pPr>
      <w:r>
        <w:rPr>
          <w:rFonts w:hint="default"/>
          <w:lang w:val="en-US" w:eastAsia="zh-CN"/>
        </w:rPr>
        <w:drawing>
          <wp:inline distT="0" distB="0" distL="114300" distR="114300">
            <wp:extent cx="2235200" cy="2317115"/>
            <wp:effectExtent l="0" t="0" r="0" b="1968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17"/>
                    <a:stretch>
                      <a:fillRect/>
                    </a:stretch>
                  </pic:blipFill>
                  <pic:spPr>
                    <a:xfrm>
                      <a:off x="0" y="0"/>
                      <a:ext cx="2235200" cy="2317115"/>
                    </a:xfrm>
                    <a:prstGeom prst="rect">
                      <a:avLst/>
                    </a:prstGeom>
                    <a:noFill/>
                    <a:ln>
                      <a:noFill/>
                    </a:ln>
                  </pic:spPr>
                </pic:pic>
              </a:graphicData>
            </a:graphic>
          </wp:inline>
        </w:drawing>
      </w:r>
    </w:p>
    <w:p w14:paraId="52BEEAFE">
      <w:pPr>
        <w:pStyle w:val="9"/>
        <w:ind w:left="0" w:leftChars="0" w:firstLine="0" w:firstLineChars="0"/>
        <w:jc w:val="center"/>
        <w:rPr>
          <w:rFonts w:hint="eastAsia"/>
          <w:lang w:val="en-US" w:eastAsia="zh-CN"/>
        </w:rPr>
      </w:pPr>
      <w:bookmarkStart w:id="25" w:name="_Ref344543933"/>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25"/>
      <w:bookmarkStart w:id="26" w:name="_Toc877924528"/>
      <w:r>
        <w:rPr>
          <w:rFonts w:hint="eastAsia"/>
          <w:lang w:val="en-US" w:eastAsia="zh-CN"/>
        </w:rPr>
        <w:t xml:space="preserve"> 30384 台站接收函数 H–κ 叠加结果（左）及其参数设置（右）</w:t>
      </w:r>
      <w:bookmarkEnd w:id="26"/>
    </w:p>
    <w:p w14:paraId="4BEFC7BB">
      <w:pPr>
        <w:numPr>
          <w:ilvl w:val="0"/>
          <w:numId w:val="6"/>
        </w:numPr>
        <w:ind w:left="0" w:leftChars="0" w:firstLine="0" w:firstLineChars="0"/>
        <w:rPr>
          <w:rFonts w:hint="eastAsia"/>
          <w:b/>
          <w:bCs/>
          <w:lang w:val="en-US" w:eastAsia="zh-CN"/>
        </w:rPr>
      </w:pPr>
      <w:r>
        <w:rPr>
          <w:rFonts w:hint="eastAsia"/>
          <w:b/>
          <w:bCs/>
          <w:lang w:val="en-US" w:eastAsia="zh-CN"/>
        </w:rPr>
        <w:t>全台站数据H–κ 叠加结果分析</w:t>
      </w:r>
    </w:p>
    <w:p w14:paraId="211E5478">
      <w:pPr>
        <w:numPr>
          <w:ilvl w:val="0"/>
          <w:numId w:val="0"/>
        </w:numPr>
        <w:ind w:leftChars="0" w:firstLine="420" w:firstLineChars="200"/>
        <w:rPr>
          <w:rFonts w:hint="eastAsia"/>
          <w:lang w:val="en-US" w:eastAsia="zh-CN"/>
        </w:rPr>
      </w:pPr>
      <w:r>
        <w:rPr>
          <w:rFonts w:hint="eastAsia"/>
          <w:lang w:val="en-US" w:eastAsia="zh-CN"/>
        </w:rPr>
        <w:t>本实验设置质量控制指标为Hstd（即Standard Deviation of H，地壳厚度的标准差）≤8 km，kstd（即Standard Deviation of κ，波速比的标准差）≤0.20，即只要 Hstd &gt; 8 km 或 kstd &gt; 0.20，该台站即被剔除。统计得到的结果（如</w:t>
      </w:r>
      <w:r>
        <w:rPr>
          <w:rFonts w:hint="eastAsia"/>
          <w:lang w:val="en-US" w:eastAsia="zh-CN"/>
        </w:rPr>
        <w:fldChar w:fldCharType="begin"/>
      </w:r>
      <w:r>
        <w:rPr>
          <w:rFonts w:hint="eastAsia"/>
          <w:lang w:val="en-US" w:eastAsia="zh-CN"/>
        </w:rPr>
        <w:instrText xml:space="preserve"> REF _Ref358897111 \h </w:instrText>
      </w:r>
      <w:r>
        <w:rPr>
          <w:rFonts w:hint="eastAsia"/>
          <w:lang w:val="en-US" w:eastAsia="zh-CN"/>
        </w:rPr>
        <w:fldChar w:fldCharType="separate"/>
      </w:r>
      <w:r>
        <w:t xml:space="preserve">表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val="en-US" w:eastAsia="zh-CN"/>
        </w:rPr>
        <w:fldChar w:fldCharType="end"/>
      </w:r>
      <w:r>
        <w:rPr>
          <w:rFonts w:hint="eastAsia"/>
          <w:lang w:val="en-US" w:eastAsia="zh-CN"/>
        </w:rPr>
        <w:t>），可见，本批 H–κ 结果中主要的质量限制来自 H 的不确定度较大。并且统计中的离散程度采用样本标准差（n−1）表征。</w:t>
      </w:r>
    </w:p>
    <w:p w14:paraId="32A7B0C5">
      <w:pPr>
        <w:numPr>
          <w:ilvl w:val="0"/>
          <w:numId w:val="0"/>
        </w:numPr>
        <w:ind w:leftChars="0" w:firstLine="420" w:firstLineChars="200"/>
        <w:rPr>
          <w:rFonts w:hint="default"/>
          <w:lang w:val="en-US" w:eastAsia="zh-CN"/>
        </w:rPr>
      </w:pPr>
      <w:r>
        <w:rPr>
          <w:rFonts w:hint="default"/>
          <w:lang w:val="en-US" w:eastAsia="zh-CN"/>
        </w:rPr>
        <w:t>经质量控制后共获得53个较可靠H–κ结果</w:t>
      </w:r>
      <w:r>
        <w:rPr>
          <w:rFonts w:hint="eastAsia"/>
          <w:lang w:val="en-US" w:eastAsia="zh-CN"/>
        </w:rPr>
        <w:t>（如</w:t>
      </w:r>
      <w:r>
        <w:rPr>
          <w:rFonts w:hint="eastAsia"/>
          <w:lang w:val="en-US" w:eastAsia="zh-CN"/>
        </w:rPr>
        <w:fldChar w:fldCharType="begin"/>
      </w:r>
      <w:r>
        <w:rPr>
          <w:rFonts w:hint="eastAsia"/>
          <w:lang w:val="en-US" w:eastAsia="zh-CN"/>
        </w:rPr>
        <w:instrText xml:space="preserve"> REF _Ref359081988 \h </w:instrText>
      </w:r>
      <w:r>
        <w:rPr>
          <w:rFonts w:hint="eastAsia"/>
          <w:lang w:val="en-US" w:eastAsia="zh-CN"/>
        </w:rPr>
        <w:fldChar w:fldCharType="separate"/>
      </w:r>
      <w:r>
        <w:t xml:space="preserve">表 </w:t>
      </w:r>
      <w:r>
        <w:fldChar w:fldCharType="begin"/>
      </w:r>
      <w:r>
        <w:instrText xml:space="preserve"> STYLEREF 1 \s </w:instrText>
      </w:r>
      <w:r>
        <w:fldChar w:fldCharType="separate"/>
      </w:r>
      <w:r>
        <w:t>6</w:t>
      </w:r>
      <w:r>
        <w:fldChar w:fldCharType="end"/>
      </w:r>
      <w:r>
        <w:rPr>
          <w:rFonts w:hint="eastAsia"/>
          <w:lang w:eastAsia="zh-CN"/>
        </w:rPr>
        <w:t>-</w:t>
      </w:r>
      <w:r>
        <w:t>2</w:t>
      </w:r>
      <w:r>
        <w:rPr>
          <w:rFonts w:hint="eastAsia"/>
          <w:lang w:val="en-US" w:eastAsia="zh-CN"/>
        </w:rPr>
        <w:fldChar w:fldCharType="end"/>
      </w:r>
      <w:r>
        <w:rPr>
          <w:rFonts w:hint="eastAsia"/>
          <w:lang w:val="en-US" w:eastAsia="zh-CN"/>
        </w:rPr>
        <w:t>）</w:t>
      </w:r>
      <w:r>
        <w:rPr>
          <w:rFonts w:hint="default"/>
          <w:lang w:val="en-US" w:eastAsia="zh-CN"/>
        </w:rPr>
        <w:t>。全部53个有效台站的平均地壳厚度为 46.10±9.68 km，平均Vp/Vs为 1.855±0.213。并且按照 50 km 阈值划分后，可识别出两类明显不同的统计群体，</w:t>
      </w:r>
      <w:r>
        <w:rPr>
          <w:rFonts w:hint="eastAsia"/>
          <w:lang w:val="en-US" w:eastAsia="zh-CN"/>
        </w:rPr>
        <w:t>即</w:t>
      </w:r>
      <w:r>
        <w:rPr>
          <w:rFonts w:hint="default"/>
          <w:lang w:val="en-US" w:eastAsia="zh-CN"/>
        </w:rPr>
        <w:t>厚地壳组（55.92±3.94 km）和薄地壳组（38.57±4.59 km）；两组Vp/Vs分别为1.734±0.095和1.947±0.233，显示地壳厚度及波速比沿台阵存在显著横向</w:t>
      </w:r>
      <w:r>
        <w:rPr>
          <w:rFonts w:hint="eastAsia"/>
          <w:lang w:val="en-US" w:eastAsia="zh-CN"/>
        </w:rPr>
        <w:t>差异</w:t>
      </w:r>
      <w:r>
        <w:rPr>
          <w:rFonts w:hint="default"/>
          <w:lang w:val="en-US" w:eastAsia="zh-CN"/>
        </w:rPr>
        <w:t>。</w:t>
      </w:r>
    </w:p>
    <w:p w14:paraId="7926DF0A">
      <w:pPr>
        <w:numPr>
          <w:ilvl w:val="0"/>
          <w:numId w:val="0"/>
        </w:numPr>
        <w:ind w:leftChars="0" w:firstLine="420" w:firstLineChars="200"/>
        <w:rPr>
          <w:rFonts w:hint="eastAsia"/>
          <w:lang w:val="en-US" w:eastAsia="zh-CN"/>
        </w:rPr>
      </w:pPr>
      <w:r>
        <w:rPr>
          <w:rFonts w:hint="eastAsia"/>
          <w:lang w:val="en-US" w:eastAsia="zh-CN"/>
        </w:rPr>
        <w:t>值得一提的是，由于研究区坐标范围已经跨过了祁连山-酒泉盆地的山盆过渡区域，合理推测厚地壳主要位于西南侧祁连山，薄地壳主要位于东北侧酒泉盆地，该推论与 Shen et al. (2020) 的区域密集台阵接收函数结果具有较好的一致性。后者发现祁连冲断带下方Moho平均深度约60 km，并具有明显起伏和分段特征，而北侧阿拉善块体Moho约45 km且较为平坦；河西走廊则构成由北侧薄地壳向祁连山厚地壳过渡的区域</w:t>
      </w:r>
      <w:r>
        <w:rPr>
          <w:rFonts w:hint="default"/>
          <w:vertAlign w:val="superscript"/>
          <w:lang w:val="en-US" w:eastAsia="zh-CN"/>
        </w:rPr>
        <w:t>[2</w:t>
      </w:r>
      <w:r>
        <w:rPr>
          <w:rFonts w:hint="eastAsia"/>
          <w:vertAlign w:val="superscript"/>
          <w:lang w:val="en-US" w:eastAsia="zh-CN"/>
        </w:rPr>
        <w:t>2</w:t>
      </w:r>
      <w:r>
        <w:rPr>
          <w:rFonts w:hint="default"/>
          <w:vertAlign w:val="superscript"/>
          <w:lang w:val="en-US"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_Ref345249827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11</w:t>
      </w:r>
      <w:r>
        <w:rPr>
          <w:rFonts w:hint="eastAsia"/>
          <w:lang w:val="en-US" w:eastAsia="zh-CN"/>
        </w:rPr>
        <w:fldChar w:fldCharType="end"/>
      </w:r>
      <w:r>
        <w:rPr>
          <w:rFonts w:hint="eastAsia"/>
          <w:lang w:val="en-US" w:eastAsia="zh-CN"/>
        </w:rPr>
        <w:t>）。同时我们的实验结果也与野外分析的P波接收函数成像剖面达成了较好一致性（如</w:t>
      </w:r>
      <w:r>
        <w:rPr>
          <w:rFonts w:hint="eastAsia"/>
          <w:lang w:val="en-US" w:eastAsia="zh-CN"/>
        </w:rPr>
        <w:fldChar w:fldCharType="begin"/>
      </w:r>
      <w:r>
        <w:rPr>
          <w:rFonts w:hint="eastAsia"/>
          <w:lang w:val="en-US" w:eastAsia="zh-CN"/>
        </w:rPr>
        <w:instrText xml:space="preserve"> REF _Ref346510352 \h </w:instrText>
      </w:r>
      <w:r>
        <w:rPr>
          <w:rFonts w:hint="eastAsia"/>
          <w:lang w:val="en-US"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12</w:t>
      </w:r>
      <w:r>
        <w:rPr>
          <w:rFonts w:hint="eastAsia"/>
          <w:lang w:val="en-US" w:eastAsia="zh-CN"/>
        </w:rPr>
        <w:fldChar w:fldCharType="end"/>
      </w:r>
      <w:r>
        <w:rPr>
          <w:rFonts w:hint="eastAsia"/>
          <w:lang w:val="en-US" w:eastAsia="zh-CN"/>
        </w:rPr>
        <w:t>），即祁连山处的地壳部分由于增厚导致Moho更深，而酒泉盆地处则较薄，但总体范围都在40-60km之间。但由于目前，初步统计了厚薄地壳空间分布（如</w:t>
      </w:r>
      <w:r>
        <w:rPr>
          <w:rFonts w:hint="eastAsia"/>
          <w:lang w:val="en-US" w:eastAsia="zh-CN"/>
        </w:rPr>
        <w:fldChar w:fldCharType="begin"/>
      </w:r>
      <w:r>
        <w:rPr>
          <w:rFonts w:hint="eastAsia"/>
          <w:lang w:val="en-US" w:eastAsia="zh-CN"/>
        </w:rPr>
        <w:instrText xml:space="preserve"> REF _Ref359350900 \h </w:instrText>
      </w:r>
      <w:r>
        <w:rPr>
          <w:rFonts w:hint="eastAsia"/>
          <w:lang w:val="en-US" w:eastAsia="zh-CN"/>
        </w:rPr>
        <w:fldChar w:fldCharType="separate"/>
      </w:r>
      <w:r>
        <w:t xml:space="preserve">表 </w:t>
      </w:r>
      <w:r>
        <w:fldChar w:fldCharType="begin"/>
      </w:r>
      <w:r>
        <w:instrText xml:space="preserve"> STYLEREF 1 \s </w:instrText>
      </w:r>
      <w:r>
        <w:fldChar w:fldCharType="separate"/>
      </w:r>
      <w:r>
        <w:t>6</w:t>
      </w:r>
      <w:r>
        <w:fldChar w:fldCharType="end"/>
      </w:r>
      <w:r>
        <w:rPr>
          <w:rFonts w:hint="eastAsia"/>
          <w:lang w:eastAsia="zh-CN"/>
        </w:rPr>
        <w:t>-</w:t>
      </w:r>
      <w:r>
        <w:t>3</w:t>
      </w:r>
      <w:r>
        <w:rPr>
          <w:rFonts w:hint="eastAsia"/>
          <w:lang w:val="en-US" w:eastAsia="zh-CN"/>
        </w:rPr>
        <w:fldChar w:fldCharType="end"/>
      </w:r>
      <w:r>
        <w:rPr>
          <w:rFonts w:hint="eastAsia"/>
          <w:lang w:val="en-US" w:eastAsia="zh-CN"/>
        </w:rPr>
        <w:t>），但想得到具体可靠结论还需叠加山盆边界等其他多元信息进行判断，才能够使推论成为可靠的结论。</w:t>
      </w:r>
    </w:p>
    <w:p w14:paraId="0BE665E8">
      <w:pPr>
        <w:numPr>
          <w:ilvl w:val="0"/>
          <w:numId w:val="0"/>
        </w:numPr>
        <w:ind w:leftChars="0" w:firstLine="420" w:firstLineChars="200"/>
        <w:rPr>
          <w:rFonts w:hint="eastAsia"/>
          <w:lang w:val="en-US" w:eastAsia="zh-CN"/>
        </w:rPr>
      </w:pPr>
    </w:p>
    <w:p w14:paraId="13BC00BD">
      <w:pPr>
        <w:pStyle w:val="9"/>
        <w:rPr>
          <w:rFonts w:hint="eastAsia" w:eastAsia="仿宋"/>
          <w:lang w:val="en-US" w:eastAsia="zh-CN"/>
        </w:rPr>
      </w:pPr>
      <w:bookmarkStart w:id="27" w:name="_Ref358897111"/>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27"/>
      <w:bookmarkStart w:id="28" w:name="_Toc601054657"/>
      <w:r>
        <w:rPr>
          <w:rFonts w:hint="eastAsia"/>
          <w:lang w:val="en-US" w:eastAsia="zh-CN"/>
        </w:rPr>
        <w:t xml:space="preserve"> 全台站H–κ叠加结果质量控制统计</w:t>
      </w:r>
      <w:bookmarkEnd w:id="28"/>
    </w:p>
    <w:tbl>
      <w:tblPr>
        <w:tblStyle w:val="2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1"/>
        <w:gridCol w:w="690"/>
        <w:gridCol w:w="1125"/>
      </w:tblGrid>
      <w:tr w14:paraId="477E5EDE">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655F3832">
            <w:pPr>
              <w:numPr>
                <w:ilvl w:val="0"/>
                <w:numId w:val="0"/>
              </w:numPr>
              <w:ind w:leftChars="0"/>
              <w:rPr>
                <w:rFonts w:hint="eastAsia"/>
                <w:b w:val="0"/>
                <w:color w:val="000000"/>
                <w:lang w:val="en-US" w:eastAsia="zh-CN"/>
              </w:rPr>
            </w:pPr>
            <w:r>
              <w:rPr>
                <w:rFonts w:hint="eastAsia"/>
                <w:b w:val="0"/>
                <w:color w:val="000000"/>
                <w:lang w:val="en-US" w:eastAsia="zh-CN"/>
              </w:rPr>
              <w:t>项目</w:t>
            </w:r>
          </w:p>
        </w:tc>
        <w:tc>
          <w:tcPr>
            <w:tcW w:w="0" w:type="auto"/>
            <w:tcBorders>
              <w:top w:val="single" w:color="000000" w:sz="12" w:space="0"/>
              <w:bottom w:val="single" w:color="000000" w:sz="4" w:space="0"/>
            </w:tcBorders>
            <w:shd w:val="clear" w:color="auto" w:fill="FFFFFF"/>
            <w:vAlign w:val="center"/>
          </w:tcPr>
          <w:p w14:paraId="725AB91F">
            <w:pPr>
              <w:numPr>
                <w:ilvl w:val="0"/>
                <w:numId w:val="0"/>
              </w:numPr>
              <w:ind w:leftChars="0"/>
              <w:rPr>
                <w:rFonts w:hint="eastAsia"/>
                <w:b w:val="0"/>
                <w:color w:val="000000"/>
                <w:lang w:val="en-US" w:eastAsia="zh-CN"/>
              </w:rPr>
            </w:pPr>
            <w:r>
              <w:rPr>
                <w:rFonts w:hint="eastAsia"/>
                <w:b w:val="0"/>
                <w:color w:val="000000"/>
                <w:lang w:val="en-US" w:eastAsia="zh-CN"/>
              </w:rPr>
              <w:t>台站数</w:t>
            </w:r>
          </w:p>
        </w:tc>
        <w:tc>
          <w:tcPr>
            <w:tcW w:w="0" w:type="auto"/>
            <w:tcBorders>
              <w:top w:val="single" w:color="000000" w:sz="12" w:space="0"/>
              <w:bottom w:val="single" w:color="000000" w:sz="4" w:space="0"/>
            </w:tcBorders>
            <w:shd w:val="clear" w:color="auto" w:fill="FFFFFF"/>
            <w:vAlign w:val="center"/>
          </w:tcPr>
          <w:p w14:paraId="4471909E">
            <w:pPr>
              <w:numPr>
                <w:ilvl w:val="0"/>
                <w:numId w:val="0"/>
              </w:numPr>
              <w:ind w:leftChars="0"/>
              <w:rPr>
                <w:rFonts w:hint="eastAsia"/>
                <w:b w:val="0"/>
                <w:color w:val="000000"/>
                <w:lang w:val="en-US" w:eastAsia="zh-CN"/>
              </w:rPr>
            </w:pPr>
            <w:r>
              <w:rPr>
                <w:rFonts w:hint="eastAsia"/>
                <w:b w:val="0"/>
                <w:color w:val="000000"/>
                <w:lang w:val="en-US" w:eastAsia="zh-CN"/>
              </w:rPr>
              <w:t>占原始数据</w:t>
            </w:r>
          </w:p>
        </w:tc>
      </w:tr>
      <w:tr w14:paraId="2C1AE836">
        <w:trPr>
          <w:tblCellSpacing w:w="15" w:type="dxa"/>
          <w:jc w:val="center"/>
        </w:trPr>
        <w:tc>
          <w:tcPr>
            <w:tcW w:w="0" w:type="auto"/>
            <w:tcBorders>
              <w:top w:val="nil"/>
            </w:tcBorders>
            <w:shd w:val="clear" w:color="auto" w:fill="FFFFFF"/>
            <w:vAlign w:val="center"/>
          </w:tcPr>
          <w:p w14:paraId="24C32FDF">
            <w:pPr>
              <w:numPr>
                <w:ilvl w:val="0"/>
                <w:numId w:val="0"/>
              </w:numPr>
              <w:ind w:leftChars="0"/>
              <w:rPr>
                <w:rFonts w:hint="eastAsia"/>
                <w:b w:val="0"/>
                <w:color w:val="000000"/>
                <w:lang w:val="en-US" w:eastAsia="zh-CN"/>
              </w:rPr>
            </w:pPr>
            <w:r>
              <w:rPr>
                <w:rFonts w:hint="eastAsia"/>
                <w:b w:val="0"/>
                <w:color w:val="000000"/>
                <w:lang w:val="en-US" w:eastAsia="zh-CN"/>
              </w:rPr>
              <w:t>原始台站</w:t>
            </w:r>
          </w:p>
        </w:tc>
        <w:tc>
          <w:tcPr>
            <w:tcW w:w="0" w:type="auto"/>
            <w:tcBorders>
              <w:top w:val="nil"/>
            </w:tcBorders>
            <w:shd w:val="clear" w:color="auto" w:fill="FFFFFF"/>
            <w:vAlign w:val="center"/>
          </w:tcPr>
          <w:p w14:paraId="434E8ED8">
            <w:pPr>
              <w:numPr>
                <w:ilvl w:val="0"/>
                <w:numId w:val="0"/>
              </w:numPr>
              <w:ind w:leftChars="0"/>
              <w:rPr>
                <w:rFonts w:hint="eastAsia"/>
                <w:b w:val="0"/>
                <w:color w:val="000000"/>
                <w:lang w:val="en-US" w:eastAsia="zh-CN"/>
              </w:rPr>
            </w:pPr>
            <w:r>
              <w:rPr>
                <w:rFonts w:hint="eastAsia"/>
                <w:b w:val="0"/>
                <w:color w:val="000000"/>
                <w:lang w:val="en-US" w:eastAsia="zh-CN"/>
              </w:rPr>
              <w:t>140</w:t>
            </w:r>
          </w:p>
        </w:tc>
        <w:tc>
          <w:tcPr>
            <w:tcW w:w="0" w:type="auto"/>
            <w:tcBorders>
              <w:top w:val="nil"/>
            </w:tcBorders>
            <w:shd w:val="clear" w:color="auto" w:fill="FFFFFF"/>
            <w:vAlign w:val="center"/>
          </w:tcPr>
          <w:p w14:paraId="28DCC23B">
            <w:pPr>
              <w:numPr>
                <w:ilvl w:val="0"/>
                <w:numId w:val="0"/>
              </w:numPr>
              <w:ind w:leftChars="0"/>
              <w:rPr>
                <w:rFonts w:hint="eastAsia"/>
                <w:b w:val="0"/>
                <w:color w:val="000000"/>
                <w:lang w:val="en-US" w:eastAsia="zh-CN"/>
              </w:rPr>
            </w:pPr>
            <w:r>
              <w:rPr>
                <w:rFonts w:hint="eastAsia"/>
                <w:b w:val="0"/>
                <w:color w:val="000000"/>
                <w:lang w:val="en-US" w:eastAsia="zh-CN"/>
              </w:rPr>
              <w:t>100%</w:t>
            </w:r>
          </w:p>
        </w:tc>
      </w:tr>
      <w:tr w14:paraId="0F3CD860">
        <w:trPr>
          <w:tblCellSpacing w:w="15" w:type="dxa"/>
          <w:jc w:val="center"/>
        </w:trPr>
        <w:tc>
          <w:tcPr>
            <w:tcW w:w="0" w:type="auto"/>
            <w:shd w:val="clear" w:color="auto" w:fill="FFFFFF"/>
            <w:vAlign w:val="center"/>
          </w:tcPr>
          <w:p w14:paraId="5D7F0683">
            <w:pPr>
              <w:numPr>
                <w:ilvl w:val="0"/>
                <w:numId w:val="0"/>
              </w:numPr>
              <w:ind w:leftChars="0"/>
              <w:rPr>
                <w:rFonts w:hint="eastAsia"/>
                <w:b w:val="0"/>
                <w:color w:val="000000"/>
                <w:lang w:val="en-US" w:eastAsia="zh-CN"/>
              </w:rPr>
            </w:pPr>
            <w:r>
              <w:rPr>
                <w:rFonts w:hint="eastAsia"/>
                <w:b w:val="0"/>
                <w:color w:val="000000"/>
                <w:lang w:val="en-US" w:eastAsia="zh-CN"/>
              </w:rPr>
              <w:t>通过质量控制</w:t>
            </w:r>
          </w:p>
        </w:tc>
        <w:tc>
          <w:tcPr>
            <w:tcW w:w="0" w:type="auto"/>
            <w:shd w:val="clear" w:color="auto" w:fill="FFFFFF"/>
            <w:vAlign w:val="center"/>
          </w:tcPr>
          <w:p w14:paraId="4F65DA70">
            <w:pPr>
              <w:numPr>
                <w:ilvl w:val="0"/>
                <w:numId w:val="0"/>
              </w:numPr>
              <w:ind w:leftChars="0"/>
              <w:rPr>
                <w:rFonts w:hint="eastAsia"/>
                <w:b w:val="0"/>
                <w:color w:val="000000"/>
                <w:lang w:val="en-US" w:eastAsia="zh-CN"/>
              </w:rPr>
            </w:pPr>
            <w:r>
              <w:rPr>
                <w:rFonts w:hint="eastAsia"/>
                <w:b w:val="0"/>
                <w:color w:val="000000"/>
                <w:lang w:val="en-US" w:eastAsia="zh-CN"/>
              </w:rPr>
              <w:t>53</w:t>
            </w:r>
          </w:p>
        </w:tc>
        <w:tc>
          <w:tcPr>
            <w:tcW w:w="0" w:type="auto"/>
            <w:shd w:val="clear" w:color="auto" w:fill="FFFFFF"/>
            <w:vAlign w:val="center"/>
          </w:tcPr>
          <w:p w14:paraId="381615FA">
            <w:pPr>
              <w:numPr>
                <w:ilvl w:val="0"/>
                <w:numId w:val="0"/>
              </w:numPr>
              <w:ind w:leftChars="0"/>
              <w:rPr>
                <w:rFonts w:hint="eastAsia"/>
                <w:b w:val="0"/>
                <w:color w:val="000000"/>
                <w:lang w:val="en-US" w:eastAsia="zh-CN"/>
              </w:rPr>
            </w:pPr>
            <w:r>
              <w:rPr>
                <w:rFonts w:hint="eastAsia"/>
                <w:b w:val="0"/>
                <w:color w:val="000000"/>
                <w:lang w:val="en-US" w:eastAsia="zh-CN"/>
              </w:rPr>
              <w:t>37.9%</w:t>
            </w:r>
          </w:p>
        </w:tc>
      </w:tr>
      <w:tr w14:paraId="63B0645A">
        <w:trPr>
          <w:tblCellSpacing w:w="15" w:type="dxa"/>
          <w:jc w:val="center"/>
        </w:trPr>
        <w:tc>
          <w:tcPr>
            <w:tcW w:w="0" w:type="auto"/>
            <w:shd w:val="clear" w:color="auto" w:fill="FFFFFF"/>
            <w:vAlign w:val="center"/>
          </w:tcPr>
          <w:p w14:paraId="249CACFB">
            <w:pPr>
              <w:numPr>
                <w:ilvl w:val="0"/>
                <w:numId w:val="0"/>
              </w:numPr>
              <w:ind w:leftChars="0"/>
              <w:rPr>
                <w:rFonts w:hint="eastAsia"/>
                <w:b w:val="0"/>
                <w:color w:val="000000"/>
                <w:lang w:val="en-US" w:eastAsia="zh-CN"/>
              </w:rPr>
            </w:pPr>
            <w:r>
              <w:rPr>
                <w:rFonts w:hint="eastAsia"/>
                <w:b w:val="0"/>
                <w:color w:val="000000"/>
                <w:lang w:val="en-US" w:eastAsia="zh-CN"/>
              </w:rPr>
              <w:t>剔除</w:t>
            </w:r>
          </w:p>
        </w:tc>
        <w:tc>
          <w:tcPr>
            <w:tcW w:w="0" w:type="auto"/>
            <w:shd w:val="clear" w:color="auto" w:fill="FFFFFF"/>
            <w:vAlign w:val="center"/>
          </w:tcPr>
          <w:p w14:paraId="1583B279">
            <w:pPr>
              <w:numPr>
                <w:ilvl w:val="0"/>
                <w:numId w:val="0"/>
              </w:numPr>
              <w:ind w:leftChars="0"/>
              <w:rPr>
                <w:rFonts w:hint="eastAsia"/>
                <w:b w:val="0"/>
                <w:color w:val="000000"/>
                <w:lang w:val="en-US" w:eastAsia="zh-CN"/>
              </w:rPr>
            </w:pPr>
            <w:r>
              <w:rPr>
                <w:rFonts w:hint="eastAsia"/>
                <w:b w:val="0"/>
                <w:color w:val="000000"/>
                <w:lang w:val="en-US" w:eastAsia="zh-CN"/>
              </w:rPr>
              <w:t>87</w:t>
            </w:r>
          </w:p>
        </w:tc>
        <w:tc>
          <w:tcPr>
            <w:tcW w:w="0" w:type="auto"/>
            <w:shd w:val="clear" w:color="auto" w:fill="FFFFFF"/>
            <w:vAlign w:val="center"/>
          </w:tcPr>
          <w:p w14:paraId="37682180">
            <w:pPr>
              <w:numPr>
                <w:ilvl w:val="0"/>
                <w:numId w:val="0"/>
              </w:numPr>
              <w:ind w:leftChars="0"/>
              <w:rPr>
                <w:rFonts w:hint="eastAsia"/>
                <w:b w:val="0"/>
                <w:color w:val="000000"/>
                <w:lang w:val="en-US" w:eastAsia="zh-CN"/>
              </w:rPr>
            </w:pPr>
            <w:r>
              <w:rPr>
                <w:rFonts w:hint="eastAsia"/>
                <w:b w:val="0"/>
                <w:color w:val="000000"/>
                <w:lang w:val="en-US" w:eastAsia="zh-CN"/>
              </w:rPr>
              <w:t>62.1%</w:t>
            </w:r>
          </w:p>
        </w:tc>
      </w:tr>
      <w:tr w14:paraId="0071F446">
        <w:trPr>
          <w:tblCellSpacing w:w="15" w:type="dxa"/>
          <w:jc w:val="center"/>
        </w:trPr>
        <w:tc>
          <w:tcPr>
            <w:tcW w:w="0" w:type="auto"/>
            <w:shd w:val="clear" w:color="auto" w:fill="FFFFFF"/>
            <w:vAlign w:val="center"/>
          </w:tcPr>
          <w:p w14:paraId="3FE2B0B8">
            <w:pPr>
              <w:numPr>
                <w:ilvl w:val="0"/>
                <w:numId w:val="0"/>
              </w:numPr>
              <w:ind w:leftChars="0"/>
              <w:rPr>
                <w:rFonts w:hint="eastAsia"/>
                <w:b w:val="0"/>
                <w:color w:val="000000"/>
                <w:lang w:val="en-US" w:eastAsia="zh-CN"/>
              </w:rPr>
            </w:pPr>
            <w:r>
              <w:rPr>
                <w:rFonts w:hint="eastAsia"/>
                <w:b w:val="0"/>
                <w:color w:val="000000"/>
                <w:lang w:val="en-US" w:eastAsia="zh-CN"/>
              </w:rPr>
              <w:t>仅因 Hstd &gt; 8 km 被剔除</w:t>
            </w:r>
          </w:p>
        </w:tc>
        <w:tc>
          <w:tcPr>
            <w:tcW w:w="0" w:type="auto"/>
            <w:shd w:val="clear" w:color="auto" w:fill="FFFFFF"/>
            <w:vAlign w:val="center"/>
          </w:tcPr>
          <w:p w14:paraId="31C9633D">
            <w:pPr>
              <w:numPr>
                <w:ilvl w:val="0"/>
                <w:numId w:val="0"/>
              </w:numPr>
              <w:ind w:leftChars="0"/>
              <w:rPr>
                <w:rFonts w:hint="eastAsia"/>
                <w:b w:val="0"/>
                <w:color w:val="000000"/>
                <w:lang w:val="en-US" w:eastAsia="zh-CN"/>
              </w:rPr>
            </w:pPr>
            <w:r>
              <w:rPr>
                <w:rFonts w:hint="eastAsia"/>
                <w:b w:val="0"/>
                <w:color w:val="000000"/>
                <w:lang w:val="en-US" w:eastAsia="zh-CN"/>
              </w:rPr>
              <w:t>55</w:t>
            </w:r>
          </w:p>
        </w:tc>
        <w:tc>
          <w:tcPr>
            <w:tcW w:w="0" w:type="auto"/>
            <w:shd w:val="clear" w:color="auto" w:fill="FFFFFF"/>
            <w:vAlign w:val="center"/>
          </w:tcPr>
          <w:p w14:paraId="68CAF47D">
            <w:pPr>
              <w:numPr>
                <w:ilvl w:val="0"/>
                <w:numId w:val="0"/>
              </w:numPr>
              <w:ind w:leftChars="0"/>
              <w:rPr>
                <w:rFonts w:hint="eastAsia"/>
                <w:b w:val="0"/>
                <w:color w:val="000000"/>
                <w:lang w:val="en-US" w:eastAsia="zh-CN"/>
              </w:rPr>
            </w:pPr>
            <w:r>
              <w:rPr>
                <w:rFonts w:hint="eastAsia"/>
                <w:b w:val="0"/>
                <w:color w:val="000000"/>
                <w:lang w:val="en-US" w:eastAsia="zh-CN"/>
              </w:rPr>
              <w:t>39.3%</w:t>
            </w:r>
          </w:p>
        </w:tc>
      </w:tr>
      <w:tr w14:paraId="6838BA58">
        <w:trPr>
          <w:tblCellSpacing w:w="15" w:type="dxa"/>
          <w:jc w:val="center"/>
        </w:trPr>
        <w:tc>
          <w:tcPr>
            <w:tcW w:w="0" w:type="auto"/>
            <w:shd w:val="clear" w:color="auto" w:fill="FFFFFF"/>
            <w:vAlign w:val="center"/>
          </w:tcPr>
          <w:p w14:paraId="4CF1B6FC">
            <w:pPr>
              <w:numPr>
                <w:ilvl w:val="0"/>
                <w:numId w:val="0"/>
              </w:numPr>
              <w:ind w:leftChars="0"/>
              <w:rPr>
                <w:rFonts w:hint="eastAsia"/>
                <w:b w:val="0"/>
                <w:color w:val="000000"/>
                <w:lang w:val="en-US" w:eastAsia="zh-CN"/>
              </w:rPr>
            </w:pPr>
            <w:r>
              <w:rPr>
                <w:rFonts w:hint="eastAsia"/>
                <w:b w:val="0"/>
                <w:color w:val="000000"/>
                <w:lang w:val="en-US" w:eastAsia="zh-CN"/>
              </w:rPr>
              <w:t>仅因 kstd &gt; 0.20 被剔除</w:t>
            </w:r>
          </w:p>
        </w:tc>
        <w:tc>
          <w:tcPr>
            <w:tcW w:w="0" w:type="auto"/>
            <w:shd w:val="clear" w:color="auto" w:fill="FFFFFF"/>
            <w:vAlign w:val="center"/>
          </w:tcPr>
          <w:p w14:paraId="670704EC">
            <w:pPr>
              <w:numPr>
                <w:ilvl w:val="0"/>
                <w:numId w:val="0"/>
              </w:numPr>
              <w:ind w:leftChars="0"/>
              <w:rPr>
                <w:rFonts w:hint="eastAsia"/>
                <w:b w:val="0"/>
                <w:color w:val="000000"/>
                <w:lang w:val="en-US" w:eastAsia="zh-CN"/>
              </w:rPr>
            </w:pPr>
            <w:r>
              <w:rPr>
                <w:rFonts w:hint="eastAsia"/>
                <w:b w:val="0"/>
                <w:color w:val="000000"/>
                <w:lang w:val="en-US" w:eastAsia="zh-CN"/>
              </w:rPr>
              <w:t>7</w:t>
            </w:r>
          </w:p>
        </w:tc>
        <w:tc>
          <w:tcPr>
            <w:tcW w:w="0" w:type="auto"/>
            <w:shd w:val="clear" w:color="auto" w:fill="FFFFFF"/>
            <w:vAlign w:val="center"/>
          </w:tcPr>
          <w:p w14:paraId="43A8FBE4">
            <w:pPr>
              <w:numPr>
                <w:ilvl w:val="0"/>
                <w:numId w:val="0"/>
              </w:numPr>
              <w:ind w:leftChars="0"/>
              <w:rPr>
                <w:rFonts w:hint="eastAsia"/>
                <w:b w:val="0"/>
                <w:color w:val="000000"/>
                <w:lang w:val="en-US" w:eastAsia="zh-CN"/>
              </w:rPr>
            </w:pPr>
            <w:r>
              <w:rPr>
                <w:rFonts w:hint="eastAsia"/>
                <w:b w:val="0"/>
                <w:color w:val="000000"/>
                <w:lang w:val="en-US" w:eastAsia="zh-CN"/>
              </w:rPr>
              <w:t>5.0%</w:t>
            </w:r>
          </w:p>
        </w:tc>
      </w:tr>
      <w:tr w14:paraId="34B5576E">
        <w:trPr>
          <w:tblCellSpacing w:w="15" w:type="dxa"/>
          <w:jc w:val="center"/>
        </w:trPr>
        <w:tc>
          <w:tcPr>
            <w:tcW w:w="0" w:type="auto"/>
            <w:tcBorders>
              <w:bottom w:val="single" w:color="000000" w:sz="12" w:space="0"/>
            </w:tcBorders>
            <w:shd w:val="clear" w:color="auto" w:fill="FFFFFF"/>
            <w:vAlign w:val="center"/>
          </w:tcPr>
          <w:p w14:paraId="5424C87E">
            <w:pPr>
              <w:numPr>
                <w:ilvl w:val="0"/>
                <w:numId w:val="0"/>
              </w:numPr>
              <w:ind w:leftChars="0"/>
              <w:rPr>
                <w:rFonts w:hint="eastAsia"/>
                <w:b w:val="0"/>
                <w:color w:val="000000"/>
                <w:lang w:val="en-US" w:eastAsia="zh-CN"/>
              </w:rPr>
            </w:pPr>
            <w:r>
              <w:rPr>
                <w:rFonts w:hint="eastAsia"/>
                <w:b w:val="0"/>
                <w:color w:val="000000"/>
                <w:lang w:val="en-US" w:eastAsia="zh-CN"/>
              </w:rPr>
              <w:t>Hstd、kstd 均超限</w:t>
            </w:r>
          </w:p>
        </w:tc>
        <w:tc>
          <w:tcPr>
            <w:tcW w:w="0" w:type="auto"/>
            <w:tcBorders>
              <w:bottom w:val="single" w:color="000000" w:sz="12" w:space="0"/>
            </w:tcBorders>
            <w:shd w:val="clear" w:color="auto" w:fill="FFFFFF"/>
            <w:vAlign w:val="center"/>
          </w:tcPr>
          <w:p w14:paraId="0F7686E4">
            <w:pPr>
              <w:numPr>
                <w:ilvl w:val="0"/>
                <w:numId w:val="0"/>
              </w:numPr>
              <w:ind w:leftChars="0"/>
              <w:rPr>
                <w:rFonts w:hint="eastAsia"/>
                <w:b w:val="0"/>
                <w:color w:val="000000"/>
                <w:lang w:val="en-US" w:eastAsia="zh-CN"/>
              </w:rPr>
            </w:pPr>
            <w:r>
              <w:rPr>
                <w:rFonts w:hint="eastAsia"/>
                <w:b w:val="0"/>
                <w:color w:val="000000"/>
                <w:lang w:val="en-US" w:eastAsia="zh-CN"/>
              </w:rPr>
              <w:t>25</w:t>
            </w:r>
          </w:p>
        </w:tc>
        <w:tc>
          <w:tcPr>
            <w:tcW w:w="0" w:type="auto"/>
            <w:tcBorders>
              <w:bottom w:val="single" w:color="000000" w:sz="12" w:space="0"/>
            </w:tcBorders>
            <w:shd w:val="clear" w:color="auto" w:fill="FFFFFF"/>
            <w:vAlign w:val="center"/>
          </w:tcPr>
          <w:p w14:paraId="78FC6D07">
            <w:pPr>
              <w:numPr>
                <w:ilvl w:val="0"/>
                <w:numId w:val="0"/>
              </w:numPr>
              <w:ind w:leftChars="0"/>
              <w:rPr>
                <w:rFonts w:hint="eastAsia"/>
                <w:b w:val="0"/>
                <w:color w:val="000000"/>
                <w:lang w:val="en-US" w:eastAsia="zh-CN"/>
              </w:rPr>
            </w:pPr>
            <w:r>
              <w:rPr>
                <w:rFonts w:hint="eastAsia"/>
                <w:b w:val="0"/>
                <w:color w:val="000000"/>
                <w:lang w:val="en-US" w:eastAsia="zh-CN"/>
              </w:rPr>
              <w:t>17.9%</w:t>
            </w:r>
          </w:p>
        </w:tc>
      </w:tr>
    </w:tbl>
    <w:p w14:paraId="69072A16">
      <w:pPr>
        <w:numPr>
          <w:ilvl w:val="0"/>
          <w:numId w:val="0"/>
        </w:numPr>
        <w:ind w:leftChars="0"/>
        <w:rPr>
          <w:rFonts w:hint="eastAsia"/>
          <w:lang w:val="en-US" w:eastAsia="zh-CN"/>
        </w:rPr>
      </w:pPr>
    </w:p>
    <w:p w14:paraId="66628042">
      <w:pPr>
        <w:pStyle w:val="9"/>
      </w:pPr>
    </w:p>
    <w:p w14:paraId="66BC42ED">
      <w:pPr>
        <w:pStyle w:val="9"/>
      </w:pPr>
    </w:p>
    <w:p w14:paraId="6D6691C1">
      <w:pPr>
        <w:pStyle w:val="9"/>
      </w:pPr>
    </w:p>
    <w:p w14:paraId="4FFF6F89">
      <w:pPr>
        <w:pStyle w:val="9"/>
      </w:pPr>
    </w:p>
    <w:p w14:paraId="1128CC41">
      <w:pPr>
        <w:pStyle w:val="9"/>
        <w:jc w:val="both"/>
      </w:pPr>
    </w:p>
    <w:p w14:paraId="74D51438">
      <w:pPr>
        <w:pStyle w:val="9"/>
      </w:pPr>
    </w:p>
    <w:p w14:paraId="4EBCFEB2">
      <w:pPr>
        <w:pStyle w:val="9"/>
        <w:rPr>
          <w:rFonts w:hint="eastAsia" w:eastAsia="仿宋"/>
          <w:lang w:val="en-US" w:eastAsia="zh-CN"/>
        </w:rPr>
      </w:pPr>
      <w:bookmarkStart w:id="29" w:name="_Ref359081988"/>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9"/>
      <w:bookmarkStart w:id="30" w:name="_Toc289758793"/>
      <w:r>
        <w:rPr>
          <w:rFonts w:hint="eastAsia"/>
          <w:lang w:val="en-US" w:eastAsia="zh-CN"/>
        </w:rPr>
        <w:t xml:space="preserve"> 质量控制后H–κ叠加结果分组统计</w:t>
      </w:r>
      <w:bookmarkEnd w:id="30"/>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7"/>
        <w:gridCol w:w="1315"/>
        <w:gridCol w:w="1146"/>
        <w:gridCol w:w="1772"/>
        <w:gridCol w:w="1544"/>
        <w:gridCol w:w="1608"/>
      </w:tblGrid>
      <w:tr w14:paraId="54115FF0">
        <w:trPr>
          <w:tblHeader/>
          <w:tblCellSpacing w:w="15" w:type="dxa"/>
        </w:trPr>
        <w:tc>
          <w:tcPr>
            <w:tcW w:w="1432" w:type="dxa"/>
            <w:tcBorders>
              <w:top w:val="single" w:color="000000" w:sz="12" w:space="0"/>
              <w:bottom w:val="single" w:color="000000" w:sz="4" w:space="0"/>
              <w:tl2br w:val="nil"/>
            </w:tcBorders>
            <w:shd w:val="clear" w:color="auto" w:fill="FFFFFF"/>
            <w:vAlign w:val="center"/>
          </w:tcPr>
          <w:p w14:paraId="7F572667">
            <w:pPr>
              <w:numPr>
                <w:ilvl w:val="0"/>
                <w:numId w:val="0"/>
              </w:numPr>
              <w:ind w:leftChars="0"/>
              <w:rPr>
                <w:rFonts w:hint="default"/>
                <w:b w:val="0"/>
                <w:color w:val="000000"/>
                <w:lang w:val="en-US" w:eastAsia="zh-CN"/>
              </w:rPr>
            </w:pPr>
            <w:r>
              <w:rPr>
                <w:rFonts w:hint="default"/>
                <w:b w:val="0"/>
                <w:color w:val="000000"/>
                <w:lang w:val="en-US" w:eastAsia="zh-CN"/>
              </w:rPr>
              <w:t>类别</w:t>
            </w:r>
          </w:p>
        </w:tc>
        <w:tc>
          <w:tcPr>
            <w:tcW w:w="1285" w:type="dxa"/>
            <w:tcBorders>
              <w:top w:val="single" w:color="000000" w:sz="12" w:space="0"/>
              <w:bottom w:val="single" w:color="000000" w:sz="4" w:space="0"/>
            </w:tcBorders>
            <w:shd w:val="clear" w:color="auto" w:fill="FFFFFF"/>
            <w:vAlign w:val="center"/>
          </w:tcPr>
          <w:p w14:paraId="3830F08E">
            <w:pPr>
              <w:numPr>
                <w:ilvl w:val="0"/>
                <w:numId w:val="0"/>
              </w:numPr>
              <w:ind w:leftChars="0"/>
              <w:rPr>
                <w:rFonts w:hint="default"/>
                <w:b w:val="0"/>
                <w:color w:val="000000"/>
                <w:lang w:val="en-US" w:eastAsia="zh-CN"/>
              </w:rPr>
            </w:pPr>
            <w:r>
              <w:rPr>
                <w:rFonts w:hint="default"/>
                <w:b w:val="0"/>
                <w:color w:val="000000"/>
                <w:lang w:val="en-US" w:eastAsia="zh-CN"/>
              </w:rPr>
              <w:t>H划分</w:t>
            </w:r>
          </w:p>
        </w:tc>
        <w:tc>
          <w:tcPr>
            <w:tcW w:w="1116" w:type="dxa"/>
            <w:tcBorders>
              <w:top w:val="single" w:color="000000" w:sz="12" w:space="0"/>
              <w:bottom w:val="single" w:color="000000" w:sz="4" w:space="0"/>
            </w:tcBorders>
            <w:shd w:val="clear" w:color="auto" w:fill="FFFFFF"/>
            <w:vAlign w:val="center"/>
          </w:tcPr>
          <w:p w14:paraId="3A145EB7">
            <w:pPr>
              <w:numPr>
                <w:ilvl w:val="0"/>
                <w:numId w:val="0"/>
              </w:numPr>
              <w:ind w:leftChars="0"/>
              <w:rPr>
                <w:rFonts w:hint="default"/>
                <w:b w:val="0"/>
                <w:color w:val="000000"/>
                <w:lang w:val="en-US" w:eastAsia="zh-CN"/>
              </w:rPr>
            </w:pPr>
            <w:r>
              <w:rPr>
                <w:rFonts w:hint="default"/>
                <w:b w:val="0"/>
                <w:color w:val="000000"/>
                <w:lang w:val="en-US" w:eastAsia="zh-CN"/>
              </w:rPr>
              <w:t>台站数</w:t>
            </w:r>
          </w:p>
        </w:tc>
        <w:tc>
          <w:tcPr>
            <w:tcW w:w="1742" w:type="dxa"/>
            <w:tcBorders>
              <w:top w:val="single" w:color="000000" w:sz="12" w:space="0"/>
              <w:bottom w:val="single" w:color="000000" w:sz="4" w:space="0"/>
            </w:tcBorders>
            <w:shd w:val="clear" w:color="auto" w:fill="FFFFFF"/>
            <w:vAlign w:val="center"/>
          </w:tcPr>
          <w:p w14:paraId="6F13E13E">
            <w:pPr>
              <w:numPr>
                <w:ilvl w:val="0"/>
                <w:numId w:val="0"/>
              </w:numPr>
              <w:ind w:leftChars="0"/>
              <w:rPr>
                <w:rFonts w:hint="default"/>
                <w:b w:val="0"/>
                <w:color w:val="000000"/>
                <w:lang w:val="en-US" w:eastAsia="zh-CN"/>
              </w:rPr>
            </w:pPr>
            <w:r>
              <w:rPr>
                <w:rFonts w:hint="default"/>
                <w:b w:val="0"/>
                <w:color w:val="000000"/>
                <w:lang w:val="en-US" w:eastAsia="zh-CN"/>
              </w:rPr>
              <w:t>H均值 ± 标准差 / km</w:t>
            </w:r>
          </w:p>
        </w:tc>
        <w:tc>
          <w:tcPr>
            <w:tcW w:w="1514" w:type="dxa"/>
            <w:tcBorders>
              <w:top w:val="single" w:color="000000" w:sz="12" w:space="0"/>
              <w:bottom w:val="single" w:color="000000" w:sz="4" w:space="0"/>
            </w:tcBorders>
            <w:shd w:val="clear" w:color="auto" w:fill="FFFFFF"/>
            <w:vAlign w:val="center"/>
          </w:tcPr>
          <w:p w14:paraId="2C87F81E">
            <w:pPr>
              <w:numPr>
                <w:ilvl w:val="0"/>
                <w:numId w:val="0"/>
              </w:numPr>
              <w:ind w:leftChars="0"/>
              <w:rPr>
                <w:rFonts w:hint="default"/>
                <w:b w:val="0"/>
                <w:color w:val="000000"/>
                <w:lang w:val="en-US" w:eastAsia="zh-CN"/>
              </w:rPr>
            </w:pPr>
            <w:r>
              <w:rPr>
                <w:rFonts w:hint="default"/>
                <w:b w:val="0"/>
                <w:color w:val="000000"/>
                <w:lang w:val="en-US" w:eastAsia="zh-CN"/>
              </w:rPr>
              <w:t>H范围 / km</w:t>
            </w:r>
          </w:p>
        </w:tc>
        <w:tc>
          <w:tcPr>
            <w:tcW w:w="0" w:type="auto"/>
            <w:tcBorders>
              <w:top w:val="single" w:color="000000" w:sz="12" w:space="0"/>
              <w:bottom w:val="single" w:color="000000" w:sz="4" w:space="0"/>
            </w:tcBorders>
            <w:shd w:val="clear" w:color="auto" w:fill="FFFFFF"/>
            <w:vAlign w:val="center"/>
          </w:tcPr>
          <w:p w14:paraId="3652EF6D">
            <w:pPr>
              <w:numPr>
                <w:ilvl w:val="0"/>
                <w:numId w:val="0"/>
              </w:numPr>
              <w:ind w:leftChars="0"/>
              <w:rPr>
                <w:rFonts w:hint="default"/>
                <w:b w:val="0"/>
                <w:color w:val="000000"/>
                <w:lang w:val="en-US" w:eastAsia="zh-CN"/>
              </w:rPr>
            </w:pPr>
            <w:r>
              <w:rPr>
                <w:rFonts w:hint="default"/>
                <w:b w:val="0"/>
                <w:color w:val="000000"/>
                <w:lang w:val="en-US" w:eastAsia="zh-CN"/>
              </w:rPr>
              <w:t>k均值 ± 标准差</w:t>
            </w:r>
          </w:p>
        </w:tc>
      </w:tr>
      <w:tr w14:paraId="29225FA2">
        <w:trPr>
          <w:tblHeader/>
          <w:tblCellSpacing w:w="15" w:type="dxa"/>
        </w:trPr>
        <w:tc>
          <w:tcPr>
            <w:tcW w:w="1432" w:type="dxa"/>
            <w:tcBorders>
              <w:top w:val="nil"/>
            </w:tcBorders>
            <w:shd w:val="clear" w:color="auto" w:fill="FFFFFF"/>
            <w:vAlign w:val="center"/>
          </w:tcPr>
          <w:p w14:paraId="0C422FC5">
            <w:pPr>
              <w:numPr>
                <w:ilvl w:val="0"/>
                <w:numId w:val="0"/>
              </w:numPr>
              <w:ind w:leftChars="0"/>
              <w:rPr>
                <w:rFonts w:hint="default"/>
                <w:b w:val="0"/>
                <w:color w:val="000000"/>
                <w:lang w:val="en-US" w:eastAsia="zh-CN"/>
              </w:rPr>
            </w:pPr>
            <w:r>
              <w:rPr>
                <w:rFonts w:hint="default"/>
                <w:b w:val="0"/>
                <w:color w:val="000000"/>
                <w:lang w:val="en-US" w:eastAsia="zh-CN"/>
              </w:rPr>
              <w:t>全台站</w:t>
            </w:r>
          </w:p>
        </w:tc>
        <w:tc>
          <w:tcPr>
            <w:tcW w:w="1285" w:type="dxa"/>
            <w:tcBorders>
              <w:top w:val="nil"/>
            </w:tcBorders>
            <w:shd w:val="clear" w:color="auto" w:fill="FFFFFF"/>
            <w:vAlign w:val="center"/>
          </w:tcPr>
          <w:p w14:paraId="138C27C0">
            <w:pPr>
              <w:numPr>
                <w:ilvl w:val="0"/>
                <w:numId w:val="0"/>
              </w:numPr>
              <w:ind w:leftChars="0"/>
              <w:rPr>
                <w:rFonts w:hint="default"/>
                <w:b w:val="0"/>
                <w:color w:val="000000"/>
                <w:lang w:val="en-US" w:eastAsia="zh-CN"/>
              </w:rPr>
            </w:pPr>
            <w:r>
              <w:rPr>
                <w:rFonts w:hint="eastAsia"/>
                <w:b w:val="0"/>
                <w:color w:val="000000"/>
                <w:lang w:val="en-US" w:eastAsia="zh-CN"/>
              </w:rPr>
              <w:t>不区分H</w:t>
            </w:r>
          </w:p>
        </w:tc>
        <w:tc>
          <w:tcPr>
            <w:tcW w:w="1116" w:type="dxa"/>
            <w:tcBorders>
              <w:top w:val="nil"/>
            </w:tcBorders>
            <w:shd w:val="clear" w:color="auto" w:fill="FFFFFF"/>
            <w:vAlign w:val="center"/>
          </w:tcPr>
          <w:p w14:paraId="4FEE7234">
            <w:pPr>
              <w:numPr>
                <w:ilvl w:val="0"/>
                <w:numId w:val="0"/>
              </w:numPr>
              <w:ind w:leftChars="0"/>
              <w:rPr>
                <w:rFonts w:hint="default"/>
                <w:b w:val="0"/>
                <w:color w:val="000000"/>
                <w:lang w:val="en-US" w:eastAsia="zh-CN"/>
              </w:rPr>
            </w:pPr>
            <w:r>
              <w:rPr>
                <w:rFonts w:hint="eastAsia"/>
                <w:b w:val="0"/>
                <w:color w:val="000000"/>
                <w:lang w:val="en-US" w:eastAsia="zh-CN"/>
              </w:rPr>
              <w:t>53</w:t>
            </w:r>
          </w:p>
        </w:tc>
        <w:tc>
          <w:tcPr>
            <w:tcW w:w="1742" w:type="dxa"/>
            <w:tcBorders>
              <w:top w:val="nil"/>
            </w:tcBorders>
            <w:shd w:val="clear" w:color="auto" w:fill="FFFFFF"/>
            <w:vAlign w:val="center"/>
          </w:tcPr>
          <w:p w14:paraId="51E3D6E7">
            <w:pPr>
              <w:numPr>
                <w:ilvl w:val="0"/>
                <w:numId w:val="0"/>
              </w:numPr>
              <w:ind w:leftChars="0"/>
              <w:rPr>
                <w:rFonts w:hint="default"/>
                <w:b w:val="0"/>
                <w:color w:val="000000"/>
                <w:lang w:val="en-US" w:eastAsia="zh-CN"/>
              </w:rPr>
            </w:pPr>
            <w:r>
              <w:rPr>
                <w:rFonts w:hint="default"/>
                <w:b w:val="0"/>
                <w:color w:val="000000"/>
                <w:lang w:val="en-US" w:eastAsia="zh-CN"/>
              </w:rPr>
              <w:t>46.10 ± 9.68</w:t>
            </w:r>
          </w:p>
        </w:tc>
        <w:tc>
          <w:tcPr>
            <w:tcW w:w="1514" w:type="dxa"/>
            <w:tcBorders>
              <w:top w:val="nil"/>
            </w:tcBorders>
            <w:shd w:val="clear" w:color="auto" w:fill="FFFFFF"/>
            <w:vAlign w:val="center"/>
          </w:tcPr>
          <w:p w14:paraId="67F3CFBF">
            <w:pPr>
              <w:numPr>
                <w:ilvl w:val="0"/>
                <w:numId w:val="0"/>
              </w:numPr>
              <w:ind w:leftChars="0"/>
              <w:rPr>
                <w:rFonts w:hint="default"/>
                <w:b w:val="0"/>
                <w:color w:val="000000"/>
                <w:lang w:val="en-US" w:eastAsia="zh-CN"/>
              </w:rPr>
            </w:pPr>
            <w:r>
              <w:rPr>
                <w:rFonts w:hint="eastAsia"/>
                <w:b w:val="0"/>
                <w:color w:val="000000"/>
                <w:lang w:val="en-US" w:eastAsia="zh-CN"/>
              </w:rPr>
              <w:t>32.80-64.00</w:t>
            </w:r>
          </w:p>
        </w:tc>
        <w:tc>
          <w:tcPr>
            <w:tcW w:w="0" w:type="auto"/>
            <w:tcBorders>
              <w:top w:val="nil"/>
            </w:tcBorders>
            <w:shd w:val="clear" w:color="auto" w:fill="FFFFFF"/>
            <w:vAlign w:val="center"/>
          </w:tcPr>
          <w:p w14:paraId="34AEB311">
            <w:pPr>
              <w:numPr>
                <w:ilvl w:val="0"/>
                <w:numId w:val="0"/>
              </w:numPr>
              <w:ind w:leftChars="0"/>
              <w:rPr>
                <w:rFonts w:hint="default"/>
                <w:b w:val="0"/>
                <w:color w:val="000000"/>
                <w:lang w:val="en-US" w:eastAsia="zh-CN"/>
              </w:rPr>
            </w:pPr>
            <w:r>
              <w:rPr>
                <w:rFonts w:hint="default"/>
                <w:b w:val="0"/>
                <w:color w:val="000000"/>
                <w:lang w:val="en-US" w:eastAsia="zh-CN"/>
              </w:rPr>
              <w:t>1.855 ± 0.213</w:t>
            </w:r>
          </w:p>
        </w:tc>
      </w:tr>
      <w:tr w14:paraId="0199E5B2">
        <w:trPr>
          <w:tblCellSpacing w:w="15" w:type="dxa"/>
        </w:trPr>
        <w:tc>
          <w:tcPr>
            <w:tcW w:w="1432" w:type="dxa"/>
            <w:shd w:val="clear" w:color="auto" w:fill="FFFFFF"/>
            <w:vAlign w:val="center"/>
          </w:tcPr>
          <w:p w14:paraId="027D7DAA">
            <w:pPr>
              <w:numPr>
                <w:ilvl w:val="0"/>
                <w:numId w:val="0"/>
              </w:numPr>
              <w:ind w:leftChars="0"/>
              <w:rPr>
                <w:rFonts w:hint="default"/>
                <w:b w:val="0"/>
                <w:color w:val="000000"/>
                <w:lang w:val="en-US" w:eastAsia="zh-CN"/>
              </w:rPr>
            </w:pPr>
            <w:r>
              <w:rPr>
                <w:rFonts w:hint="default"/>
                <w:b w:val="0"/>
                <w:color w:val="000000"/>
                <w:lang w:val="en-US" w:eastAsia="zh-CN"/>
              </w:rPr>
              <w:t>厚地壳</w:t>
            </w:r>
          </w:p>
        </w:tc>
        <w:tc>
          <w:tcPr>
            <w:tcW w:w="1285" w:type="dxa"/>
            <w:shd w:val="clear" w:color="auto" w:fill="FFFFFF"/>
            <w:vAlign w:val="center"/>
          </w:tcPr>
          <w:p w14:paraId="6A8D1B90">
            <w:pPr>
              <w:numPr>
                <w:ilvl w:val="0"/>
                <w:numId w:val="0"/>
              </w:numPr>
              <w:ind w:leftChars="0"/>
              <w:rPr>
                <w:rFonts w:hint="default"/>
                <w:b w:val="0"/>
                <w:color w:val="000000"/>
                <w:lang w:val="en-US" w:eastAsia="zh-CN"/>
              </w:rPr>
            </w:pPr>
            <w:r>
              <w:rPr>
                <w:rFonts w:hint="default"/>
                <w:b w:val="0"/>
                <w:color w:val="000000"/>
                <w:lang w:val="en-US" w:eastAsia="zh-CN"/>
              </w:rPr>
              <w:t>H ≥ 50 km</w:t>
            </w:r>
          </w:p>
        </w:tc>
        <w:tc>
          <w:tcPr>
            <w:tcW w:w="1116" w:type="dxa"/>
            <w:shd w:val="clear" w:color="auto" w:fill="FFFFFF"/>
            <w:vAlign w:val="center"/>
          </w:tcPr>
          <w:p w14:paraId="0C162C4C">
            <w:pPr>
              <w:numPr>
                <w:ilvl w:val="0"/>
                <w:numId w:val="0"/>
              </w:numPr>
              <w:ind w:leftChars="0"/>
              <w:rPr>
                <w:rFonts w:hint="default"/>
                <w:b w:val="0"/>
                <w:color w:val="000000"/>
                <w:lang w:val="en-US" w:eastAsia="zh-CN"/>
              </w:rPr>
            </w:pPr>
            <w:r>
              <w:rPr>
                <w:rFonts w:hint="default"/>
                <w:b w:val="0"/>
                <w:color w:val="000000"/>
                <w:lang w:val="en-US" w:eastAsia="zh-CN"/>
              </w:rPr>
              <w:t>23</w:t>
            </w:r>
          </w:p>
        </w:tc>
        <w:tc>
          <w:tcPr>
            <w:tcW w:w="1742" w:type="dxa"/>
            <w:shd w:val="clear" w:color="auto" w:fill="FFFFFF"/>
            <w:vAlign w:val="center"/>
          </w:tcPr>
          <w:p w14:paraId="11669200">
            <w:pPr>
              <w:numPr>
                <w:ilvl w:val="0"/>
                <w:numId w:val="0"/>
              </w:numPr>
              <w:ind w:leftChars="0"/>
              <w:rPr>
                <w:rFonts w:hint="default"/>
                <w:b w:val="0"/>
                <w:color w:val="000000"/>
                <w:lang w:val="en-US" w:eastAsia="zh-CN"/>
              </w:rPr>
            </w:pPr>
            <w:r>
              <w:rPr>
                <w:rFonts w:hint="default"/>
                <w:b w:val="0"/>
                <w:color w:val="000000"/>
                <w:lang w:val="en-US" w:eastAsia="zh-CN"/>
              </w:rPr>
              <w:t>55.92 ± 3.94</w:t>
            </w:r>
          </w:p>
        </w:tc>
        <w:tc>
          <w:tcPr>
            <w:tcW w:w="1514" w:type="dxa"/>
            <w:shd w:val="clear" w:color="auto" w:fill="FFFFFF"/>
            <w:vAlign w:val="center"/>
          </w:tcPr>
          <w:p w14:paraId="69D93A21">
            <w:pPr>
              <w:numPr>
                <w:ilvl w:val="0"/>
                <w:numId w:val="0"/>
              </w:numPr>
              <w:ind w:leftChars="0"/>
              <w:rPr>
                <w:rFonts w:hint="default"/>
                <w:b w:val="0"/>
                <w:color w:val="000000"/>
                <w:lang w:val="en-US" w:eastAsia="zh-CN"/>
              </w:rPr>
            </w:pPr>
            <w:r>
              <w:rPr>
                <w:rFonts w:hint="default"/>
                <w:b w:val="0"/>
                <w:color w:val="000000"/>
                <w:lang w:val="en-US" w:eastAsia="zh-CN"/>
              </w:rPr>
              <w:t>50.00–64.00</w:t>
            </w:r>
          </w:p>
        </w:tc>
        <w:tc>
          <w:tcPr>
            <w:tcW w:w="0" w:type="auto"/>
            <w:shd w:val="clear" w:color="auto" w:fill="FFFFFF"/>
            <w:vAlign w:val="center"/>
          </w:tcPr>
          <w:p w14:paraId="0E1BB25F">
            <w:pPr>
              <w:numPr>
                <w:ilvl w:val="0"/>
                <w:numId w:val="0"/>
              </w:numPr>
              <w:ind w:leftChars="0"/>
              <w:rPr>
                <w:rFonts w:hint="default"/>
                <w:b w:val="0"/>
                <w:color w:val="000000"/>
                <w:lang w:val="en-US" w:eastAsia="zh-CN"/>
              </w:rPr>
            </w:pPr>
            <w:r>
              <w:rPr>
                <w:rFonts w:hint="default"/>
                <w:b w:val="0"/>
                <w:color w:val="000000"/>
                <w:lang w:val="en-US" w:eastAsia="zh-CN"/>
              </w:rPr>
              <w:t>1.734 ± 0.095</w:t>
            </w:r>
          </w:p>
        </w:tc>
      </w:tr>
      <w:tr w14:paraId="42B2A812">
        <w:trPr>
          <w:tblCellSpacing w:w="15" w:type="dxa"/>
        </w:trPr>
        <w:tc>
          <w:tcPr>
            <w:tcW w:w="1432" w:type="dxa"/>
            <w:tcBorders>
              <w:bottom w:val="single" w:color="000000" w:sz="12" w:space="0"/>
            </w:tcBorders>
            <w:shd w:val="clear" w:color="auto" w:fill="FFFFFF"/>
            <w:vAlign w:val="center"/>
          </w:tcPr>
          <w:p w14:paraId="0879FEA4">
            <w:pPr>
              <w:numPr>
                <w:ilvl w:val="0"/>
                <w:numId w:val="0"/>
              </w:numPr>
              <w:ind w:leftChars="0"/>
              <w:rPr>
                <w:rFonts w:hint="default"/>
                <w:b w:val="0"/>
                <w:color w:val="000000"/>
                <w:lang w:val="en-US" w:eastAsia="zh-CN"/>
              </w:rPr>
            </w:pPr>
            <w:r>
              <w:rPr>
                <w:rFonts w:hint="default"/>
                <w:b w:val="0"/>
                <w:color w:val="000000"/>
                <w:lang w:val="en-US" w:eastAsia="zh-CN"/>
              </w:rPr>
              <w:t>薄地壳</w:t>
            </w:r>
          </w:p>
        </w:tc>
        <w:tc>
          <w:tcPr>
            <w:tcW w:w="1285" w:type="dxa"/>
            <w:tcBorders>
              <w:bottom w:val="single" w:color="000000" w:sz="12" w:space="0"/>
            </w:tcBorders>
            <w:shd w:val="clear" w:color="auto" w:fill="FFFFFF"/>
            <w:vAlign w:val="center"/>
          </w:tcPr>
          <w:p w14:paraId="5E7BCCAA">
            <w:pPr>
              <w:numPr>
                <w:ilvl w:val="0"/>
                <w:numId w:val="0"/>
              </w:numPr>
              <w:ind w:leftChars="0"/>
              <w:rPr>
                <w:rFonts w:hint="default"/>
                <w:b w:val="0"/>
                <w:color w:val="000000"/>
                <w:lang w:val="en-US" w:eastAsia="zh-CN"/>
              </w:rPr>
            </w:pPr>
            <w:r>
              <w:rPr>
                <w:rFonts w:hint="default"/>
                <w:b w:val="0"/>
                <w:color w:val="000000"/>
                <w:lang w:val="en-US" w:eastAsia="zh-CN"/>
              </w:rPr>
              <w:t>H &lt; 50 km</w:t>
            </w:r>
          </w:p>
        </w:tc>
        <w:tc>
          <w:tcPr>
            <w:tcW w:w="1116" w:type="dxa"/>
            <w:tcBorders>
              <w:bottom w:val="single" w:color="000000" w:sz="12" w:space="0"/>
            </w:tcBorders>
            <w:shd w:val="clear" w:color="auto" w:fill="FFFFFF"/>
            <w:vAlign w:val="center"/>
          </w:tcPr>
          <w:p w14:paraId="5F9D917D">
            <w:pPr>
              <w:numPr>
                <w:ilvl w:val="0"/>
                <w:numId w:val="0"/>
              </w:numPr>
              <w:ind w:leftChars="0"/>
              <w:rPr>
                <w:rFonts w:hint="default"/>
                <w:b w:val="0"/>
                <w:color w:val="000000"/>
                <w:lang w:val="en-US" w:eastAsia="zh-CN"/>
              </w:rPr>
            </w:pPr>
            <w:r>
              <w:rPr>
                <w:rFonts w:hint="default"/>
                <w:b w:val="0"/>
                <w:color w:val="000000"/>
                <w:lang w:val="en-US" w:eastAsia="zh-CN"/>
              </w:rPr>
              <w:t>30</w:t>
            </w:r>
          </w:p>
        </w:tc>
        <w:tc>
          <w:tcPr>
            <w:tcW w:w="1742" w:type="dxa"/>
            <w:tcBorders>
              <w:bottom w:val="single" w:color="000000" w:sz="12" w:space="0"/>
            </w:tcBorders>
            <w:shd w:val="clear" w:color="auto" w:fill="FFFFFF"/>
            <w:vAlign w:val="center"/>
          </w:tcPr>
          <w:p w14:paraId="67E5ADBE">
            <w:pPr>
              <w:numPr>
                <w:ilvl w:val="0"/>
                <w:numId w:val="0"/>
              </w:numPr>
              <w:ind w:leftChars="0"/>
              <w:rPr>
                <w:rFonts w:hint="default"/>
                <w:b w:val="0"/>
                <w:color w:val="000000"/>
                <w:lang w:val="en-US" w:eastAsia="zh-CN"/>
              </w:rPr>
            </w:pPr>
            <w:r>
              <w:rPr>
                <w:rFonts w:hint="default"/>
                <w:b w:val="0"/>
                <w:color w:val="000000"/>
                <w:lang w:val="en-US" w:eastAsia="zh-CN"/>
              </w:rPr>
              <w:t>38.57 ± 4.59</w:t>
            </w:r>
          </w:p>
        </w:tc>
        <w:tc>
          <w:tcPr>
            <w:tcW w:w="1514" w:type="dxa"/>
            <w:tcBorders>
              <w:bottom w:val="single" w:color="000000" w:sz="12" w:space="0"/>
            </w:tcBorders>
            <w:shd w:val="clear" w:color="auto" w:fill="FFFFFF"/>
            <w:vAlign w:val="center"/>
          </w:tcPr>
          <w:p w14:paraId="6D93F562">
            <w:pPr>
              <w:numPr>
                <w:ilvl w:val="0"/>
                <w:numId w:val="0"/>
              </w:numPr>
              <w:ind w:leftChars="0"/>
              <w:rPr>
                <w:rFonts w:hint="default"/>
                <w:b w:val="0"/>
                <w:color w:val="000000"/>
                <w:lang w:val="en-US" w:eastAsia="zh-CN"/>
              </w:rPr>
            </w:pPr>
            <w:r>
              <w:rPr>
                <w:rFonts w:hint="default"/>
                <w:b w:val="0"/>
                <w:color w:val="000000"/>
                <w:lang w:val="en-US" w:eastAsia="zh-CN"/>
              </w:rPr>
              <w:t>32.80–49.80</w:t>
            </w:r>
          </w:p>
        </w:tc>
        <w:tc>
          <w:tcPr>
            <w:tcW w:w="0" w:type="auto"/>
            <w:tcBorders>
              <w:bottom w:val="single" w:color="000000" w:sz="12" w:space="0"/>
            </w:tcBorders>
            <w:shd w:val="clear" w:color="auto" w:fill="FFFFFF"/>
            <w:vAlign w:val="center"/>
          </w:tcPr>
          <w:p w14:paraId="368D9F68">
            <w:pPr>
              <w:numPr>
                <w:ilvl w:val="0"/>
                <w:numId w:val="0"/>
              </w:numPr>
              <w:ind w:leftChars="0"/>
              <w:rPr>
                <w:rFonts w:hint="default"/>
                <w:b w:val="0"/>
                <w:color w:val="000000"/>
                <w:lang w:val="en-US" w:eastAsia="zh-CN"/>
              </w:rPr>
            </w:pPr>
            <w:r>
              <w:rPr>
                <w:rFonts w:hint="default"/>
                <w:b w:val="0"/>
                <w:color w:val="000000"/>
                <w:lang w:val="en-US" w:eastAsia="zh-CN"/>
              </w:rPr>
              <w:t>1.947 ± 0.233</w:t>
            </w:r>
          </w:p>
        </w:tc>
      </w:tr>
    </w:tbl>
    <w:p w14:paraId="27606B14">
      <w:pPr>
        <w:pStyle w:val="9"/>
      </w:pPr>
    </w:p>
    <w:p w14:paraId="5995586C">
      <w:pPr>
        <w:pStyle w:val="9"/>
        <w:rPr>
          <w:rFonts w:hint="eastAsia" w:eastAsia="仿宋"/>
          <w:lang w:val="en-US" w:eastAsia="zh-CN"/>
        </w:rPr>
      </w:pPr>
      <w:bookmarkStart w:id="31" w:name="_Ref359350900"/>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31"/>
      <w:bookmarkStart w:id="32" w:name="_Toc1559617647"/>
      <w:r>
        <w:rPr>
          <w:rFonts w:hint="eastAsia"/>
          <w:lang w:val="en-US" w:eastAsia="zh-CN"/>
        </w:rPr>
        <w:t xml:space="preserve"> 厚薄地壳空间分布统计</w:t>
      </w:r>
      <w:bookmarkEnd w:id="32"/>
    </w:p>
    <w:tbl>
      <w:tblPr>
        <w:tblStyle w:val="2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1"/>
        <w:gridCol w:w="1593"/>
        <w:gridCol w:w="1596"/>
        <w:gridCol w:w="1755"/>
      </w:tblGrid>
      <w:tr w14:paraId="5979B3D8">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01533B40">
            <w:pPr>
              <w:numPr>
                <w:ilvl w:val="0"/>
                <w:numId w:val="0"/>
              </w:numPr>
              <w:ind w:leftChars="0"/>
              <w:rPr>
                <w:rFonts w:hint="default"/>
                <w:b w:val="0"/>
                <w:color w:val="000000"/>
                <w:lang w:val="en-US" w:eastAsia="zh-CN"/>
              </w:rPr>
            </w:pPr>
            <w:r>
              <w:rPr>
                <w:rFonts w:hint="default"/>
                <w:b w:val="0"/>
                <w:color w:val="000000"/>
                <w:lang w:val="en-US" w:eastAsia="zh-CN"/>
              </w:rPr>
              <w:t>纬度范围</w:t>
            </w:r>
          </w:p>
        </w:tc>
        <w:tc>
          <w:tcPr>
            <w:tcW w:w="0" w:type="auto"/>
            <w:tcBorders>
              <w:top w:val="single" w:color="000000" w:sz="12" w:space="0"/>
              <w:bottom w:val="single" w:color="000000" w:sz="4" w:space="0"/>
            </w:tcBorders>
            <w:shd w:val="clear" w:color="auto" w:fill="FFFFFF"/>
            <w:vAlign w:val="center"/>
          </w:tcPr>
          <w:p w14:paraId="6DA8D0AD">
            <w:pPr>
              <w:numPr>
                <w:ilvl w:val="0"/>
                <w:numId w:val="0"/>
              </w:numPr>
              <w:ind w:leftChars="0"/>
              <w:rPr>
                <w:rFonts w:hint="default"/>
                <w:b w:val="0"/>
                <w:color w:val="000000"/>
                <w:lang w:val="en-US" w:eastAsia="zh-CN"/>
              </w:rPr>
            </w:pPr>
            <w:r>
              <w:rPr>
                <w:rFonts w:hint="default"/>
                <w:b w:val="0"/>
                <w:color w:val="000000"/>
                <w:lang w:val="en-US" w:eastAsia="zh-CN"/>
              </w:rPr>
              <w:t>厚地壳 H≥50 km</w:t>
            </w:r>
          </w:p>
        </w:tc>
        <w:tc>
          <w:tcPr>
            <w:tcW w:w="0" w:type="auto"/>
            <w:tcBorders>
              <w:top w:val="single" w:color="000000" w:sz="12" w:space="0"/>
              <w:bottom w:val="single" w:color="000000" w:sz="4" w:space="0"/>
            </w:tcBorders>
            <w:shd w:val="clear" w:color="auto" w:fill="FFFFFF"/>
            <w:vAlign w:val="center"/>
          </w:tcPr>
          <w:p w14:paraId="263D00C6">
            <w:pPr>
              <w:numPr>
                <w:ilvl w:val="0"/>
                <w:numId w:val="0"/>
              </w:numPr>
              <w:ind w:leftChars="0"/>
              <w:rPr>
                <w:rFonts w:hint="default"/>
                <w:b w:val="0"/>
                <w:color w:val="000000"/>
                <w:lang w:val="en-US" w:eastAsia="zh-CN"/>
              </w:rPr>
            </w:pPr>
            <w:r>
              <w:rPr>
                <w:rFonts w:hint="default"/>
                <w:b w:val="0"/>
                <w:color w:val="000000"/>
                <w:lang w:val="en-US" w:eastAsia="zh-CN"/>
              </w:rPr>
              <w:t>薄地壳 H&lt;50 km</w:t>
            </w:r>
          </w:p>
        </w:tc>
        <w:tc>
          <w:tcPr>
            <w:tcW w:w="0" w:type="auto"/>
            <w:tcBorders>
              <w:top w:val="single" w:color="000000" w:sz="12" w:space="0"/>
              <w:bottom w:val="single" w:color="000000" w:sz="4" w:space="0"/>
            </w:tcBorders>
            <w:shd w:val="clear" w:color="auto" w:fill="FFFFFF"/>
            <w:vAlign w:val="center"/>
          </w:tcPr>
          <w:p w14:paraId="281B74EE">
            <w:pPr>
              <w:numPr>
                <w:ilvl w:val="0"/>
                <w:numId w:val="0"/>
              </w:numPr>
              <w:ind w:leftChars="0"/>
              <w:rPr>
                <w:rFonts w:hint="default"/>
                <w:b w:val="0"/>
                <w:color w:val="000000"/>
                <w:lang w:val="en-US" w:eastAsia="zh-CN"/>
              </w:rPr>
            </w:pPr>
            <w:r>
              <w:rPr>
                <w:rFonts w:hint="default"/>
                <w:b w:val="0"/>
                <w:color w:val="000000"/>
                <w:lang w:val="en-US" w:eastAsia="zh-CN"/>
              </w:rPr>
              <w:t>主要特征</w:t>
            </w:r>
          </w:p>
        </w:tc>
      </w:tr>
      <w:tr w14:paraId="4D4FC529">
        <w:trPr>
          <w:tblCellSpacing w:w="15" w:type="dxa"/>
          <w:jc w:val="center"/>
        </w:trPr>
        <w:tc>
          <w:tcPr>
            <w:tcW w:w="0" w:type="auto"/>
            <w:tcBorders>
              <w:top w:val="nil"/>
            </w:tcBorders>
            <w:shd w:val="clear" w:color="auto" w:fill="FFFFFF"/>
            <w:vAlign w:val="center"/>
          </w:tcPr>
          <w:p w14:paraId="22D355DA">
            <w:pPr>
              <w:numPr>
                <w:ilvl w:val="0"/>
                <w:numId w:val="0"/>
              </w:numPr>
              <w:ind w:leftChars="0"/>
              <w:rPr>
                <w:rFonts w:hint="default"/>
                <w:b w:val="0"/>
                <w:color w:val="000000"/>
                <w:lang w:val="en-US" w:eastAsia="zh-CN"/>
              </w:rPr>
            </w:pPr>
            <w:r>
              <w:rPr>
                <w:rFonts w:hint="default"/>
                <w:b w:val="0"/>
                <w:color w:val="000000"/>
                <w:lang w:val="en-US" w:eastAsia="zh-CN"/>
              </w:rPr>
              <w:t>39.40–39.60°N</w:t>
            </w:r>
          </w:p>
        </w:tc>
        <w:tc>
          <w:tcPr>
            <w:tcW w:w="0" w:type="auto"/>
            <w:tcBorders>
              <w:top w:val="nil"/>
            </w:tcBorders>
            <w:shd w:val="clear" w:color="auto" w:fill="FFFFFF"/>
            <w:vAlign w:val="center"/>
          </w:tcPr>
          <w:p w14:paraId="3CF9AF14">
            <w:pPr>
              <w:numPr>
                <w:ilvl w:val="0"/>
                <w:numId w:val="0"/>
              </w:numPr>
              <w:ind w:leftChars="0"/>
              <w:rPr>
                <w:rFonts w:hint="default"/>
                <w:b w:val="0"/>
                <w:color w:val="000000"/>
                <w:lang w:val="en-US" w:eastAsia="zh-CN"/>
              </w:rPr>
            </w:pPr>
            <w:r>
              <w:rPr>
                <w:rFonts w:hint="default"/>
                <w:b w:val="0"/>
                <w:color w:val="000000"/>
                <w:lang w:val="en-US" w:eastAsia="zh-CN"/>
              </w:rPr>
              <w:t>4</w:t>
            </w:r>
          </w:p>
        </w:tc>
        <w:tc>
          <w:tcPr>
            <w:tcW w:w="0" w:type="auto"/>
            <w:tcBorders>
              <w:top w:val="nil"/>
            </w:tcBorders>
            <w:shd w:val="clear" w:color="auto" w:fill="FFFFFF"/>
            <w:vAlign w:val="center"/>
          </w:tcPr>
          <w:p w14:paraId="17DF3964">
            <w:pPr>
              <w:numPr>
                <w:ilvl w:val="0"/>
                <w:numId w:val="0"/>
              </w:numPr>
              <w:ind w:leftChars="0"/>
              <w:rPr>
                <w:rFonts w:hint="default"/>
                <w:b w:val="0"/>
                <w:color w:val="000000"/>
                <w:lang w:val="en-US" w:eastAsia="zh-CN"/>
              </w:rPr>
            </w:pPr>
            <w:r>
              <w:rPr>
                <w:rFonts w:hint="default"/>
                <w:b w:val="0"/>
                <w:color w:val="000000"/>
                <w:lang w:val="en-US" w:eastAsia="zh-CN"/>
              </w:rPr>
              <w:t>12</w:t>
            </w:r>
          </w:p>
        </w:tc>
        <w:tc>
          <w:tcPr>
            <w:tcW w:w="0" w:type="auto"/>
            <w:tcBorders>
              <w:top w:val="nil"/>
            </w:tcBorders>
            <w:shd w:val="clear" w:color="auto" w:fill="FFFFFF"/>
            <w:vAlign w:val="center"/>
          </w:tcPr>
          <w:p w14:paraId="1AD7A4A8">
            <w:pPr>
              <w:numPr>
                <w:ilvl w:val="0"/>
                <w:numId w:val="0"/>
              </w:numPr>
              <w:ind w:leftChars="0"/>
              <w:rPr>
                <w:rFonts w:hint="default"/>
                <w:b w:val="0"/>
                <w:color w:val="000000"/>
                <w:lang w:val="en-US" w:eastAsia="zh-CN"/>
              </w:rPr>
            </w:pPr>
            <w:r>
              <w:rPr>
                <w:rFonts w:hint="default"/>
                <w:b w:val="0"/>
                <w:color w:val="000000"/>
                <w:lang w:val="en-US" w:eastAsia="zh-CN"/>
              </w:rPr>
              <w:t>薄地壳占多数</w:t>
            </w:r>
          </w:p>
        </w:tc>
      </w:tr>
      <w:tr w14:paraId="774A41E5">
        <w:trPr>
          <w:tblCellSpacing w:w="15" w:type="dxa"/>
          <w:jc w:val="center"/>
        </w:trPr>
        <w:tc>
          <w:tcPr>
            <w:tcW w:w="0" w:type="auto"/>
            <w:shd w:val="clear" w:color="auto" w:fill="FFFFFF"/>
            <w:vAlign w:val="center"/>
          </w:tcPr>
          <w:p w14:paraId="7EBE333E">
            <w:pPr>
              <w:numPr>
                <w:ilvl w:val="0"/>
                <w:numId w:val="0"/>
              </w:numPr>
              <w:ind w:leftChars="0"/>
              <w:rPr>
                <w:rFonts w:hint="default"/>
                <w:b w:val="0"/>
                <w:color w:val="000000"/>
                <w:lang w:val="en-US" w:eastAsia="zh-CN"/>
              </w:rPr>
            </w:pPr>
            <w:r>
              <w:rPr>
                <w:rFonts w:hint="default"/>
                <w:b w:val="0"/>
                <w:color w:val="000000"/>
                <w:lang w:val="en-US" w:eastAsia="zh-CN"/>
              </w:rPr>
              <w:t>39.60–39.80°N</w:t>
            </w:r>
          </w:p>
        </w:tc>
        <w:tc>
          <w:tcPr>
            <w:tcW w:w="0" w:type="auto"/>
            <w:shd w:val="clear" w:color="auto" w:fill="FFFFFF"/>
            <w:vAlign w:val="center"/>
          </w:tcPr>
          <w:p w14:paraId="614E9AD5">
            <w:pPr>
              <w:numPr>
                <w:ilvl w:val="0"/>
                <w:numId w:val="0"/>
              </w:numPr>
              <w:ind w:leftChars="0"/>
              <w:rPr>
                <w:rFonts w:hint="default"/>
                <w:b w:val="0"/>
                <w:color w:val="000000"/>
                <w:lang w:val="en-US" w:eastAsia="zh-CN"/>
              </w:rPr>
            </w:pPr>
            <w:r>
              <w:rPr>
                <w:rFonts w:hint="default"/>
                <w:b w:val="0"/>
                <w:color w:val="000000"/>
                <w:lang w:val="en-US" w:eastAsia="zh-CN"/>
              </w:rPr>
              <w:t>7</w:t>
            </w:r>
          </w:p>
        </w:tc>
        <w:tc>
          <w:tcPr>
            <w:tcW w:w="0" w:type="auto"/>
            <w:shd w:val="clear" w:color="auto" w:fill="FFFFFF"/>
            <w:vAlign w:val="center"/>
          </w:tcPr>
          <w:p w14:paraId="7F326FA3">
            <w:pPr>
              <w:numPr>
                <w:ilvl w:val="0"/>
                <w:numId w:val="0"/>
              </w:numPr>
              <w:ind w:leftChars="0"/>
              <w:rPr>
                <w:rFonts w:hint="default"/>
                <w:b w:val="0"/>
                <w:color w:val="000000"/>
                <w:lang w:val="en-US" w:eastAsia="zh-CN"/>
              </w:rPr>
            </w:pPr>
            <w:r>
              <w:rPr>
                <w:rFonts w:hint="default"/>
                <w:b w:val="0"/>
                <w:color w:val="000000"/>
                <w:lang w:val="en-US" w:eastAsia="zh-CN"/>
              </w:rPr>
              <w:t>9</w:t>
            </w:r>
          </w:p>
        </w:tc>
        <w:tc>
          <w:tcPr>
            <w:tcW w:w="0" w:type="auto"/>
            <w:shd w:val="clear" w:color="auto" w:fill="FFFFFF"/>
            <w:vAlign w:val="center"/>
          </w:tcPr>
          <w:p w14:paraId="50E20BE7">
            <w:pPr>
              <w:numPr>
                <w:ilvl w:val="0"/>
                <w:numId w:val="0"/>
              </w:numPr>
              <w:ind w:leftChars="0"/>
              <w:rPr>
                <w:rFonts w:hint="default"/>
                <w:b w:val="0"/>
                <w:color w:val="000000"/>
                <w:lang w:val="en-US" w:eastAsia="zh-CN"/>
              </w:rPr>
            </w:pPr>
            <w:r>
              <w:rPr>
                <w:rFonts w:hint="default"/>
                <w:b w:val="0"/>
                <w:color w:val="000000"/>
                <w:lang w:val="en-US" w:eastAsia="zh-CN"/>
              </w:rPr>
              <w:t>厚薄混合</w:t>
            </w:r>
          </w:p>
        </w:tc>
      </w:tr>
      <w:tr w14:paraId="4E419499">
        <w:trPr>
          <w:tblCellSpacing w:w="15" w:type="dxa"/>
          <w:jc w:val="center"/>
        </w:trPr>
        <w:tc>
          <w:tcPr>
            <w:tcW w:w="0" w:type="auto"/>
            <w:shd w:val="clear" w:color="auto" w:fill="FFFFFF"/>
            <w:vAlign w:val="center"/>
          </w:tcPr>
          <w:p w14:paraId="61787788">
            <w:pPr>
              <w:numPr>
                <w:ilvl w:val="0"/>
                <w:numId w:val="0"/>
              </w:numPr>
              <w:ind w:leftChars="0"/>
              <w:rPr>
                <w:rFonts w:hint="default"/>
                <w:b w:val="0"/>
                <w:color w:val="000000"/>
                <w:lang w:val="en-US" w:eastAsia="zh-CN"/>
              </w:rPr>
            </w:pPr>
            <w:r>
              <w:rPr>
                <w:rFonts w:hint="default"/>
                <w:b w:val="0"/>
                <w:color w:val="000000"/>
                <w:lang w:val="en-US" w:eastAsia="zh-CN"/>
              </w:rPr>
              <w:t>39.80–40.00°N</w:t>
            </w:r>
          </w:p>
        </w:tc>
        <w:tc>
          <w:tcPr>
            <w:tcW w:w="0" w:type="auto"/>
            <w:shd w:val="clear" w:color="auto" w:fill="FFFFFF"/>
            <w:vAlign w:val="center"/>
          </w:tcPr>
          <w:p w14:paraId="359B2864">
            <w:pPr>
              <w:numPr>
                <w:ilvl w:val="0"/>
                <w:numId w:val="0"/>
              </w:numPr>
              <w:ind w:leftChars="0"/>
              <w:rPr>
                <w:rFonts w:hint="default"/>
                <w:b w:val="0"/>
                <w:color w:val="000000"/>
                <w:lang w:val="en-US" w:eastAsia="zh-CN"/>
              </w:rPr>
            </w:pPr>
            <w:r>
              <w:rPr>
                <w:rFonts w:hint="default"/>
                <w:b w:val="0"/>
                <w:color w:val="000000"/>
                <w:lang w:val="en-US" w:eastAsia="zh-CN"/>
              </w:rPr>
              <w:t>11</w:t>
            </w:r>
          </w:p>
        </w:tc>
        <w:tc>
          <w:tcPr>
            <w:tcW w:w="0" w:type="auto"/>
            <w:shd w:val="clear" w:color="auto" w:fill="FFFFFF"/>
            <w:vAlign w:val="center"/>
          </w:tcPr>
          <w:p w14:paraId="086E5A7E">
            <w:pPr>
              <w:numPr>
                <w:ilvl w:val="0"/>
                <w:numId w:val="0"/>
              </w:numPr>
              <w:ind w:leftChars="0"/>
              <w:rPr>
                <w:rFonts w:hint="default"/>
                <w:b w:val="0"/>
                <w:color w:val="000000"/>
                <w:lang w:val="en-US" w:eastAsia="zh-CN"/>
              </w:rPr>
            </w:pPr>
            <w:r>
              <w:rPr>
                <w:rFonts w:hint="default"/>
                <w:b w:val="0"/>
                <w:color w:val="000000"/>
                <w:lang w:val="en-US" w:eastAsia="zh-CN"/>
              </w:rPr>
              <w:t>2</w:t>
            </w:r>
          </w:p>
        </w:tc>
        <w:tc>
          <w:tcPr>
            <w:tcW w:w="0" w:type="auto"/>
            <w:shd w:val="clear" w:color="auto" w:fill="FFFFFF"/>
            <w:vAlign w:val="center"/>
          </w:tcPr>
          <w:p w14:paraId="4391010B">
            <w:pPr>
              <w:numPr>
                <w:ilvl w:val="0"/>
                <w:numId w:val="0"/>
              </w:numPr>
              <w:ind w:leftChars="0"/>
              <w:rPr>
                <w:rFonts w:hint="default"/>
                <w:b w:val="0"/>
                <w:color w:val="000000"/>
                <w:lang w:val="en-US" w:eastAsia="zh-CN"/>
              </w:rPr>
            </w:pPr>
            <w:r>
              <w:rPr>
                <w:rFonts w:hint="default"/>
                <w:b w:val="0"/>
                <w:color w:val="000000"/>
                <w:lang w:val="en-US" w:eastAsia="zh-CN"/>
              </w:rPr>
              <w:t>厚地壳明显占多数</w:t>
            </w:r>
          </w:p>
        </w:tc>
      </w:tr>
      <w:tr w14:paraId="6F6BB179">
        <w:trPr>
          <w:tblCellSpacing w:w="15" w:type="dxa"/>
          <w:jc w:val="center"/>
        </w:trPr>
        <w:tc>
          <w:tcPr>
            <w:tcW w:w="0" w:type="auto"/>
            <w:tcBorders>
              <w:bottom w:val="single" w:color="000000" w:sz="12" w:space="0"/>
            </w:tcBorders>
            <w:shd w:val="clear" w:color="auto" w:fill="FFFFFF"/>
            <w:vAlign w:val="center"/>
          </w:tcPr>
          <w:p w14:paraId="54D0E329">
            <w:pPr>
              <w:numPr>
                <w:ilvl w:val="0"/>
                <w:numId w:val="0"/>
              </w:numPr>
              <w:ind w:leftChars="0"/>
              <w:rPr>
                <w:rFonts w:hint="default"/>
                <w:b w:val="0"/>
                <w:color w:val="000000"/>
                <w:lang w:val="en-US" w:eastAsia="zh-CN"/>
              </w:rPr>
            </w:pPr>
            <w:r>
              <w:rPr>
                <w:rFonts w:hint="default"/>
                <w:b w:val="0"/>
                <w:color w:val="000000"/>
                <w:lang w:val="en-US" w:eastAsia="zh-CN"/>
              </w:rPr>
              <w:t>40.00–40.12°N</w:t>
            </w:r>
          </w:p>
        </w:tc>
        <w:tc>
          <w:tcPr>
            <w:tcW w:w="0" w:type="auto"/>
            <w:tcBorders>
              <w:bottom w:val="single" w:color="000000" w:sz="12" w:space="0"/>
            </w:tcBorders>
            <w:shd w:val="clear" w:color="auto" w:fill="FFFFFF"/>
            <w:vAlign w:val="center"/>
          </w:tcPr>
          <w:p w14:paraId="29B66507">
            <w:pPr>
              <w:numPr>
                <w:ilvl w:val="0"/>
                <w:numId w:val="0"/>
              </w:numPr>
              <w:ind w:leftChars="0"/>
              <w:rPr>
                <w:rFonts w:hint="default"/>
                <w:b w:val="0"/>
                <w:color w:val="000000"/>
                <w:lang w:val="en-US" w:eastAsia="zh-CN"/>
              </w:rPr>
            </w:pPr>
            <w:r>
              <w:rPr>
                <w:rFonts w:hint="default"/>
                <w:b w:val="0"/>
                <w:color w:val="000000"/>
                <w:lang w:val="en-US" w:eastAsia="zh-CN"/>
              </w:rPr>
              <w:t>1</w:t>
            </w:r>
          </w:p>
        </w:tc>
        <w:tc>
          <w:tcPr>
            <w:tcW w:w="0" w:type="auto"/>
            <w:tcBorders>
              <w:bottom w:val="single" w:color="000000" w:sz="12" w:space="0"/>
            </w:tcBorders>
            <w:shd w:val="clear" w:color="auto" w:fill="FFFFFF"/>
            <w:vAlign w:val="center"/>
          </w:tcPr>
          <w:p w14:paraId="0A622120">
            <w:pPr>
              <w:numPr>
                <w:ilvl w:val="0"/>
                <w:numId w:val="0"/>
              </w:numPr>
              <w:ind w:leftChars="0"/>
              <w:rPr>
                <w:rFonts w:hint="default"/>
                <w:b w:val="0"/>
                <w:color w:val="000000"/>
                <w:lang w:val="en-US" w:eastAsia="zh-CN"/>
              </w:rPr>
            </w:pPr>
            <w:r>
              <w:rPr>
                <w:rFonts w:hint="default"/>
                <w:b w:val="0"/>
                <w:color w:val="000000"/>
                <w:lang w:val="en-US" w:eastAsia="zh-CN"/>
              </w:rPr>
              <w:t>7</w:t>
            </w:r>
          </w:p>
        </w:tc>
        <w:tc>
          <w:tcPr>
            <w:tcW w:w="0" w:type="auto"/>
            <w:tcBorders>
              <w:bottom w:val="single" w:color="000000" w:sz="12" w:space="0"/>
            </w:tcBorders>
            <w:shd w:val="clear" w:color="auto" w:fill="FFFFFF"/>
            <w:vAlign w:val="center"/>
          </w:tcPr>
          <w:p w14:paraId="18016BE1">
            <w:pPr>
              <w:numPr>
                <w:ilvl w:val="0"/>
                <w:numId w:val="0"/>
              </w:numPr>
              <w:ind w:leftChars="0"/>
              <w:rPr>
                <w:rFonts w:hint="default"/>
                <w:b w:val="0"/>
                <w:color w:val="000000"/>
                <w:lang w:val="en-US" w:eastAsia="zh-CN"/>
              </w:rPr>
            </w:pPr>
            <w:r>
              <w:rPr>
                <w:rFonts w:hint="default"/>
                <w:b w:val="0"/>
                <w:color w:val="000000"/>
                <w:lang w:val="en-US" w:eastAsia="zh-CN"/>
              </w:rPr>
              <w:t>薄地壳明显占多数</w:t>
            </w:r>
          </w:p>
        </w:tc>
      </w:tr>
    </w:tbl>
    <w:p w14:paraId="22725630">
      <w:pPr>
        <w:numPr>
          <w:ilvl w:val="0"/>
          <w:numId w:val="0"/>
        </w:numPr>
        <w:ind w:leftChars="0"/>
        <w:jc w:val="center"/>
        <w:rPr>
          <w:rFonts w:hint="default"/>
          <w:lang w:val="en-US" w:eastAsia="zh-CN"/>
        </w:rPr>
      </w:pPr>
    </w:p>
    <w:p w14:paraId="3EF26076">
      <w:pPr>
        <w:numPr>
          <w:ilvl w:val="0"/>
          <w:numId w:val="0"/>
        </w:numPr>
        <w:ind w:leftChars="0"/>
        <w:jc w:val="center"/>
        <w:rPr>
          <w:rFonts w:hint="default"/>
          <w:lang w:val="en-US" w:eastAsia="zh-CN"/>
        </w:rPr>
      </w:pPr>
    </w:p>
    <w:p w14:paraId="2B46C53D">
      <w:pPr>
        <w:numPr>
          <w:ilvl w:val="0"/>
          <w:numId w:val="0"/>
        </w:numPr>
        <w:ind w:leftChars="0"/>
        <w:jc w:val="center"/>
        <w:rPr>
          <w:rFonts w:hint="default"/>
          <w:lang w:val="en-US" w:eastAsia="zh-CN"/>
        </w:rPr>
      </w:pPr>
    </w:p>
    <w:p w14:paraId="057C55DC">
      <w:pPr>
        <w:numPr>
          <w:ilvl w:val="0"/>
          <w:numId w:val="0"/>
        </w:numPr>
        <w:ind w:leftChars="0"/>
        <w:jc w:val="center"/>
        <w:rPr>
          <w:rFonts w:hint="default"/>
          <w:lang w:val="en-US" w:eastAsia="zh-CN"/>
        </w:rPr>
      </w:pPr>
    </w:p>
    <w:p w14:paraId="4208F197">
      <w:pPr>
        <w:numPr>
          <w:ilvl w:val="0"/>
          <w:numId w:val="0"/>
        </w:numPr>
        <w:ind w:leftChars="0"/>
        <w:jc w:val="center"/>
        <w:rPr>
          <w:rFonts w:hint="default"/>
          <w:lang w:val="en-US" w:eastAsia="zh-CN"/>
        </w:rPr>
      </w:pPr>
      <w:r>
        <w:rPr>
          <w:rFonts w:hint="default"/>
          <w:lang w:val="en-US" w:eastAsia="zh-CN"/>
        </w:rPr>
        <w:drawing>
          <wp:inline distT="0" distB="0" distL="114300" distR="114300">
            <wp:extent cx="5500370" cy="2539365"/>
            <wp:effectExtent l="0" t="0" r="11430" b="6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18"/>
                    <a:stretch>
                      <a:fillRect/>
                    </a:stretch>
                  </pic:blipFill>
                  <pic:spPr>
                    <a:xfrm>
                      <a:off x="0" y="0"/>
                      <a:ext cx="5500370" cy="2539365"/>
                    </a:xfrm>
                    <a:prstGeom prst="rect">
                      <a:avLst/>
                    </a:prstGeom>
                    <a:noFill/>
                    <a:ln>
                      <a:noFill/>
                    </a:ln>
                  </pic:spPr>
                </pic:pic>
              </a:graphicData>
            </a:graphic>
          </wp:inline>
        </w:drawing>
      </w:r>
    </w:p>
    <w:p w14:paraId="33E67A07">
      <w:pPr>
        <w:pStyle w:val="9"/>
        <w:numPr>
          <w:ilvl w:val="0"/>
          <w:numId w:val="0"/>
        </w:numPr>
        <w:ind w:leftChars="0"/>
        <w:rPr>
          <w:rFonts w:hint="eastAsia" w:eastAsia="仿宋"/>
          <w:lang w:val="en-US" w:eastAsia="zh-CN"/>
        </w:rPr>
      </w:pPr>
      <w:bookmarkStart w:id="33" w:name="_Ref345249827"/>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3"/>
      <w:bookmarkStart w:id="34" w:name="_Toc1223535722"/>
      <w:r>
        <w:rPr>
          <w:rFonts w:hint="eastAsia"/>
          <w:lang w:val="en-US" w:eastAsia="zh-CN"/>
        </w:rPr>
        <w:t xml:space="preserve"> 祁连山北缘及邻区 Moho 结构特征</w:t>
      </w:r>
      <w:r>
        <w:rPr>
          <w:rFonts w:hint="default"/>
          <w:vertAlign w:val="superscript"/>
          <w:lang w:val="en-US" w:eastAsia="zh-CN"/>
        </w:rPr>
        <w:t>[2</w:t>
      </w:r>
      <w:r>
        <w:rPr>
          <w:rFonts w:hint="eastAsia"/>
          <w:vertAlign w:val="superscript"/>
          <w:lang w:val="en-US" w:eastAsia="zh-CN"/>
        </w:rPr>
        <w:t>2</w:t>
      </w:r>
      <w:r>
        <w:rPr>
          <w:rFonts w:hint="default"/>
          <w:vertAlign w:val="superscript"/>
          <w:lang w:val="en-US" w:eastAsia="zh-CN"/>
        </w:rPr>
        <w:t>]</w:t>
      </w:r>
      <w:r>
        <w:rPr>
          <w:rFonts w:hint="eastAsia"/>
          <w:lang w:val="en-US" w:eastAsia="zh-CN"/>
        </w:rPr>
        <w:t>（据 Shen et al., 2020修改）</w:t>
      </w:r>
      <w:bookmarkEnd w:id="34"/>
    </w:p>
    <w:p w14:paraId="7CBE1A2C">
      <w:pPr>
        <w:numPr>
          <w:ilvl w:val="0"/>
          <w:numId w:val="0"/>
        </w:numPr>
        <w:ind w:leftChars="0"/>
        <w:jc w:val="center"/>
        <w:rPr>
          <w:rFonts w:hint="default"/>
          <w:lang w:val="en-US" w:eastAsia="zh-CN"/>
        </w:rPr>
      </w:pPr>
      <w:r>
        <w:rPr>
          <w:rFonts w:hint="default"/>
          <w:lang w:val="en-US" w:eastAsia="zh-CN"/>
        </w:rPr>
        <w:drawing>
          <wp:inline distT="0" distB="0" distL="114300" distR="114300">
            <wp:extent cx="5614670" cy="3531235"/>
            <wp:effectExtent l="0" t="0" r="24130" b="2476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9"/>
                    <a:stretch>
                      <a:fillRect/>
                    </a:stretch>
                  </pic:blipFill>
                  <pic:spPr>
                    <a:xfrm>
                      <a:off x="0" y="0"/>
                      <a:ext cx="5614670" cy="3531235"/>
                    </a:xfrm>
                    <a:prstGeom prst="rect">
                      <a:avLst/>
                    </a:prstGeom>
                    <a:noFill/>
                    <a:ln>
                      <a:noFill/>
                    </a:ln>
                  </pic:spPr>
                </pic:pic>
              </a:graphicData>
            </a:graphic>
          </wp:inline>
        </w:drawing>
      </w:r>
    </w:p>
    <w:p w14:paraId="1FCB1570">
      <w:pPr>
        <w:pStyle w:val="9"/>
        <w:numPr>
          <w:ilvl w:val="0"/>
          <w:numId w:val="0"/>
        </w:numPr>
        <w:ind w:leftChars="0"/>
        <w:rPr>
          <w:rFonts w:hint="default"/>
          <w:lang w:val="en-US" w:eastAsia="zh-CN"/>
        </w:rPr>
      </w:pPr>
      <w:bookmarkStart w:id="35" w:name="_Ref34651035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5"/>
      <w:bookmarkStart w:id="36" w:name="_Toc1258494024"/>
      <w:r>
        <w:rPr>
          <w:rFonts w:hint="eastAsia"/>
          <w:lang w:val="en-US" w:eastAsia="zh-CN"/>
        </w:rPr>
        <w:t xml:space="preserve"> 北祁连山北缘—酒泉盆地地壳的上地幔P波接收函数成像剖面</w:t>
      </w:r>
      <w:r>
        <w:rPr>
          <w:rFonts w:hint="default"/>
          <w:vertAlign w:val="superscript"/>
          <w:lang w:val="en-US" w:eastAsia="zh-CN"/>
        </w:rPr>
        <w:t>[2</w:t>
      </w:r>
      <w:r>
        <w:rPr>
          <w:rFonts w:hint="eastAsia"/>
          <w:vertAlign w:val="superscript"/>
          <w:lang w:val="en-US" w:eastAsia="zh-CN"/>
        </w:rPr>
        <w:t>3</w:t>
      </w:r>
      <w:r>
        <w:rPr>
          <w:rFonts w:hint="default"/>
          <w:vertAlign w:val="superscript"/>
          <w:lang w:val="en-US" w:eastAsia="zh-CN"/>
        </w:rPr>
        <w:t>]</w:t>
      </w:r>
      <w:r>
        <w:rPr>
          <w:rFonts w:hint="eastAsia"/>
          <w:lang w:val="en-US" w:eastAsia="zh-CN"/>
        </w:rPr>
        <w:t>（据 Ye et al., 2021 修改）剖面自西南向东北依次穿过北祁连山、北祁连断裂（NQLF）和酒泉盆地；红色和蓝色分别表示正、负Ps/P转换振幅，垂直夸大比例为1∶5。</w:t>
      </w:r>
      <w:bookmarkEnd w:id="36"/>
    </w:p>
    <w:p w14:paraId="79AC8FA3">
      <w:pPr>
        <w:pStyle w:val="3"/>
        <w:bidi w:val="0"/>
        <w:rPr>
          <w:rFonts w:hint="default"/>
          <w:lang w:val="en-US" w:eastAsia="zh-CN"/>
        </w:rPr>
      </w:pPr>
      <w:bookmarkStart w:id="37" w:name="_Toc499728002"/>
      <w:r>
        <w:rPr>
          <w:rFonts w:hint="eastAsia"/>
          <w:lang w:val="en-US" w:eastAsia="zh-CN"/>
        </w:rPr>
        <w:t>结论</w:t>
      </w:r>
      <w:bookmarkEnd w:id="37"/>
    </w:p>
    <w:p w14:paraId="474F68D7">
      <w:pPr>
        <w:ind w:left="0" w:leftChars="0" w:firstLine="420" w:firstLineChars="200"/>
        <w:rPr>
          <w:rFonts w:hint="default"/>
          <w:lang w:val="en-US" w:eastAsia="zh-CN"/>
        </w:rPr>
      </w:pPr>
      <w:r>
        <w:rPr>
          <w:rFonts w:hint="default"/>
          <w:lang w:val="en-US" w:eastAsia="zh-CN"/>
        </w:rPr>
        <w:t>本实验</w:t>
      </w:r>
      <w:r>
        <w:rPr>
          <w:rFonts w:hint="eastAsia"/>
          <w:lang w:val="en-US" w:eastAsia="zh-CN"/>
        </w:rPr>
        <w:t>发现</w:t>
      </w:r>
      <w:r>
        <w:rPr>
          <w:rFonts w:hint="default"/>
          <w:lang w:val="en-US" w:eastAsia="zh-CN"/>
        </w:rPr>
        <w:t>研究区</w:t>
      </w:r>
      <w:r>
        <w:rPr>
          <w:rFonts w:hint="eastAsia"/>
          <w:lang w:val="en-US" w:eastAsia="zh-CN"/>
        </w:rPr>
        <w:t>的</w:t>
      </w:r>
      <w:r>
        <w:rPr>
          <w:rFonts w:hint="default"/>
          <w:lang w:val="en-US" w:eastAsia="zh-CN"/>
        </w:rPr>
        <w:t>厚地壳区域总体具有较低的 Vp/Vs，说明其平均地壳成分可能以长英质—中性成分为主。</w:t>
      </w:r>
      <w:r>
        <w:rPr>
          <w:rFonts w:hint="eastAsia"/>
          <w:lang w:val="en-US" w:eastAsia="zh-CN"/>
        </w:rPr>
        <w:t>倘</w:t>
      </w:r>
      <w:r>
        <w:rPr>
          <w:rFonts w:hint="default"/>
          <w:lang w:val="en-US" w:eastAsia="zh-CN"/>
        </w:rPr>
        <w:t>若地壳增厚主要由大量基性物质向中下地壳注入或底侵造成，通常会使地壳平均 Vp/Vs 升高，因此这种“厚地壳—低 Vp/Vs”组合并不支持大规模基性物质增生是祁连山地壳增厚的主导机制</w:t>
      </w:r>
      <w:r>
        <w:rPr>
          <w:rFonts w:hint="default"/>
          <w:vertAlign w:val="superscript"/>
          <w:lang w:val="en-US" w:eastAsia="zh-CN"/>
        </w:rPr>
        <w:t>[24]</w:t>
      </w:r>
      <w:r>
        <w:rPr>
          <w:rFonts w:hint="default"/>
          <w:lang w:val="en-US" w:eastAsia="zh-CN"/>
        </w:rPr>
        <w:t>，</w:t>
      </w:r>
      <w:r>
        <w:rPr>
          <w:rFonts w:hint="eastAsia"/>
          <w:lang w:val="en-US" w:eastAsia="zh-CN"/>
        </w:rPr>
        <w:t>而是支持</w:t>
      </w:r>
      <w:r>
        <w:rPr>
          <w:rFonts w:hint="default"/>
          <w:lang w:val="en-US" w:eastAsia="zh-CN"/>
        </w:rPr>
        <w:t>地壳增厚</w:t>
      </w:r>
      <w:r>
        <w:rPr>
          <w:rFonts w:hint="eastAsia"/>
          <w:lang w:val="en-US" w:eastAsia="zh-CN"/>
        </w:rPr>
        <w:t>是由</w:t>
      </w:r>
      <w:r>
        <w:rPr>
          <w:rFonts w:hint="default"/>
          <w:lang w:val="en-US" w:eastAsia="zh-CN"/>
        </w:rPr>
        <w:t>长期挤压缩短造成的。</w:t>
      </w:r>
    </w:p>
    <w:p w14:paraId="4F44AD5D">
      <w:pPr>
        <w:ind w:left="0" w:leftChars="0" w:firstLine="420" w:firstLineChars="200"/>
        <w:rPr>
          <w:rFonts w:hint="default"/>
          <w:lang w:val="en-US" w:eastAsia="zh-CN"/>
        </w:rPr>
      </w:pPr>
      <w:r>
        <w:rPr>
          <w:rFonts w:hint="default"/>
          <w:lang w:val="en-US" w:eastAsia="zh-CN"/>
        </w:rPr>
        <w:t>综合本实验结果与已有研究，祁连山北缘的深部</w:t>
      </w:r>
      <w:r>
        <w:rPr>
          <w:rFonts w:hint="eastAsia"/>
          <w:lang w:val="en-US" w:eastAsia="zh-CN"/>
        </w:rPr>
        <w:t>岩石圈</w:t>
      </w:r>
      <w:r>
        <w:rPr>
          <w:rFonts w:hint="default"/>
          <w:lang w:val="en-US" w:eastAsia="zh-CN"/>
        </w:rPr>
        <w:t>变形特征</w:t>
      </w:r>
      <w:r>
        <w:rPr>
          <w:rFonts w:hint="eastAsia"/>
          <w:lang w:val="en-US" w:eastAsia="zh-CN"/>
        </w:rPr>
        <w:t>是</w:t>
      </w:r>
      <w:r>
        <w:rPr>
          <w:rFonts w:hint="default"/>
          <w:lang w:val="en-US" w:eastAsia="zh-CN"/>
        </w:rPr>
        <w:t>以地壳</w:t>
      </w:r>
      <w:r>
        <w:rPr>
          <w:rFonts w:hint="eastAsia"/>
          <w:lang w:val="en-US" w:eastAsia="zh-CN"/>
        </w:rPr>
        <w:t>整体</w:t>
      </w:r>
      <w:r>
        <w:rPr>
          <w:rFonts w:hint="default"/>
          <w:lang w:val="en-US" w:eastAsia="zh-CN"/>
        </w:rPr>
        <w:t>缩短增厚为主的</w:t>
      </w:r>
      <w:r>
        <w:rPr>
          <w:rFonts w:hint="eastAsia"/>
          <w:lang w:val="en-US" w:eastAsia="zh-CN"/>
        </w:rPr>
        <w:t>（倾向于支持</w:t>
      </w:r>
      <w:r>
        <w:rPr>
          <w:rFonts w:hint="default"/>
          <w:lang w:val="en-US" w:eastAsia="zh-CN"/>
        </w:rPr>
        <w:t>纯剪式变形模式</w:t>
      </w:r>
      <w:r>
        <w:rPr>
          <w:rFonts w:hint="eastAsia"/>
          <w:lang w:val="en-US" w:eastAsia="zh-CN"/>
        </w:rPr>
        <w:t>的）而非以水平剪切位移为主的单剪变形</w:t>
      </w:r>
      <w:r>
        <w:rPr>
          <w:rFonts w:hint="default"/>
          <w:lang w:val="en-US" w:eastAsia="zh-CN"/>
        </w:rPr>
        <w:t>。</w:t>
      </w:r>
      <w:bookmarkStart w:id="38" w:name="_GoBack"/>
      <w:bookmarkEnd w:id="38"/>
    </w:p>
    <w:sectPr>
      <w:headerReference r:id="rId5" w:type="default"/>
      <w:footerReference r:id="rId6" w:type="default"/>
      <w:pgSz w:w="11906" w:h="16838"/>
      <w:pgMar w:top="1701" w:right="1474" w:bottom="1418" w:left="1474" w:header="1134"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3331491"/>
      <w:docPartObj>
        <w:docPartGallery w:val="autotext"/>
      </w:docPartObj>
    </w:sdtPr>
    <w:sdtContent>
      <w:p w14:paraId="2465A942">
        <w:pPr>
          <w:pStyle w:val="13"/>
          <w:ind w:firstLine="360"/>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A19AE">
    <w:pPr>
      <w:pStyle w:val="14"/>
      <w:rPr>
        <w:rFonts w:hint="default" w:eastAsia="仿宋"/>
        <w:lang w:val="en-US" w:eastAsia="zh-CN"/>
      </w:rPr>
    </w:pPr>
    <w:r>
      <w:rPr>
        <w:rFonts w:hint="eastAsia"/>
        <w:lang w:val="en-US" w:eastAsia="zh-CN"/>
      </w:rPr>
      <w:t>浙江大学地学综合实习</w:t>
    </w:r>
    <w:r>
      <w:rPr>
        <w:lang w:val="zh-CN"/>
      </w:rPr>
      <w:ptab w:relativeTo="margin" w:alignment="right" w:leader="none"/>
    </w:r>
    <w:r>
      <w:rPr>
        <w:rFonts w:hint="eastAsia"/>
        <w:lang w:val="en-US" w:eastAsia="zh-CN"/>
      </w:rPr>
      <w:t>后记</w:t>
    </w:r>
  </w:p>
  <w:p w14:paraId="5CC5F36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AB3C9"/>
    <w:multiLevelType w:val="singleLevel"/>
    <w:tmpl w:val="ECFAB3C9"/>
    <w:lvl w:ilvl="0" w:tentative="0">
      <w:start w:val="4"/>
      <w:numFmt w:val="decimal"/>
      <w:suff w:val="space"/>
      <w:lvlText w:val="%1."/>
      <w:lvlJc w:val="left"/>
    </w:lvl>
  </w:abstractNum>
  <w:abstractNum w:abstractNumId="1">
    <w:nsid w:val="0AE367E9"/>
    <w:multiLevelType w:val="multilevel"/>
    <w:tmpl w:val="0AE367E9"/>
    <w:lvl w:ilvl="0" w:tentative="0">
      <w:start w:val="1"/>
      <w:numFmt w:val="none"/>
      <w:pStyle w:val="57"/>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D7C3623"/>
    <w:multiLevelType w:val="multilevel"/>
    <w:tmpl w:val="5D7C3623"/>
    <w:lvl w:ilvl="0" w:tentative="0">
      <w:start w:val="1"/>
      <w:numFmt w:val="decimal"/>
      <w:pStyle w:val="2"/>
      <w:isLgl/>
      <w:suff w:val="space"/>
      <w:lvlText w:val="%1"/>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suff w:val="space"/>
      <w:lvlText w:val="%4)"/>
      <w:lvlJc w:val="left"/>
      <w:pPr>
        <w:ind w:left="0" w:firstLine="465"/>
      </w:pPr>
      <w:rPr>
        <w:rFonts w:hint="eastAsia"/>
      </w:rPr>
    </w:lvl>
    <w:lvl w:ilvl="4" w:tentative="0">
      <w:start w:val="1"/>
      <w:numFmt w:val="decimal"/>
      <w:pStyle w:val="6"/>
      <w:isLgl/>
      <w:suff w:val="space"/>
      <w:lvlText w:val="(%5)"/>
      <w:lvlJc w:val="left"/>
      <w:pPr>
        <w:ind w:left="0" w:firstLine="465"/>
      </w:pPr>
      <w:rPr>
        <w:rFonts w:hint="eastAsia"/>
      </w:rPr>
    </w:lvl>
    <w:lvl w:ilvl="5" w:tentative="0">
      <w:start w:val="1"/>
      <w:numFmt w:val="lowerLetter"/>
      <w:pStyle w:val="7"/>
      <w:suff w:val="space"/>
      <w:lvlText w:val="%6)"/>
      <w:lvlJc w:val="left"/>
      <w:pPr>
        <w:ind w:left="0" w:firstLine="465"/>
      </w:pPr>
      <w:rPr>
        <w:rFonts w:hint="eastAsia"/>
      </w:rPr>
    </w:lvl>
    <w:lvl w:ilvl="6" w:tentative="0">
      <w:start w:val="1"/>
      <w:numFmt w:val="lowerLetter"/>
      <w:pStyle w:val="8"/>
      <w:suff w:val="space"/>
      <w:lvlText w:val="(%7)"/>
      <w:lvlJc w:val="left"/>
      <w:pPr>
        <w:ind w:left="0" w:firstLine="465"/>
      </w:pPr>
      <w:rPr>
        <w:rFonts w:hint="eastAsia"/>
      </w:rPr>
    </w:lvl>
    <w:lvl w:ilvl="7" w:tentative="0">
      <w:start w:val="1"/>
      <w:numFmt w:val="decimal"/>
      <w:lvlText w:val="%1.%2.%3.%4.%5.%6.%7.%8"/>
      <w:lvlJc w:val="left"/>
      <w:pPr>
        <w:tabs>
          <w:tab w:val="left" w:pos="-207"/>
        </w:tabs>
        <w:ind w:left="-207" w:hanging="1440"/>
      </w:pPr>
      <w:rPr>
        <w:rFonts w:hint="eastAsia"/>
      </w:rPr>
    </w:lvl>
    <w:lvl w:ilvl="8" w:tentative="0">
      <w:start w:val="1"/>
      <w:numFmt w:val="decimal"/>
      <w:lvlText w:val="%1.%2.%3.%4.%5.%6.%7.%8.%9"/>
      <w:lvlJc w:val="left"/>
      <w:pPr>
        <w:tabs>
          <w:tab w:val="left" w:pos="-63"/>
        </w:tabs>
        <w:ind w:left="-63" w:hanging="1584"/>
      </w:pPr>
      <w:rPr>
        <w:rFonts w:hint="eastAsia"/>
      </w:rPr>
    </w:lvl>
  </w:abstractNum>
  <w:abstractNum w:abstractNumId="3">
    <w:nsid w:val="657D3FBC"/>
    <w:multiLevelType w:val="multilevel"/>
    <w:tmpl w:val="657D3FBC"/>
    <w:lvl w:ilvl="0" w:tentative="0">
      <w:start w:val="1"/>
      <w:numFmt w:val="upperLetter"/>
      <w:pStyle w:val="36"/>
      <w:suff w:val="nothing"/>
      <w:lvlText w:val="附　录　%1"/>
      <w:lvlJc w:val="left"/>
      <w:pPr>
        <w:ind w:left="4320" w:firstLine="0"/>
      </w:pPr>
      <w:rPr>
        <w:rFonts w:hint="eastAsia" w:ascii="黑体" w:hAnsi="Times New Roman" w:eastAsia="黑体"/>
        <w:b w:val="0"/>
        <w:i w:val="0"/>
        <w:sz w:val="21"/>
      </w:rPr>
    </w:lvl>
    <w:lvl w:ilvl="1" w:tentative="0">
      <w:start w:val="1"/>
      <w:numFmt w:val="decimal"/>
      <w:pStyle w:val="42"/>
      <w:suff w:val="nothing"/>
      <w:lvlText w:val="%1.%2　"/>
      <w:lvlJc w:val="left"/>
      <w:pPr>
        <w:ind w:left="4320" w:firstLine="0"/>
      </w:pPr>
      <w:rPr>
        <w:rFonts w:hint="eastAsia" w:ascii="黑体" w:hAnsi="Times New Roman" w:eastAsia="黑体"/>
        <w:b w:val="0"/>
        <w:i w:val="0"/>
        <w:snapToGrid/>
        <w:spacing w:val="0"/>
        <w:w w:val="100"/>
        <w:kern w:val="21"/>
        <w:sz w:val="21"/>
      </w:rPr>
    </w:lvl>
    <w:lvl w:ilvl="2" w:tentative="0">
      <w:start w:val="1"/>
      <w:numFmt w:val="decimal"/>
      <w:pStyle w:val="41"/>
      <w:suff w:val="nothing"/>
      <w:lvlText w:val="%1.%2.%3　"/>
      <w:lvlJc w:val="left"/>
      <w:pPr>
        <w:ind w:left="4320" w:firstLine="0"/>
      </w:pPr>
      <w:rPr>
        <w:rFonts w:hint="eastAsia" w:ascii="黑体" w:hAnsi="Times New Roman" w:eastAsia="黑体"/>
        <w:b w:val="0"/>
        <w:i w:val="0"/>
        <w:sz w:val="21"/>
      </w:rPr>
    </w:lvl>
    <w:lvl w:ilvl="3" w:tentative="0">
      <w:start w:val="1"/>
      <w:numFmt w:val="decimal"/>
      <w:pStyle w:val="40"/>
      <w:suff w:val="nothing"/>
      <w:lvlText w:val="%1.%2.%3.%4　"/>
      <w:lvlJc w:val="left"/>
      <w:pPr>
        <w:ind w:left="4320" w:firstLine="0"/>
      </w:pPr>
      <w:rPr>
        <w:rFonts w:hint="eastAsia" w:ascii="黑体" w:hAnsi="Times New Roman" w:eastAsia="黑体"/>
        <w:b w:val="0"/>
        <w:i w:val="0"/>
        <w:sz w:val="21"/>
      </w:rPr>
    </w:lvl>
    <w:lvl w:ilvl="4" w:tentative="0">
      <w:start w:val="1"/>
      <w:numFmt w:val="decimal"/>
      <w:pStyle w:val="49"/>
      <w:suff w:val="nothing"/>
      <w:lvlText w:val="%1.%2.%3.%4.%5　"/>
      <w:lvlJc w:val="left"/>
      <w:pPr>
        <w:ind w:left="4320" w:firstLine="0"/>
      </w:pPr>
      <w:rPr>
        <w:rFonts w:hint="eastAsia" w:ascii="黑体" w:hAnsi="Times New Roman" w:eastAsia="黑体"/>
        <w:b w:val="0"/>
        <w:i w:val="0"/>
        <w:sz w:val="21"/>
      </w:rPr>
    </w:lvl>
    <w:lvl w:ilvl="5" w:tentative="0">
      <w:start w:val="1"/>
      <w:numFmt w:val="decimal"/>
      <w:pStyle w:val="50"/>
      <w:suff w:val="nothing"/>
      <w:lvlText w:val="%1.%2.%3.%4.%5.%6　"/>
      <w:lvlJc w:val="left"/>
      <w:pPr>
        <w:ind w:left="4320" w:firstLine="0"/>
      </w:pPr>
      <w:rPr>
        <w:rFonts w:hint="eastAsia" w:ascii="黑体" w:hAnsi="Times New Roman" w:eastAsia="黑体"/>
        <w:b w:val="0"/>
        <w:i w:val="0"/>
        <w:sz w:val="21"/>
      </w:rPr>
    </w:lvl>
    <w:lvl w:ilvl="6" w:tentative="0">
      <w:start w:val="1"/>
      <w:numFmt w:val="decimal"/>
      <w:pStyle w:val="52"/>
      <w:suff w:val="nothing"/>
      <w:lvlText w:val="%1.%2.%3.%4.%5.%6.%7　"/>
      <w:lvlJc w:val="left"/>
      <w:pPr>
        <w:ind w:left="4320" w:firstLine="0"/>
      </w:pPr>
      <w:rPr>
        <w:rFonts w:hint="eastAsia" w:ascii="黑体" w:hAnsi="Times New Roman" w:eastAsia="黑体"/>
        <w:b w:val="0"/>
        <w:i w:val="0"/>
        <w:sz w:val="21"/>
      </w:rPr>
    </w:lvl>
    <w:lvl w:ilvl="7" w:tentative="0">
      <w:start w:val="1"/>
      <w:numFmt w:val="decimal"/>
      <w:lvlText w:val="%1.%2.%3.%4.%5.%6.%7.%8"/>
      <w:lvlJc w:val="left"/>
      <w:pPr>
        <w:tabs>
          <w:tab w:val="left" w:pos="8714"/>
        </w:tabs>
        <w:ind w:left="8714" w:hanging="1418"/>
      </w:pPr>
      <w:rPr>
        <w:rFonts w:hint="eastAsia"/>
      </w:rPr>
    </w:lvl>
    <w:lvl w:ilvl="8" w:tentative="0">
      <w:start w:val="1"/>
      <w:numFmt w:val="decimal"/>
      <w:lvlText w:val="%1.%2.%3.%4.%5.%6.%7.%8.%9"/>
      <w:lvlJc w:val="left"/>
      <w:pPr>
        <w:tabs>
          <w:tab w:val="left" w:pos="9422"/>
        </w:tabs>
        <w:ind w:left="9422" w:hanging="1700"/>
      </w:pPr>
      <w:rPr>
        <w:rFonts w:hint="eastAsia"/>
      </w:rPr>
    </w:lvl>
  </w:abstractNum>
  <w:abstractNum w:abstractNumId="4">
    <w:nsid w:val="6CEA2025"/>
    <w:multiLevelType w:val="multilevel"/>
    <w:tmpl w:val="6CEA2025"/>
    <w:lvl w:ilvl="0" w:tentative="0">
      <w:start w:val="1"/>
      <w:numFmt w:val="none"/>
      <w:pStyle w:val="47"/>
      <w:suff w:val="nothing"/>
      <w:lvlText w:val="%1"/>
      <w:lvlJc w:val="left"/>
      <w:pPr>
        <w:ind w:left="0" w:firstLine="0"/>
      </w:pPr>
      <w:rPr>
        <w:rFonts w:hint="default" w:ascii="Times New Roman" w:hAnsi="Times New Roman"/>
        <w:b/>
        <w:i w:val="0"/>
        <w:sz w:val="21"/>
      </w:rPr>
    </w:lvl>
    <w:lvl w:ilvl="1" w:tentative="0">
      <w:start w:val="1"/>
      <w:numFmt w:val="decimal"/>
      <w:pStyle w:val="53"/>
      <w:suff w:val="nothing"/>
      <w:lvlText w:val="%1%2　"/>
      <w:lvlJc w:val="left"/>
      <w:pPr>
        <w:ind w:left="0" w:firstLine="0"/>
      </w:pPr>
      <w:rPr>
        <w:rFonts w:hint="eastAsia" w:ascii="黑体" w:hAnsi="Times New Roman" w:eastAsia="黑体"/>
        <w:b w:val="0"/>
        <w:i w:val="0"/>
        <w:sz w:val="21"/>
      </w:rPr>
    </w:lvl>
    <w:lvl w:ilvl="2" w:tentative="0">
      <w:start w:val="1"/>
      <w:numFmt w:val="decimal"/>
      <w:pStyle w:val="46"/>
      <w:suff w:val="nothing"/>
      <w:lvlText w:val="%1%2.%3　"/>
      <w:lvlJc w:val="left"/>
      <w:pPr>
        <w:ind w:left="0" w:firstLine="0"/>
      </w:pPr>
      <w:rPr>
        <w:rFonts w:hint="eastAsia" w:ascii="黑体" w:hAnsi="Times New Roman" w:eastAsia="黑体"/>
        <w:b w:val="0"/>
        <w:i w:val="0"/>
        <w:sz w:val="21"/>
      </w:rPr>
    </w:lvl>
    <w:lvl w:ilvl="3" w:tentative="0">
      <w:start w:val="1"/>
      <w:numFmt w:val="decimal"/>
      <w:pStyle w:val="45"/>
      <w:suff w:val="nothing"/>
      <w:lvlText w:val="%1%2.%3.%4　"/>
      <w:lvlJc w:val="left"/>
      <w:pPr>
        <w:ind w:left="0" w:firstLine="0"/>
      </w:pPr>
      <w:rPr>
        <w:rFonts w:hint="eastAsia" w:ascii="黑体" w:hAnsi="Times New Roman" w:eastAsia="黑体"/>
        <w:b w:val="0"/>
        <w:i w:val="0"/>
        <w:sz w:val="21"/>
      </w:rPr>
    </w:lvl>
    <w:lvl w:ilvl="4" w:tentative="0">
      <w:start w:val="1"/>
      <w:numFmt w:val="decimal"/>
      <w:pStyle w:val="44"/>
      <w:suff w:val="nothing"/>
      <w:lvlText w:val="%1%2.%3.%4.%5　"/>
      <w:lvlJc w:val="left"/>
      <w:pPr>
        <w:ind w:left="0" w:firstLine="0"/>
      </w:pPr>
      <w:rPr>
        <w:rFonts w:hint="eastAsia" w:ascii="黑体" w:hAnsi="Times New Roman" w:eastAsia="黑体"/>
        <w:b w:val="0"/>
        <w:i w:val="0"/>
        <w:sz w:val="21"/>
      </w:rPr>
    </w:lvl>
    <w:lvl w:ilvl="5" w:tentative="0">
      <w:start w:val="1"/>
      <w:numFmt w:val="decimal"/>
      <w:pStyle w:val="51"/>
      <w:suff w:val="nothing"/>
      <w:lvlText w:val="%1%2.%3.%4.%5.%6　"/>
      <w:lvlJc w:val="left"/>
      <w:pPr>
        <w:ind w:left="0" w:firstLine="0"/>
      </w:pPr>
      <w:rPr>
        <w:rFonts w:hint="eastAsia" w:ascii="黑体" w:hAnsi="Times New Roman" w:eastAsia="黑体"/>
        <w:b w:val="0"/>
        <w:i w:val="0"/>
        <w:sz w:val="21"/>
      </w:rPr>
    </w:lvl>
    <w:lvl w:ilvl="6" w:tentative="0">
      <w:start w:val="1"/>
      <w:numFmt w:val="decimal"/>
      <w:pStyle w:val="5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76933334"/>
    <w:multiLevelType w:val="multilevel"/>
    <w:tmpl w:val="76933334"/>
    <w:lvl w:ilvl="0" w:tentative="0">
      <w:start w:val="1"/>
      <w:numFmt w:val="none"/>
      <w:pStyle w:val="3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ocumentProtection w:enforcement="0"/>
  <w:defaultTabStop w:val="420"/>
  <w:drawingGridHorizontalSpacing w:val="105"/>
  <w:drawingGridVerticalSpacing w:val="-794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8A3"/>
    <w:rsid w:val="000005EE"/>
    <w:rsid w:val="00011C0A"/>
    <w:rsid w:val="000121EB"/>
    <w:rsid w:val="000122AD"/>
    <w:rsid w:val="0001639E"/>
    <w:rsid w:val="0002614A"/>
    <w:rsid w:val="00033CD1"/>
    <w:rsid w:val="0003407A"/>
    <w:rsid w:val="000343EF"/>
    <w:rsid w:val="000472B2"/>
    <w:rsid w:val="00052D90"/>
    <w:rsid w:val="0005308C"/>
    <w:rsid w:val="000530A4"/>
    <w:rsid w:val="000600C9"/>
    <w:rsid w:val="000604E1"/>
    <w:rsid w:val="000708E7"/>
    <w:rsid w:val="0007114F"/>
    <w:rsid w:val="000846B8"/>
    <w:rsid w:val="00085F2D"/>
    <w:rsid w:val="0008780C"/>
    <w:rsid w:val="00090DEF"/>
    <w:rsid w:val="000937AE"/>
    <w:rsid w:val="00093A78"/>
    <w:rsid w:val="000956F0"/>
    <w:rsid w:val="000A1BF3"/>
    <w:rsid w:val="000A2771"/>
    <w:rsid w:val="000A2CFC"/>
    <w:rsid w:val="000B76D8"/>
    <w:rsid w:val="000C64FC"/>
    <w:rsid w:val="000C655B"/>
    <w:rsid w:val="000D185C"/>
    <w:rsid w:val="000D73C7"/>
    <w:rsid w:val="000E3620"/>
    <w:rsid w:val="000E485B"/>
    <w:rsid w:val="000E71BC"/>
    <w:rsid w:val="000F20DD"/>
    <w:rsid w:val="000F20F0"/>
    <w:rsid w:val="000F6CC7"/>
    <w:rsid w:val="00100232"/>
    <w:rsid w:val="00101440"/>
    <w:rsid w:val="00110E01"/>
    <w:rsid w:val="001118CD"/>
    <w:rsid w:val="00112ACC"/>
    <w:rsid w:val="001131E4"/>
    <w:rsid w:val="001315CE"/>
    <w:rsid w:val="001338A3"/>
    <w:rsid w:val="001355AC"/>
    <w:rsid w:val="001409CA"/>
    <w:rsid w:val="00145717"/>
    <w:rsid w:val="001524BF"/>
    <w:rsid w:val="00155391"/>
    <w:rsid w:val="0015652E"/>
    <w:rsid w:val="00165BE1"/>
    <w:rsid w:val="0016680B"/>
    <w:rsid w:val="00171EB3"/>
    <w:rsid w:val="00171F96"/>
    <w:rsid w:val="00172116"/>
    <w:rsid w:val="00174925"/>
    <w:rsid w:val="00175EAB"/>
    <w:rsid w:val="00181CFB"/>
    <w:rsid w:val="00187E7C"/>
    <w:rsid w:val="00191BBE"/>
    <w:rsid w:val="001922B1"/>
    <w:rsid w:val="00192E62"/>
    <w:rsid w:val="00194923"/>
    <w:rsid w:val="001966C5"/>
    <w:rsid w:val="0019674F"/>
    <w:rsid w:val="00197561"/>
    <w:rsid w:val="001A02B8"/>
    <w:rsid w:val="001D2E21"/>
    <w:rsid w:val="001D49A1"/>
    <w:rsid w:val="001E48DD"/>
    <w:rsid w:val="001E7514"/>
    <w:rsid w:val="00206859"/>
    <w:rsid w:val="00210EEF"/>
    <w:rsid w:val="00211B5C"/>
    <w:rsid w:val="0021460D"/>
    <w:rsid w:val="00214815"/>
    <w:rsid w:val="00215D56"/>
    <w:rsid w:val="00224A8D"/>
    <w:rsid w:val="00227DBC"/>
    <w:rsid w:val="00227E85"/>
    <w:rsid w:val="002419F0"/>
    <w:rsid w:val="00241FA4"/>
    <w:rsid w:val="00251B54"/>
    <w:rsid w:val="002543C0"/>
    <w:rsid w:val="0025740D"/>
    <w:rsid w:val="002575F1"/>
    <w:rsid w:val="00262123"/>
    <w:rsid w:val="00263906"/>
    <w:rsid w:val="00270432"/>
    <w:rsid w:val="0027074F"/>
    <w:rsid w:val="002808C1"/>
    <w:rsid w:val="00280B74"/>
    <w:rsid w:val="002818BF"/>
    <w:rsid w:val="002820CD"/>
    <w:rsid w:val="00282761"/>
    <w:rsid w:val="002832EC"/>
    <w:rsid w:val="00285CF2"/>
    <w:rsid w:val="00285E24"/>
    <w:rsid w:val="00286CCA"/>
    <w:rsid w:val="0029503B"/>
    <w:rsid w:val="002A4E2B"/>
    <w:rsid w:val="002C1A1B"/>
    <w:rsid w:val="002C46F7"/>
    <w:rsid w:val="002C6829"/>
    <w:rsid w:val="002E4A79"/>
    <w:rsid w:val="002E5827"/>
    <w:rsid w:val="002F4EDE"/>
    <w:rsid w:val="002F5F21"/>
    <w:rsid w:val="002F7D3E"/>
    <w:rsid w:val="002F7D75"/>
    <w:rsid w:val="00302AAA"/>
    <w:rsid w:val="00310754"/>
    <w:rsid w:val="003109C7"/>
    <w:rsid w:val="00312724"/>
    <w:rsid w:val="00313001"/>
    <w:rsid w:val="00313761"/>
    <w:rsid w:val="003137F1"/>
    <w:rsid w:val="00322495"/>
    <w:rsid w:val="00324BB2"/>
    <w:rsid w:val="00324BEE"/>
    <w:rsid w:val="00331D99"/>
    <w:rsid w:val="00337F16"/>
    <w:rsid w:val="00342C55"/>
    <w:rsid w:val="003449B2"/>
    <w:rsid w:val="003460DB"/>
    <w:rsid w:val="00347293"/>
    <w:rsid w:val="0035022B"/>
    <w:rsid w:val="00351E5C"/>
    <w:rsid w:val="00353A40"/>
    <w:rsid w:val="00353E51"/>
    <w:rsid w:val="00354A19"/>
    <w:rsid w:val="0035660B"/>
    <w:rsid w:val="003650A2"/>
    <w:rsid w:val="00366147"/>
    <w:rsid w:val="003722B0"/>
    <w:rsid w:val="0037344C"/>
    <w:rsid w:val="00375FC1"/>
    <w:rsid w:val="00377035"/>
    <w:rsid w:val="0038226A"/>
    <w:rsid w:val="00383782"/>
    <w:rsid w:val="00386A6E"/>
    <w:rsid w:val="003904FD"/>
    <w:rsid w:val="0039448F"/>
    <w:rsid w:val="003A27F2"/>
    <w:rsid w:val="003A60B1"/>
    <w:rsid w:val="003B63D3"/>
    <w:rsid w:val="003B7593"/>
    <w:rsid w:val="003D73DA"/>
    <w:rsid w:val="003E3351"/>
    <w:rsid w:val="003E3A7A"/>
    <w:rsid w:val="003F451A"/>
    <w:rsid w:val="0040091A"/>
    <w:rsid w:val="00400E45"/>
    <w:rsid w:val="00401CC1"/>
    <w:rsid w:val="0040525D"/>
    <w:rsid w:val="00405BEE"/>
    <w:rsid w:val="0040642B"/>
    <w:rsid w:val="004075DD"/>
    <w:rsid w:val="00412482"/>
    <w:rsid w:val="00415FB8"/>
    <w:rsid w:val="004211E3"/>
    <w:rsid w:val="004413B7"/>
    <w:rsid w:val="0044390B"/>
    <w:rsid w:val="00444B54"/>
    <w:rsid w:val="00446469"/>
    <w:rsid w:val="004466BB"/>
    <w:rsid w:val="00451450"/>
    <w:rsid w:val="00460A14"/>
    <w:rsid w:val="00460D27"/>
    <w:rsid w:val="00460FD4"/>
    <w:rsid w:val="0046225D"/>
    <w:rsid w:val="00467EFB"/>
    <w:rsid w:val="0048153D"/>
    <w:rsid w:val="00486C25"/>
    <w:rsid w:val="00492925"/>
    <w:rsid w:val="004A1F3A"/>
    <w:rsid w:val="004A34C6"/>
    <w:rsid w:val="004B1CB3"/>
    <w:rsid w:val="004B4F3E"/>
    <w:rsid w:val="004B63A9"/>
    <w:rsid w:val="004C287D"/>
    <w:rsid w:val="004C5CDF"/>
    <w:rsid w:val="004D2CFC"/>
    <w:rsid w:val="004D36AC"/>
    <w:rsid w:val="004D38A3"/>
    <w:rsid w:val="004D4225"/>
    <w:rsid w:val="004D5156"/>
    <w:rsid w:val="004E16F3"/>
    <w:rsid w:val="004E1ED0"/>
    <w:rsid w:val="004E3BF1"/>
    <w:rsid w:val="004E64A2"/>
    <w:rsid w:val="004F3F2C"/>
    <w:rsid w:val="004F5A4A"/>
    <w:rsid w:val="00502D4F"/>
    <w:rsid w:val="00505D66"/>
    <w:rsid w:val="00512219"/>
    <w:rsid w:val="00517CA6"/>
    <w:rsid w:val="0052183B"/>
    <w:rsid w:val="005246A6"/>
    <w:rsid w:val="005305AA"/>
    <w:rsid w:val="00532426"/>
    <w:rsid w:val="00536548"/>
    <w:rsid w:val="0054307D"/>
    <w:rsid w:val="005442B1"/>
    <w:rsid w:val="00546447"/>
    <w:rsid w:val="00552A19"/>
    <w:rsid w:val="0055318F"/>
    <w:rsid w:val="00553C68"/>
    <w:rsid w:val="00563ADB"/>
    <w:rsid w:val="00564F7E"/>
    <w:rsid w:val="0056671A"/>
    <w:rsid w:val="005710CF"/>
    <w:rsid w:val="00574159"/>
    <w:rsid w:val="0058232B"/>
    <w:rsid w:val="00582A3F"/>
    <w:rsid w:val="005847DA"/>
    <w:rsid w:val="005946A2"/>
    <w:rsid w:val="005B5425"/>
    <w:rsid w:val="005B59B4"/>
    <w:rsid w:val="005C2204"/>
    <w:rsid w:val="005C238C"/>
    <w:rsid w:val="005C2AA7"/>
    <w:rsid w:val="005C3924"/>
    <w:rsid w:val="005C69B1"/>
    <w:rsid w:val="005D54B9"/>
    <w:rsid w:val="005D5FF7"/>
    <w:rsid w:val="005E26D2"/>
    <w:rsid w:val="005E3E74"/>
    <w:rsid w:val="005E4766"/>
    <w:rsid w:val="005E6264"/>
    <w:rsid w:val="005F2551"/>
    <w:rsid w:val="005F3A8E"/>
    <w:rsid w:val="00603299"/>
    <w:rsid w:val="006040CE"/>
    <w:rsid w:val="006121D4"/>
    <w:rsid w:val="006158A1"/>
    <w:rsid w:val="0061745D"/>
    <w:rsid w:val="0062248D"/>
    <w:rsid w:val="00623098"/>
    <w:rsid w:val="006233CE"/>
    <w:rsid w:val="0062566D"/>
    <w:rsid w:val="00630B3C"/>
    <w:rsid w:val="00630F41"/>
    <w:rsid w:val="00635FB3"/>
    <w:rsid w:val="00640297"/>
    <w:rsid w:val="00651E41"/>
    <w:rsid w:val="0065287F"/>
    <w:rsid w:val="00655099"/>
    <w:rsid w:val="00665F2B"/>
    <w:rsid w:val="00673D45"/>
    <w:rsid w:val="00675743"/>
    <w:rsid w:val="006827ED"/>
    <w:rsid w:val="00687BCC"/>
    <w:rsid w:val="00692A44"/>
    <w:rsid w:val="006960AC"/>
    <w:rsid w:val="006A099B"/>
    <w:rsid w:val="006A2CED"/>
    <w:rsid w:val="006A4403"/>
    <w:rsid w:val="006A52F0"/>
    <w:rsid w:val="006B3450"/>
    <w:rsid w:val="006B3D66"/>
    <w:rsid w:val="006B4140"/>
    <w:rsid w:val="006B4510"/>
    <w:rsid w:val="006B6DD3"/>
    <w:rsid w:val="006C27AC"/>
    <w:rsid w:val="006C2D3F"/>
    <w:rsid w:val="006C573E"/>
    <w:rsid w:val="006E464F"/>
    <w:rsid w:val="006E7C3B"/>
    <w:rsid w:val="006F41CB"/>
    <w:rsid w:val="007013B8"/>
    <w:rsid w:val="00702002"/>
    <w:rsid w:val="0070209A"/>
    <w:rsid w:val="0070417F"/>
    <w:rsid w:val="00706AAF"/>
    <w:rsid w:val="00710E7F"/>
    <w:rsid w:val="007174ED"/>
    <w:rsid w:val="007211A4"/>
    <w:rsid w:val="0072708F"/>
    <w:rsid w:val="007362B8"/>
    <w:rsid w:val="00736F83"/>
    <w:rsid w:val="00746708"/>
    <w:rsid w:val="00746A44"/>
    <w:rsid w:val="007526F8"/>
    <w:rsid w:val="00753C0D"/>
    <w:rsid w:val="00760369"/>
    <w:rsid w:val="00770AAE"/>
    <w:rsid w:val="007721C3"/>
    <w:rsid w:val="00772FE6"/>
    <w:rsid w:val="00791A42"/>
    <w:rsid w:val="00792A90"/>
    <w:rsid w:val="00793A97"/>
    <w:rsid w:val="007946E1"/>
    <w:rsid w:val="007953AF"/>
    <w:rsid w:val="00796A12"/>
    <w:rsid w:val="007A355D"/>
    <w:rsid w:val="007A67A6"/>
    <w:rsid w:val="007A700D"/>
    <w:rsid w:val="007B024E"/>
    <w:rsid w:val="007B7322"/>
    <w:rsid w:val="007B7616"/>
    <w:rsid w:val="007C0689"/>
    <w:rsid w:val="007C4817"/>
    <w:rsid w:val="007D0D78"/>
    <w:rsid w:val="007D58BE"/>
    <w:rsid w:val="007E0227"/>
    <w:rsid w:val="007E1AF2"/>
    <w:rsid w:val="007E21E2"/>
    <w:rsid w:val="007E3714"/>
    <w:rsid w:val="007E7074"/>
    <w:rsid w:val="007F4EAB"/>
    <w:rsid w:val="00800F88"/>
    <w:rsid w:val="00804951"/>
    <w:rsid w:val="00807B73"/>
    <w:rsid w:val="00815E6F"/>
    <w:rsid w:val="008314EE"/>
    <w:rsid w:val="00834C7D"/>
    <w:rsid w:val="00860EFB"/>
    <w:rsid w:val="008653A1"/>
    <w:rsid w:val="00870454"/>
    <w:rsid w:val="00871E83"/>
    <w:rsid w:val="0087370A"/>
    <w:rsid w:val="008878D5"/>
    <w:rsid w:val="008923E0"/>
    <w:rsid w:val="0089427B"/>
    <w:rsid w:val="00896648"/>
    <w:rsid w:val="0089722A"/>
    <w:rsid w:val="008A519D"/>
    <w:rsid w:val="008B06E9"/>
    <w:rsid w:val="008C6B4C"/>
    <w:rsid w:val="008D25B3"/>
    <w:rsid w:val="008D4370"/>
    <w:rsid w:val="008D53EF"/>
    <w:rsid w:val="008D59D7"/>
    <w:rsid w:val="008E07DE"/>
    <w:rsid w:val="008E1DD0"/>
    <w:rsid w:val="008E3B4E"/>
    <w:rsid w:val="008E5B5E"/>
    <w:rsid w:val="008F436D"/>
    <w:rsid w:val="008F4388"/>
    <w:rsid w:val="008F4F77"/>
    <w:rsid w:val="008F5D16"/>
    <w:rsid w:val="00901734"/>
    <w:rsid w:val="00901BA9"/>
    <w:rsid w:val="00910EDC"/>
    <w:rsid w:val="00920E0C"/>
    <w:rsid w:val="00932F76"/>
    <w:rsid w:val="009374C3"/>
    <w:rsid w:val="00940AD7"/>
    <w:rsid w:val="00941F13"/>
    <w:rsid w:val="009612ED"/>
    <w:rsid w:val="00961B9A"/>
    <w:rsid w:val="00962987"/>
    <w:rsid w:val="009634A4"/>
    <w:rsid w:val="009652B5"/>
    <w:rsid w:val="00975566"/>
    <w:rsid w:val="00977B65"/>
    <w:rsid w:val="00984030"/>
    <w:rsid w:val="00984285"/>
    <w:rsid w:val="00987C17"/>
    <w:rsid w:val="0099399F"/>
    <w:rsid w:val="009B1F21"/>
    <w:rsid w:val="009B75BD"/>
    <w:rsid w:val="009C012E"/>
    <w:rsid w:val="009C22EF"/>
    <w:rsid w:val="009C7D8F"/>
    <w:rsid w:val="009D5D77"/>
    <w:rsid w:val="009E24C9"/>
    <w:rsid w:val="009E7899"/>
    <w:rsid w:val="00A3649A"/>
    <w:rsid w:val="00A3717B"/>
    <w:rsid w:val="00A41C01"/>
    <w:rsid w:val="00A4446A"/>
    <w:rsid w:val="00A47F7A"/>
    <w:rsid w:val="00A508C7"/>
    <w:rsid w:val="00A50D28"/>
    <w:rsid w:val="00A51C75"/>
    <w:rsid w:val="00A607F5"/>
    <w:rsid w:val="00A627DE"/>
    <w:rsid w:val="00A6333F"/>
    <w:rsid w:val="00A63E62"/>
    <w:rsid w:val="00A7101F"/>
    <w:rsid w:val="00A710FF"/>
    <w:rsid w:val="00A75A4B"/>
    <w:rsid w:val="00A80045"/>
    <w:rsid w:val="00A824C2"/>
    <w:rsid w:val="00A83C84"/>
    <w:rsid w:val="00A86CA6"/>
    <w:rsid w:val="00A86E6D"/>
    <w:rsid w:val="00A96DD4"/>
    <w:rsid w:val="00A97C96"/>
    <w:rsid w:val="00AA00A5"/>
    <w:rsid w:val="00AA0B7C"/>
    <w:rsid w:val="00AA7C23"/>
    <w:rsid w:val="00AB31BA"/>
    <w:rsid w:val="00AB766E"/>
    <w:rsid w:val="00AC0200"/>
    <w:rsid w:val="00AC1EE2"/>
    <w:rsid w:val="00AC4F04"/>
    <w:rsid w:val="00AC5EE8"/>
    <w:rsid w:val="00AC645F"/>
    <w:rsid w:val="00AD1C2B"/>
    <w:rsid w:val="00AD5A25"/>
    <w:rsid w:val="00AF0269"/>
    <w:rsid w:val="00AF548D"/>
    <w:rsid w:val="00B01760"/>
    <w:rsid w:val="00B0237E"/>
    <w:rsid w:val="00B03DA4"/>
    <w:rsid w:val="00B0624B"/>
    <w:rsid w:val="00B17A4A"/>
    <w:rsid w:val="00B22154"/>
    <w:rsid w:val="00B22378"/>
    <w:rsid w:val="00B24896"/>
    <w:rsid w:val="00B32396"/>
    <w:rsid w:val="00B36E74"/>
    <w:rsid w:val="00B4250C"/>
    <w:rsid w:val="00B5553E"/>
    <w:rsid w:val="00B66857"/>
    <w:rsid w:val="00B7063E"/>
    <w:rsid w:val="00B70D40"/>
    <w:rsid w:val="00B7180D"/>
    <w:rsid w:val="00B72DE7"/>
    <w:rsid w:val="00B74C0C"/>
    <w:rsid w:val="00B826D1"/>
    <w:rsid w:val="00B847EB"/>
    <w:rsid w:val="00B85254"/>
    <w:rsid w:val="00B86A16"/>
    <w:rsid w:val="00B86F50"/>
    <w:rsid w:val="00B92ABD"/>
    <w:rsid w:val="00BB1645"/>
    <w:rsid w:val="00BB3B19"/>
    <w:rsid w:val="00BB49D0"/>
    <w:rsid w:val="00BB590D"/>
    <w:rsid w:val="00BB6060"/>
    <w:rsid w:val="00BC11CB"/>
    <w:rsid w:val="00BC2CF5"/>
    <w:rsid w:val="00BC4E86"/>
    <w:rsid w:val="00BC6B85"/>
    <w:rsid w:val="00BD2834"/>
    <w:rsid w:val="00BD4973"/>
    <w:rsid w:val="00BD588C"/>
    <w:rsid w:val="00BD6B9C"/>
    <w:rsid w:val="00BE180C"/>
    <w:rsid w:val="00BE1B09"/>
    <w:rsid w:val="00BE4138"/>
    <w:rsid w:val="00BE79C2"/>
    <w:rsid w:val="00BF4E21"/>
    <w:rsid w:val="00C07713"/>
    <w:rsid w:val="00C109B9"/>
    <w:rsid w:val="00C143EE"/>
    <w:rsid w:val="00C2231E"/>
    <w:rsid w:val="00C23F59"/>
    <w:rsid w:val="00C25CE2"/>
    <w:rsid w:val="00C36439"/>
    <w:rsid w:val="00C36EE9"/>
    <w:rsid w:val="00C375BD"/>
    <w:rsid w:val="00C4052F"/>
    <w:rsid w:val="00C47793"/>
    <w:rsid w:val="00C522F0"/>
    <w:rsid w:val="00C53AF6"/>
    <w:rsid w:val="00C57414"/>
    <w:rsid w:val="00C60BC1"/>
    <w:rsid w:val="00C66AD8"/>
    <w:rsid w:val="00C67539"/>
    <w:rsid w:val="00C73558"/>
    <w:rsid w:val="00C821EC"/>
    <w:rsid w:val="00C93600"/>
    <w:rsid w:val="00C96C77"/>
    <w:rsid w:val="00C9782C"/>
    <w:rsid w:val="00CB29B6"/>
    <w:rsid w:val="00CC4A25"/>
    <w:rsid w:val="00CC6BE3"/>
    <w:rsid w:val="00CC7ACA"/>
    <w:rsid w:val="00CC7CDF"/>
    <w:rsid w:val="00CD4978"/>
    <w:rsid w:val="00CD5AF8"/>
    <w:rsid w:val="00CD72F8"/>
    <w:rsid w:val="00CE12F8"/>
    <w:rsid w:val="00CE1681"/>
    <w:rsid w:val="00CE3A54"/>
    <w:rsid w:val="00CE4815"/>
    <w:rsid w:val="00CE4D37"/>
    <w:rsid w:val="00CE6691"/>
    <w:rsid w:val="00CE68D9"/>
    <w:rsid w:val="00CF6222"/>
    <w:rsid w:val="00D0048B"/>
    <w:rsid w:val="00D01C0B"/>
    <w:rsid w:val="00D02595"/>
    <w:rsid w:val="00D068CB"/>
    <w:rsid w:val="00D11899"/>
    <w:rsid w:val="00D12F9E"/>
    <w:rsid w:val="00D15A8D"/>
    <w:rsid w:val="00D44939"/>
    <w:rsid w:val="00D56EC2"/>
    <w:rsid w:val="00D60CF7"/>
    <w:rsid w:val="00D653E0"/>
    <w:rsid w:val="00D65D10"/>
    <w:rsid w:val="00D704D0"/>
    <w:rsid w:val="00D723F8"/>
    <w:rsid w:val="00D7381C"/>
    <w:rsid w:val="00D73B28"/>
    <w:rsid w:val="00D8550A"/>
    <w:rsid w:val="00D86FBF"/>
    <w:rsid w:val="00D9241D"/>
    <w:rsid w:val="00DA4161"/>
    <w:rsid w:val="00DB0BF3"/>
    <w:rsid w:val="00DB2F51"/>
    <w:rsid w:val="00DC22B9"/>
    <w:rsid w:val="00DE2617"/>
    <w:rsid w:val="00DE50F3"/>
    <w:rsid w:val="00DE74CC"/>
    <w:rsid w:val="00DF14D0"/>
    <w:rsid w:val="00E0001B"/>
    <w:rsid w:val="00E02AB1"/>
    <w:rsid w:val="00E0339C"/>
    <w:rsid w:val="00E03D91"/>
    <w:rsid w:val="00E121A8"/>
    <w:rsid w:val="00E2173E"/>
    <w:rsid w:val="00E239AF"/>
    <w:rsid w:val="00E248AA"/>
    <w:rsid w:val="00E27EA1"/>
    <w:rsid w:val="00E32B36"/>
    <w:rsid w:val="00E440B9"/>
    <w:rsid w:val="00E45DEF"/>
    <w:rsid w:val="00E45E06"/>
    <w:rsid w:val="00E45F09"/>
    <w:rsid w:val="00E4694B"/>
    <w:rsid w:val="00E50C68"/>
    <w:rsid w:val="00E52E75"/>
    <w:rsid w:val="00E5387E"/>
    <w:rsid w:val="00E6001C"/>
    <w:rsid w:val="00E62CCC"/>
    <w:rsid w:val="00E6333F"/>
    <w:rsid w:val="00E77B4F"/>
    <w:rsid w:val="00E77FEA"/>
    <w:rsid w:val="00E8089B"/>
    <w:rsid w:val="00E83A3F"/>
    <w:rsid w:val="00E87A3B"/>
    <w:rsid w:val="00E90AA7"/>
    <w:rsid w:val="00E92042"/>
    <w:rsid w:val="00E92A9D"/>
    <w:rsid w:val="00E93012"/>
    <w:rsid w:val="00EA05F7"/>
    <w:rsid w:val="00EA1F6B"/>
    <w:rsid w:val="00EA22DB"/>
    <w:rsid w:val="00EA4D36"/>
    <w:rsid w:val="00EA71EF"/>
    <w:rsid w:val="00EB0946"/>
    <w:rsid w:val="00EB68E8"/>
    <w:rsid w:val="00EC0F88"/>
    <w:rsid w:val="00EC2914"/>
    <w:rsid w:val="00ED2E38"/>
    <w:rsid w:val="00ED471B"/>
    <w:rsid w:val="00EF19E1"/>
    <w:rsid w:val="00EF32B7"/>
    <w:rsid w:val="00EF5D8B"/>
    <w:rsid w:val="00F00DF7"/>
    <w:rsid w:val="00F012C5"/>
    <w:rsid w:val="00F021E0"/>
    <w:rsid w:val="00F0570E"/>
    <w:rsid w:val="00F0600F"/>
    <w:rsid w:val="00F101CB"/>
    <w:rsid w:val="00F158FF"/>
    <w:rsid w:val="00F15F4E"/>
    <w:rsid w:val="00F17D2E"/>
    <w:rsid w:val="00F24C87"/>
    <w:rsid w:val="00F3275A"/>
    <w:rsid w:val="00F34D06"/>
    <w:rsid w:val="00F3655F"/>
    <w:rsid w:val="00F43107"/>
    <w:rsid w:val="00F43578"/>
    <w:rsid w:val="00F45C6E"/>
    <w:rsid w:val="00F46C13"/>
    <w:rsid w:val="00F50C07"/>
    <w:rsid w:val="00F61432"/>
    <w:rsid w:val="00F71292"/>
    <w:rsid w:val="00F75853"/>
    <w:rsid w:val="00F771A7"/>
    <w:rsid w:val="00F77B6F"/>
    <w:rsid w:val="00F83D05"/>
    <w:rsid w:val="00F86DBF"/>
    <w:rsid w:val="00F903AD"/>
    <w:rsid w:val="00F933DF"/>
    <w:rsid w:val="00F934A7"/>
    <w:rsid w:val="00F93792"/>
    <w:rsid w:val="00FA11CA"/>
    <w:rsid w:val="00FA1CB7"/>
    <w:rsid w:val="00FD4529"/>
    <w:rsid w:val="00FE0CBD"/>
    <w:rsid w:val="00FE4181"/>
    <w:rsid w:val="00FE6E56"/>
    <w:rsid w:val="00FF0EED"/>
    <w:rsid w:val="00FF17BD"/>
    <w:rsid w:val="00FF1E50"/>
    <w:rsid w:val="00FF45E8"/>
    <w:rsid w:val="00FF71B3"/>
    <w:rsid w:val="046E0273"/>
    <w:rsid w:val="15D169DF"/>
    <w:rsid w:val="17BC7C66"/>
    <w:rsid w:val="185B666A"/>
    <w:rsid w:val="18BB71FD"/>
    <w:rsid w:val="19154E3B"/>
    <w:rsid w:val="1E254CBA"/>
    <w:rsid w:val="22FC1BAA"/>
    <w:rsid w:val="23BD6E60"/>
    <w:rsid w:val="24B569AF"/>
    <w:rsid w:val="2625093B"/>
    <w:rsid w:val="26F162A7"/>
    <w:rsid w:val="2ABB6310"/>
    <w:rsid w:val="2F914564"/>
    <w:rsid w:val="2FDF03F5"/>
    <w:rsid w:val="356D6922"/>
    <w:rsid w:val="35F71456"/>
    <w:rsid w:val="37052E4B"/>
    <w:rsid w:val="38D66634"/>
    <w:rsid w:val="3C763276"/>
    <w:rsid w:val="3F6C2950"/>
    <w:rsid w:val="3FBE7125"/>
    <w:rsid w:val="3FFFF626"/>
    <w:rsid w:val="40ED7B95"/>
    <w:rsid w:val="41CD35DF"/>
    <w:rsid w:val="44641925"/>
    <w:rsid w:val="4A386E55"/>
    <w:rsid w:val="4B8C522F"/>
    <w:rsid w:val="4DF670E1"/>
    <w:rsid w:val="51F34806"/>
    <w:rsid w:val="53A223C0"/>
    <w:rsid w:val="56F5099F"/>
    <w:rsid w:val="57E129AA"/>
    <w:rsid w:val="59966DA7"/>
    <w:rsid w:val="5DD7CBBE"/>
    <w:rsid w:val="60ED14FA"/>
    <w:rsid w:val="60F83BD7"/>
    <w:rsid w:val="655A6E02"/>
    <w:rsid w:val="65A704A3"/>
    <w:rsid w:val="6636161D"/>
    <w:rsid w:val="6E8F6C94"/>
    <w:rsid w:val="71B317EC"/>
    <w:rsid w:val="725900BB"/>
    <w:rsid w:val="72E21EDE"/>
    <w:rsid w:val="73CD3C72"/>
    <w:rsid w:val="74BF7AF4"/>
    <w:rsid w:val="7636593E"/>
    <w:rsid w:val="76995646"/>
    <w:rsid w:val="76FFF7A1"/>
    <w:rsid w:val="77653BC9"/>
    <w:rsid w:val="777ED8A4"/>
    <w:rsid w:val="77B99891"/>
    <w:rsid w:val="77BD9545"/>
    <w:rsid w:val="7ABB7379"/>
    <w:rsid w:val="B3CDCF48"/>
    <w:rsid w:val="B7FDEA74"/>
    <w:rsid w:val="E7ED028A"/>
    <w:rsid w:val="F78F2428"/>
    <w:rsid w:val="F97F52D4"/>
    <w:rsid w:val="F9FF17DD"/>
    <w:rsid w:val="FDF79B8B"/>
    <w:rsid w:val="FEF75BEB"/>
    <w:rsid w:val="FFAF4293"/>
    <w:rsid w:val="FFF5C6B2"/>
    <w:rsid w:val="FFF900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nhideWhenUsed="0" w:uiPriority="99" w:semiHidden="0" w:name="table of figures"/>
    <w:lsdException w:uiPriority="0" w:name="envelope address"/>
    <w:lsdException w:uiPriority="0" w:name="envelope return"/>
    <w:lsdException w:unhideWhenUsed="0" w:uiPriority="0" w:semiHidden="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iPriority="99" w:semiHidden="0"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80" w:firstLineChars="200"/>
      <w:jc w:val="both"/>
    </w:pPr>
    <w:rPr>
      <w:rFonts w:ascii="Times New Roman" w:hAnsi="Times New Roman" w:eastAsia="宋体" w:cs="Times New Roman"/>
      <w:kern w:val="2"/>
      <w:sz w:val="21"/>
      <w:szCs w:val="24"/>
      <w:lang w:val="en-US" w:eastAsia="zh-CN" w:bidi="ar-SA"/>
    </w:rPr>
  </w:style>
  <w:style w:type="paragraph" w:styleId="2">
    <w:name w:val="heading 1"/>
    <w:next w:val="1"/>
    <w:link w:val="75"/>
    <w:qFormat/>
    <w:uiPriority w:val="0"/>
    <w:pPr>
      <w:keepNext/>
      <w:keepLines/>
      <w:widowControl w:val="0"/>
      <w:numPr>
        <w:ilvl w:val="0"/>
        <w:numId w:val="1"/>
      </w:numPr>
      <w:adjustRightInd w:val="0"/>
      <w:snapToGrid w:val="0"/>
      <w:spacing w:after="50" w:afterLines="50" w:line="360" w:lineRule="auto"/>
      <w:jc w:val="both"/>
      <w:outlineLvl w:val="0"/>
    </w:pPr>
    <w:rPr>
      <w:rFonts w:ascii="Times New Roman" w:hAnsi="Times New Roman" w:eastAsia="黑体" w:cs="Times New Roman"/>
      <w:b/>
      <w:bCs/>
      <w:snapToGrid w:val="0"/>
      <w:kern w:val="44"/>
      <w:sz w:val="30"/>
      <w:szCs w:val="44"/>
      <w:lang w:val="en-US" w:eastAsia="zh-CN" w:bidi="ar-SA"/>
    </w:rPr>
  </w:style>
  <w:style w:type="paragraph" w:styleId="3">
    <w:name w:val="heading 2"/>
    <w:basedOn w:val="2"/>
    <w:next w:val="1"/>
    <w:link w:val="76"/>
    <w:qFormat/>
    <w:uiPriority w:val="0"/>
    <w:pPr>
      <w:numPr>
        <w:ilvl w:val="1"/>
      </w:numPr>
      <w:spacing w:before="100" w:beforeLines="100"/>
      <w:outlineLvl w:val="1"/>
    </w:pPr>
    <w:rPr>
      <w:rFonts w:ascii="Times New Roman" w:hAnsi="Times New Roman" w:eastAsia="宋体"/>
      <w:bCs w:val="0"/>
      <w:sz w:val="28"/>
    </w:rPr>
  </w:style>
  <w:style w:type="paragraph" w:styleId="4">
    <w:name w:val="heading 3"/>
    <w:basedOn w:val="3"/>
    <w:next w:val="1"/>
    <w:link w:val="77"/>
    <w:qFormat/>
    <w:uiPriority w:val="0"/>
    <w:pPr>
      <w:numPr>
        <w:ilvl w:val="2"/>
      </w:numPr>
      <w:spacing w:before="50" w:beforeLines="50" w:after="0" w:afterLines="0"/>
      <w:outlineLvl w:val="2"/>
    </w:pPr>
    <w:rPr>
      <w:bCs/>
      <w:sz w:val="24"/>
    </w:rPr>
  </w:style>
  <w:style w:type="paragraph" w:styleId="5">
    <w:name w:val="heading 4"/>
    <w:basedOn w:val="4"/>
    <w:next w:val="1"/>
    <w:qFormat/>
    <w:uiPriority w:val="0"/>
    <w:pPr>
      <w:numPr>
        <w:ilvl w:val="3"/>
      </w:numPr>
      <w:spacing w:beforeLines="0"/>
      <w:outlineLvl w:val="3"/>
    </w:pPr>
  </w:style>
  <w:style w:type="paragraph" w:styleId="6">
    <w:name w:val="heading 5"/>
    <w:basedOn w:val="5"/>
    <w:next w:val="1"/>
    <w:qFormat/>
    <w:uiPriority w:val="0"/>
    <w:pPr>
      <w:numPr>
        <w:ilvl w:val="4"/>
      </w:numPr>
      <w:outlineLvl w:val="4"/>
    </w:pPr>
    <w:rPr>
      <w:bCs w:val="0"/>
      <w:szCs w:val="28"/>
    </w:rPr>
  </w:style>
  <w:style w:type="paragraph" w:styleId="7">
    <w:name w:val="heading 6"/>
    <w:basedOn w:val="6"/>
    <w:next w:val="1"/>
    <w:qFormat/>
    <w:uiPriority w:val="0"/>
    <w:pPr>
      <w:numPr>
        <w:ilvl w:val="5"/>
      </w:numPr>
      <w:outlineLvl w:val="5"/>
    </w:pPr>
  </w:style>
  <w:style w:type="paragraph" w:styleId="8">
    <w:name w:val="heading 7"/>
    <w:basedOn w:val="7"/>
    <w:next w:val="1"/>
    <w:qFormat/>
    <w:uiPriority w:val="0"/>
    <w:pPr>
      <w:numPr>
        <w:ilvl w:val="6"/>
      </w:numPr>
      <w:ind w:left="1055" w:hanging="590"/>
      <w:outlineLvl w:val="6"/>
    </w:pPr>
  </w:style>
  <w:style w:type="character" w:default="1" w:styleId="26">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9">
    <w:name w:val="caption"/>
    <w:next w:val="1"/>
    <w:qFormat/>
    <w:uiPriority w:val="0"/>
    <w:pPr>
      <w:adjustRightInd w:val="0"/>
      <w:snapToGrid w:val="0"/>
      <w:spacing w:after="120" w:afterLines="50"/>
      <w:jc w:val="center"/>
    </w:pPr>
    <w:rPr>
      <w:rFonts w:ascii="Times New Roman" w:hAnsi="Times New Roman" w:eastAsia="仿宋" w:cs="仿宋"/>
      <w:kern w:val="2"/>
      <w:sz w:val="21"/>
      <w:szCs w:val="21"/>
      <w:lang w:val="en-US" w:eastAsia="zh-CN" w:bidi="ar-SA"/>
    </w:rPr>
  </w:style>
  <w:style w:type="paragraph" w:styleId="10">
    <w:name w:val="annotation text"/>
    <w:basedOn w:val="1"/>
    <w:link w:val="63"/>
    <w:uiPriority w:val="0"/>
    <w:pPr>
      <w:jc w:val="left"/>
    </w:pPr>
  </w:style>
  <w:style w:type="paragraph" w:styleId="11">
    <w:name w:val="toc 3"/>
    <w:next w:val="1"/>
    <w:uiPriority w:val="39"/>
    <w:pPr>
      <w:adjustRightInd w:val="0"/>
      <w:snapToGrid w:val="0"/>
      <w:spacing w:line="360" w:lineRule="auto"/>
      <w:ind w:left="400" w:leftChars="400"/>
      <w:jc w:val="both"/>
    </w:pPr>
    <w:rPr>
      <w:rFonts w:ascii="Times New Roman" w:hAnsi="Times New Roman" w:eastAsia="仿宋" w:cs="Times New Roman"/>
      <w:kern w:val="2"/>
      <w:sz w:val="24"/>
      <w:szCs w:val="24"/>
      <w:lang w:val="en-US" w:eastAsia="zh-CN" w:bidi="ar-SA"/>
    </w:rPr>
  </w:style>
  <w:style w:type="paragraph" w:styleId="12">
    <w:name w:val="Balloon Text"/>
    <w:basedOn w:val="1"/>
    <w:link w:val="33"/>
    <w:uiPriority w:val="0"/>
    <w:rPr>
      <w:sz w:val="18"/>
      <w:szCs w:val="18"/>
    </w:rPr>
  </w:style>
  <w:style w:type="paragraph" w:styleId="13">
    <w:name w:val="footer"/>
    <w:basedOn w:val="1"/>
    <w:link w:val="65"/>
    <w:qFormat/>
    <w:uiPriority w:val="99"/>
    <w:pPr>
      <w:tabs>
        <w:tab w:val="center" w:pos="4153"/>
        <w:tab w:val="right" w:pos="8306"/>
      </w:tabs>
      <w:spacing w:line="240" w:lineRule="auto"/>
      <w:ind w:firstLine="0"/>
      <w:jc w:val="center"/>
    </w:pPr>
    <w:rPr>
      <w:sz w:val="18"/>
      <w:szCs w:val="18"/>
    </w:rPr>
  </w:style>
  <w:style w:type="paragraph" w:styleId="14">
    <w:name w:val="header"/>
    <w:link w:val="35"/>
    <w:qFormat/>
    <w:uiPriority w:val="99"/>
    <w:pPr>
      <w:pBdr>
        <w:bottom w:val="single" w:color="auto" w:sz="6" w:space="0"/>
      </w:pBdr>
      <w:tabs>
        <w:tab w:val="center" w:pos="4153"/>
        <w:tab w:val="right" w:pos="8306"/>
      </w:tabs>
      <w:adjustRightInd w:val="0"/>
      <w:snapToGrid w:val="0"/>
      <w:jc w:val="center"/>
    </w:pPr>
    <w:rPr>
      <w:rFonts w:ascii="Times New Roman" w:hAnsi="Times New Roman" w:eastAsia="仿宋" w:cs="Times New Roman"/>
      <w:kern w:val="2"/>
      <w:sz w:val="18"/>
      <w:szCs w:val="18"/>
      <w:lang w:val="en-US" w:eastAsia="zh-CN" w:bidi="ar-SA"/>
    </w:rPr>
  </w:style>
  <w:style w:type="paragraph" w:styleId="15">
    <w:name w:val="toc 1"/>
    <w:next w:val="1"/>
    <w:uiPriority w:val="39"/>
    <w:pPr>
      <w:adjustRightInd w:val="0"/>
      <w:snapToGrid w:val="0"/>
      <w:spacing w:line="360" w:lineRule="auto"/>
      <w:jc w:val="both"/>
    </w:pPr>
    <w:rPr>
      <w:rFonts w:ascii="Times New Roman" w:hAnsi="Times New Roman" w:eastAsia="仿宋" w:cs="Times New Roman"/>
      <w:b/>
      <w:kern w:val="2"/>
      <w:sz w:val="28"/>
      <w:szCs w:val="24"/>
      <w:lang w:val="en-US" w:eastAsia="zh-CN" w:bidi="ar-SA"/>
    </w:rPr>
  </w:style>
  <w:style w:type="paragraph" w:styleId="16">
    <w:name w:val="Subtitle"/>
    <w:basedOn w:val="1"/>
    <w:next w:val="1"/>
    <w:link w:val="71"/>
    <w:uiPriority w:val="0"/>
    <w:pPr>
      <w:spacing w:before="100" w:beforeLines="100" w:after="50" w:afterLines="50"/>
      <w:ind w:firstLine="0" w:firstLineChars="0"/>
      <w:jc w:val="center"/>
    </w:pPr>
    <w:rPr>
      <w:b/>
      <w:color w:val="000000"/>
      <w:sz w:val="36"/>
      <w:szCs w:val="36"/>
    </w:rPr>
  </w:style>
  <w:style w:type="paragraph" w:styleId="17">
    <w:name w:val="footnote text"/>
    <w:basedOn w:val="1"/>
    <w:link w:val="86"/>
    <w:uiPriority w:val="0"/>
    <w:pPr>
      <w:ind w:firstLine="0" w:firstLineChars="0"/>
    </w:pPr>
    <w:rPr>
      <w:rFonts w:ascii="宋体" w:hAnsi="宋体" w:eastAsia="宋体"/>
      <w:sz w:val="18"/>
      <w:szCs w:val="18"/>
    </w:rPr>
  </w:style>
  <w:style w:type="paragraph" w:styleId="18">
    <w:name w:val="table of figures"/>
    <w:next w:val="1"/>
    <w:uiPriority w:val="99"/>
    <w:pPr>
      <w:adjustRightInd w:val="0"/>
      <w:snapToGrid w:val="0"/>
      <w:spacing w:line="360" w:lineRule="auto"/>
      <w:jc w:val="both"/>
    </w:pPr>
    <w:rPr>
      <w:rFonts w:ascii="Times New Roman" w:hAnsi="Times New Roman" w:eastAsia="仿宋" w:cs="Times New Roman"/>
      <w:kern w:val="2"/>
      <w:sz w:val="24"/>
      <w:szCs w:val="24"/>
      <w:lang w:val="en-US" w:eastAsia="zh-CN" w:bidi="ar-SA"/>
    </w:rPr>
  </w:style>
  <w:style w:type="paragraph" w:styleId="19">
    <w:name w:val="toc 2"/>
    <w:next w:val="1"/>
    <w:uiPriority w:val="39"/>
    <w:pPr>
      <w:adjustRightInd w:val="0"/>
      <w:snapToGrid w:val="0"/>
      <w:spacing w:line="360" w:lineRule="auto"/>
      <w:ind w:left="200" w:leftChars="200"/>
      <w:jc w:val="both"/>
    </w:pPr>
    <w:rPr>
      <w:rFonts w:ascii="Times New Roman" w:hAnsi="Times New Roman" w:eastAsia="仿宋" w:cs="Times New Roman"/>
      <w:kern w:val="2"/>
      <w:sz w:val="24"/>
      <w:szCs w:val="24"/>
      <w:lang w:val="en-US" w:eastAsia="zh-CN" w:bidi="ar-SA"/>
    </w:rPr>
  </w:style>
  <w:style w:type="paragraph" w:styleId="20">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1">
    <w:name w:val="Title"/>
    <w:next w:val="1"/>
    <w:link w:val="67"/>
    <w:qFormat/>
    <w:uiPriority w:val="0"/>
    <w:pPr>
      <w:adjustRightInd w:val="0"/>
      <w:snapToGrid w:val="0"/>
      <w:spacing w:before="100" w:beforeLines="100" w:after="150" w:afterLines="150" w:line="360" w:lineRule="auto"/>
      <w:jc w:val="center"/>
      <w:outlineLvl w:val="0"/>
    </w:pPr>
    <w:rPr>
      <w:rFonts w:ascii="Times New Roman" w:hAnsi="Times New Roman" w:eastAsia="仿宋" w:cs="Times New Roman"/>
      <w:b/>
      <w:kern w:val="2"/>
      <w:sz w:val="36"/>
      <w:szCs w:val="36"/>
      <w:lang w:val="en-US" w:eastAsia="zh-CN" w:bidi="ar-SA"/>
    </w:rPr>
  </w:style>
  <w:style w:type="paragraph" w:styleId="22">
    <w:name w:val="annotation subject"/>
    <w:basedOn w:val="10"/>
    <w:next w:val="10"/>
    <w:link w:val="64"/>
    <w:uiPriority w:val="0"/>
    <w:rPr>
      <w:b/>
      <w:bCs/>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Table Classic 1"/>
    <w:basedOn w:val="23"/>
    <w:uiPriority w:val="0"/>
    <w:pPr>
      <w:widowControl w:val="0"/>
      <w:jc w:val="both"/>
    </w:pPr>
    <w:rPr>
      <w:rFonts w:eastAsia="仿宋"/>
      <w:sz w:val="21"/>
    </w:rPr>
    <w:tblPr>
      <w:tblBorders>
        <w:top w:val="single" w:color="00B050" w:sz="12" w:space="0"/>
        <w:bottom w:val="single" w:color="00B05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27">
    <w:name w:val="Strong"/>
    <w:basedOn w:val="26"/>
    <w:uiPriority w:val="0"/>
    <w:rPr>
      <w:b/>
    </w:rPr>
  </w:style>
  <w:style w:type="character" w:styleId="28">
    <w:name w:val="FollowedHyperlink"/>
    <w:basedOn w:val="26"/>
    <w:semiHidden/>
    <w:unhideWhenUsed/>
    <w:uiPriority w:val="0"/>
    <w:rPr>
      <w:color w:val="800080" w:themeColor="followedHyperlink"/>
      <w:u w:val="single"/>
      <w14:textFill>
        <w14:solidFill>
          <w14:schemeClr w14:val="folHlink"/>
        </w14:solidFill>
      </w14:textFill>
    </w:rPr>
  </w:style>
  <w:style w:type="character" w:styleId="29">
    <w:name w:val="Emphasis"/>
    <w:basedOn w:val="26"/>
    <w:uiPriority w:val="0"/>
    <w:rPr>
      <w:i/>
    </w:rPr>
  </w:style>
  <w:style w:type="character" w:styleId="30">
    <w:name w:val="Hyperlink"/>
    <w:uiPriority w:val="99"/>
    <w:rPr>
      <w:color w:val="0000FF"/>
      <w:u w:val="single"/>
    </w:rPr>
  </w:style>
  <w:style w:type="character" w:styleId="31">
    <w:name w:val="annotation reference"/>
    <w:basedOn w:val="26"/>
    <w:uiPriority w:val="0"/>
    <w:rPr>
      <w:sz w:val="21"/>
      <w:szCs w:val="21"/>
    </w:rPr>
  </w:style>
  <w:style w:type="character" w:styleId="32">
    <w:name w:val="footnote reference"/>
    <w:uiPriority w:val="0"/>
    <w:rPr>
      <w:vertAlign w:val="superscript"/>
    </w:rPr>
  </w:style>
  <w:style w:type="character" w:customStyle="1" w:styleId="33">
    <w:name w:val="Balloon Text Char"/>
    <w:link w:val="12"/>
    <w:uiPriority w:val="0"/>
    <w:rPr>
      <w:kern w:val="2"/>
      <w:sz w:val="18"/>
      <w:szCs w:val="18"/>
    </w:rPr>
  </w:style>
  <w:style w:type="table" w:customStyle="1" w:styleId="34">
    <w:name w:val="表格"/>
    <w:basedOn w:val="23"/>
    <w:uiPriority w:val="99"/>
    <w:pPr>
      <w:adjustRightInd w:val="0"/>
      <w:snapToGrid w:val="0"/>
      <w:spacing w:after="50" w:afterLines="50"/>
    </w:pPr>
    <w:rPr>
      <w:rFonts w:eastAsia="仿宋"/>
      <w:sz w:val="21"/>
    </w:rPr>
    <w:tblPr>
      <w:tblBorders>
        <w:top w:val="single" w:color="auto" w:sz="12" w:space="0"/>
        <w:bottom w:val="single" w:color="auto" w:sz="12" w:space="0"/>
      </w:tblBorders>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35">
    <w:name w:val="Header Char"/>
    <w:link w:val="14"/>
    <w:uiPriority w:val="99"/>
    <w:rPr>
      <w:rFonts w:eastAsia="仿宋"/>
      <w:kern w:val="2"/>
      <w:sz w:val="18"/>
      <w:szCs w:val="18"/>
    </w:rPr>
  </w:style>
  <w:style w:type="paragraph" w:customStyle="1" w:styleId="36">
    <w:name w:val="列项——"/>
    <w:link w:val="84"/>
    <w:uiPriority w:val="0"/>
    <w:pPr>
      <w:widowControl w:val="0"/>
      <w:numPr>
        <w:ilvl w:val="0"/>
        <w:numId w:val="2"/>
      </w:numPr>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7">
    <w:name w:val="公式"/>
    <w:next w:val="1"/>
    <w:uiPriority w:val="0"/>
    <w:pPr>
      <w:tabs>
        <w:tab w:val="right" w:pos="8971"/>
      </w:tabs>
      <w:spacing w:beforeLines="50" w:afterLines="50"/>
      <w:ind w:firstLine="480"/>
      <w:jc w:val="right"/>
    </w:pPr>
    <w:rPr>
      <w:rFonts w:ascii="仿宋" w:hAnsi="仿宋" w:eastAsia="仿宋" w:cs="仿宋"/>
      <w:kern w:val="2"/>
      <w:sz w:val="24"/>
      <w:szCs w:val="24"/>
      <w:lang w:val="en-US" w:eastAsia="zh-CN" w:bidi="ar-SA"/>
    </w:rPr>
  </w:style>
  <w:style w:type="paragraph" w:customStyle="1" w:styleId="38">
    <w:name w:val="列项——（一级）"/>
    <w:uiPriority w:val="0"/>
    <w:pPr>
      <w:widowControl w:val="0"/>
      <w:numPr>
        <w:ilvl w:val="0"/>
        <w:numId w:val="3"/>
      </w:numPr>
      <w:tabs>
        <w:tab w:val="left" w:pos="854"/>
        <w:tab w:val="clear" w:pos="1140"/>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9">
    <w:name w:val="段"/>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 w:type="paragraph" w:customStyle="1" w:styleId="40">
    <w:name w:val="附录二级条标题"/>
    <w:basedOn w:val="41"/>
    <w:next w:val="39"/>
    <w:uiPriority w:val="0"/>
    <w:pPr>
      <w:numPr>
        <w:ilvl w:val="3"/>
      </w:numPr>
      <w:outlineLvl w:val="3"/>
    </w:pPr>
  </w:style>
  <w:style w:type="paragraph" w:customStyle="1" w:styleId="41">
    <w:name w:val="附录一级条标题"/>
    <w:basedOn w:val="42"/>
    <w:next w:val="39"/>
    <w:uiPriority w:val="0"/>
    <w:pPr>
      <w:numPr>
        <w:ilvl w:val="2"/>
      </w:numPr>
      <w:autoSpaceDN w:val="0"/>
      <w:spacing w:beforeLines="0" w:afterLines="0"/>
      <w:outlineLvl w:val="2"/>
    </w:pPr>
  </w:style>
  <w:style w:type="paragraph" w:customStyle="1" w:styleId="42">
    <w:name w:val="附录章标题"/>
    <w:next w:val="39"/>
    <w:uiPriority w:val="0"/>
    <w:pPr>
      <w:numPr>
        <w:ilvl w:val="1"/>
        <w:numId w:val="2"/>
      </w:numPr>
      <w:wordWrap w:val="0"/>
      <w:overflowPunct w:val="0"/>
      <w:autoSpaceDE w:val="0"/>
      <w:spacing w:beforeLines="50" w:afterLines="50" w:line="360" w:lineRule="auto"/>
      <w:jc w:val="both"/>
      <w:textAlignment w:val="baseline"/>
      <w:outlineLvl w:val="1"/>
    </w:pPr>
    <w:rPr>
      <w:rFonts w:ascii="黑体" w:hAnsi="Times New Roman" w:eastAsia="黑体" w:cs="Times New Roman"/>
      <w:kern w:val="21"/>
      <w:sz w:val="21"/>
      <w:lang w:val="en-US" w:eastAsia="zh-CN" w:bidi="ar-SA"/>
    </w:rPr>
  </w:style>
  <w:style w:type="paragraph" w:customStyle="1" w:styleId="43">
    <w:name w:val="题注-表"/>
    <w:next w:val="1"/>
    <w:qFormat/>
    <w:uiPriority w:val="0"/>
    <w:pPr>
      <w:keepNext/>
      <w:adjustRightInd w:val="0"/>
      <w:snapToGrid w:val="0"/>
      <w:spacing w:before="120" w:beforeLines="50"/>
      <w:jc w:val="center"/>
    </w:pPr>
    <w:rPr>
      <w:rFonts w:ascii="Times New Roman" w:hAnsi="Times New Roman" w:eastAsia="仿宋" w:cs="仿宋"/>
      <w:kern w:val="2"/>
      <w:sz w:val="21"/>
      <w:szCs w:val="21"/>
      <w:lang w:val="en-US" w:eastAsia="zh-CN" w:bidi="ar-SA"/>
    </w:rPr>
  </w:style>
  <w:style w:type="paragraph" w:customStyle="1" w:styleId="44">
    <w:name w:val="三级条标题"/>
    <w:basedOn w:val="45"/>
    <w:next w:val="39"/>
    <w:uiPriority w:val="0"/>
    <w:pPr>
      <w:numPr>
        <w:ilvl w:val="4"/>
      </w:numPr>
      <w:outlineLvl w:val="4"/>
    </w:pPr>
  </w:style>
  <w:style w:type="paragraph" w:customStyle="1" w:styleId="45">
    <w:name w:val="二级条标题"/>
    <w:basedOn w:val="46"/>
    <w:next w:val="39"/>
    <w:uiPriority w:val="0"/>
    <w:pPr>
      <w:numPr>
        <w:ilvl w:val="3"/>
      </w:numPr>
      <w:outlineLvl w:val="3"/>
    </w:pPr>
  </w:style>
  <w:style w:type="paragraph" w:customStyle="1" w:styleId="46">
    <w:name w:val="一级条标题"/>
    <w:next w:val="39"/>
    <w:uiPriority w:val="0"/>
    <w:pPr>
      <w:numPr>
        <w:ilvl w:val="2"/>
        <w:numId w:val="4"/>
      </w:numPr>
      <w:spacing w:line="360" w:lineRule="auto"/>
      <w:jc w:val="both"/>
      <w:outlineLvl w:val="2"/>
    </w:pPr>
    <w:rPr>
      <w:rFonts w:ascii="Times New Roman" w:hAnsi="Times New Roman" w:eastAsia="黑体" w:cs="Times New Roman"/>
      <w:sz w:val="21"/>
      <w:lang w:val="en-US" w:eastAsia="zh-CN" w:bidi="ar-SA"/>
    </w:rPr>
  </w:style>
  <w:style w:type="paragraph" w:customStyle="1" w:styleId="47">
    <w:name w:val="前言、引言标题"/>
    <w:next w:val="1"/>
    <w:uiPriority w:val="0"/>
    <w:pPr>
      <w:numPr>
        <w:ilvl w:val="0"/>
        <w:numId w:val="4"/>
      </w:numPr>
      <w:shd w:val="clear" w:color="FFFFFF" w:fill="FFFFFF"/>
      <w:spacing w:before="640" w:after="560" w:line="360" w:lineRule="auto"/>
      <w:jc w:val="center"/>
      <w:outlineLvl w:val="0"/>
    </w:pPr>
    <w:rPr>
      <w:rFonts w:ascii="黑体" w:hAnsi="Times New Roman" w:eastAsia="黑体" w:cs="Times New Roman"/>
      <w:sz w:val="32"/>
      <w:lang w:val="en-US" w:eastAsia="zh-CN" w:bidi="ar-SA"/>
    </w:rPr>
  </w:style>
  <w:style w:type="paragraph" w:customStyle="1" w:styleId="48">
    <w:name w:val="样式1"/>
    <w:basedOn w:val="15"/>
    <w:uiPriority w:val="0"/>
  </w:style>
  <w:style w:type="paragraph" w:customStyle="1" w:styleId="49">
    <w:name w:val="附录三级条标题"/>
    <w:basedOn w:val="40"/>
    <w:next w:val="39"/>
    <w:uiPriority w:val="0"/>
    <w:pPr>
      <w:numPr>
        <w:ilvl w:val="4"/>
      </w:numPr>
      <w:outlineLvl w:val="4"/>
    </w:pPr>
  </w:style>
  <w:style w:type="paragraph" w:customStyle="1" w:styleId="50">
    <w:name w:val="附录四级条标题"/>
    <w:basedOn w:val="49"/>
    <w:next w:val="39"/>
    <w:uiPriority w:val="0"/>
    <w:pPr>
      <w:numPr>
        <w:ilvl w:val="5"/>
      </w:numPr>
      <w:outlineLvl w:val="5"/>
    </w:pPr>
  </w:style>
  <w:style w:type="paragraph" w:customStyle="1" w:styleId="51">
    <w:name w:val="四级条标题"/>
    <w:basedOn w:val="44"/>
    <w:next w:val="39"/>
    <w:uiPriority w:val="0"/>
    <w:pPr>
      <w:numPr>
        <w:ilvl w:val="5"/>
      </w:numPr>
      <w:outlineLvl w:val="5"/>
    </w:pPr>
  </w:style>
  <w:style w:type="paragraph" w:customStyle="1" w:styleId="52">
    <w:name w:val="附录五级条标题"/>
    <w:basedOn w:val="50"/>
    <w:next w:val="39"/>
    <w:uiPriority w:val="0"/>
    <w:pPr>
      <w:numPr>
        <w:ilvl w:val="6"/>
      </w:numPr>
      <w:outlineLvl w:val="6"/>
    </w:pPr>
  </w:style>
  <w:style w:type="paragraph" w:customStyle="1" w:styleId="53">
    <w:name w:val="章标题"/>
    <w:next w:val="39"/>
    <w:uiPriority w:val="0"/>
    <w:pPr>
      <w:numPr>
        <w:ilvl w:val="1"/>
        <w:numId w:val="4"/>
      </w:numPr>
      <w:spacing w:beforeLines="50" w:afterLines="50" w:line="360" w:lineRule="auto"/>
      <w:jc w:val="both"/>
      <w:outlineLvl w:val="1"/>
    </w:pPr>
    <w:rPr>
      <w:rFonts w:ascii="黑体" w:hAnsi="Times New Roman" w:eastAsia="黑体" w:cs="Times New Roman"/>
      <w:sz w:val="21"/>
      <w:lang w:val="en-US" w:eastAsia="zh-CN" w:bidi="ar-SA"/>
    </w:rPr>
  </w:style>
  <w:style w:type="paragraph" w:customStyle="1" w:styleId="54">
    <w:name w:val="附录标识"/>
    <w:basedOn w:val="47"/>
    <w:uiPriority w:val="0"/>
    <w:pPr>
      <w:numPr>
        <w:numId w:val="0"/>
      </w:numPr>
      <w:tabs>
        <w:tab w:val="left" w:pos="6405"/>
      </w:tabs>
      <w:spacing w:after="200"/>
      <w:ind w:left="4320"/>
    </w:pPr>
    <w:rPr>
      <w:sz w:val="21"/>
    </w:rPr>
  </w:style>
  <w:style w:type="paragraph" w:customStyle="1" w:styleId="55">
    <w:name w:val="五级条标题"/>
    <w:basedOn w:val="51"/>
    <w:next w:val="39"/>
    <w:uiPriority w:val="0"/>
    <w:pPr>
      <w:numPr>
        <w:ilvl w:val="6"/>
      </w:numPr>
      <w:outlineLvl w:val="6"/>
    </w:pPr>
  </w:style>
  <w:style w:type="paragraph" w:customStyle="1" w:styleId="56">
    <w:name w:val="Default"/>
    <w:uiPriority w:val="0"/>
    <w:pPr>
      <w:widowControl w:val="0"/>
      <w:autoSpaceDE w:val="0"/>
      <w:autoSpaceDN w:val="0"/>
      <w:adjustRightInd w:val="0"/>
      <w:spacing w:line="360" w:lineRule="auto"/>
      <w:jc w:val="both"/>
    </w:pPr>
    <w:rPr>
      <w:rFonts w:ascii="仿宋" w:hAnsi="Times New Roman" w:eastAsia="仿宋" w:cs="仿宋"/>
      <w:color w:val="000000"/>
      <w:sz w:val="24"/>
      <w:szCs w:val="24"/>
      <w:lang w:val="en-US" w:eastAsia="zh-CN" w:bidi="ar-SA"/>
    </w:rPr>
  </w:style>
  <w:style w:type="paragraph" w:customStyle="1" w:styleId="57">
    <w:name w:val="示例"/>
    <w:next w:val="39"/>
    <w:uiPriority w:val="0"/>
    <w:pPr>
      <w:numPr>
        <w:ilvl w:val="0"/>
        <w:numId w:val="5"/>
      </w:numPr>
      <w:tabs>
        <w:tab w:val="left" w:pos="816"/>
        <w:tab w:val="clear" w:pos="1120"/>
      </w:tabs>
      <w:spacing w:line="360" w:lineRule="auto"/>
      <w:ind w:firstLine="419" w:firstLineChars="233"/>
      <w:jc w:val="both"/>
    </w:pPr>
    <w:rPr>
      <w:rFonts w:ascii="宋体" w:hAnsi="Times New Roman" w:eastAsia="宋体" w:cs="Times New Roman"/>
      <w:sz w:val="18"/>
      <w:lang w:val="en-US" w:eastAsia="zh-CN" w:bidi="ar-SA"/>
    </w:rPr>
  </w:style>
  <w:style w:type="paragraph" w:styleId="58">
    <w:name w:val="No Spacing"/>
    <w:uiPriority w:val="1"/>
    <w:pPr>
      <w:widowControl w:val="0"/>
      <w:spacing w:line="360" w:lineRule="auto"/>
      <w:jc w:val="both"/>
    </w:pPr>
    <w:rPr>
      <w:rFonts w:ascii="Times New Roman" w:hAnsi="Times New Roman" w:eastAsia="宋体" w:cs="Times New Roman"/>
      <w:kern w:val="2"/>
      <w:sz w:val="21"/>
      <w:szCs w:val="24"/>
      <w:lang w:val="en-US" w:eastAsia="zh-CN" w:bidi="ar-SA"/>
    </w:rPr>
  </w:style>
  <w:style w:type="paragraph" w:customStyle="1" w:styleId="59">
    <w:name w:val="参考文献"/>
    <w:basedOn w:val="60"/>
    <w:qFormat/>
    <w:uiPriority w:val="0"/>
    <w:pPr>
      <w:ind w:left="200" w:hanging="200"/>
    </w:pPr>
  </w:style>
  <w:style w:type="paragraph" w:styleId="60">
    <w:name w:val="Quote"/>
    <w:basedOn w:val="1"/>
    <w:link w:val="70"/>
    <w:uiPriority w:val="99"/>
    <w:pPr>
      <w:widowControl/>
      <w:ind w:left="480" w:hanging="480" w:hangingChars="200"/>
    </w:pPr>
    <w:rPr>
      <w:kern w:val="0"/>
    </w:rPr>
  </w:style>
  <w:style w:type="paragraph" w:customStyle="1" w:styleId="61">
    <w:name w:val="TOC Heading"/>
    <w:basedOn w:val="2"/>
    <w:next w:val="1"/>
    <w:semiHidden/>
    <w:unhideWhenUsed/>
    <w:qFormat/>
    <w:uiPriority w:val="39"/>
    <w:pPr>
      <w:numPr>
        <w:numId w:val="0"/>
      </w:numPr>
      <w:spacing w:afterLines="0" w:line="276" w:lineRule="auto"/>
      <w:outlineLvl w:val="9"/>
    </w:pPr>
    <w:rPr>
      <w:rFonts w:ascii="Cambria" w:hAnsi="Cambria" w:eastAsia="宋体"/>
      <w:snapToGrid/>
      <w:color w:val="365F91"/>
      <w:kern w:val="0"/>
      <w:sz w:val="28"/>
      <w:szCs w:val="28"/>
    </w:rPr>
  </w:style>
  <w:style w:type="table" w:customStyle="1" w:styleId="62">
    <w:name w:val="三线表"/>
    <w:basedOn w:val="23"/>
    <w:uiPriority w:val="0"/>
    <w:rPr>
      <w:rFonts w:eastAsia="仿宋"/>
      <w:sz w:val="21"/>
    </w:rPr>
    <w:tblPr>
      <w:tblBorders>
        <w:top w:val="single" w:color="00B050" w:sz="12" w:space="0"/>
        <w:bottom w:val="single" w:color="00B050" w:sz="12" w:space="0"/>
      </w:tblBorders>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63">
    <w:name w:val="Comment Text Char"/>
    <w:basedOn w:val="26"/>
    <w:link w:val="10"/>
    <w:uiPriority w:val="0"/>
    <w:rPr>
      <w:kern w:val="2"/>
      <w:sz w:val="21"/>
      <w:szCs w:val="24"/>
    </w:rPr>
  </w:style>
  <w:style w:type="character" w:customStyle="1" w:styleId="64">
    <w:name w:val="Comment Subject Char"/>
    <w:basedOn w:val="63"/>
    <w:link w:val="22"/>
    <w:uiPriority w:val="0"/>
    <w:rPr>
      <w:b/>
      <w:bCs/>
      <w:kern w:val="2"/>
      <w:sz w:val="21"/>
      <w:szCs w:val="24"/>
    </w:rPr>
  </w:style>
  <w:style w:type="character" w:customStyle="1" w:styleId="65">
    <w:name w:val="Footer Char"/>
    <w:basedOn w:val="26"/>
    <w:link w:val="13"/>
    <w:uiPriority w:val="99"/>
    <w:rPr>
      <w:rFonts w:eastAsia="仿宋" w:cs="仿宋"/>
      <w:kern w:val="2"/>
      <w:sz w:val="18"/>
      <w:szCs w:val="18"/>
    </w:rPr>
  </w:style>
  <w:style w:type="paragraph" w:styleId="66">
    <w:name w:val="List Paragraph"/>
    <w:basedOn w:val="1"/>
    <w:uiPriority w:val="99"/>
    <w:pPr>
      <w:ind w:firstLine="420"/>
    </w:pPr>
  </w:style>
  <w:style w:type="character" w:customStyle="1" w:styleId="67">
    <w:name w:val="Title Char"/>
    <w:basedOn w:val="26"/>
    <w:link w:val="21"/>
    <w:uiPriority w:val="0"/>
    <w:rPr>
      <w:rFonts w:eastAsia="仿宋"/>
      <w:b/>
      <w:kern w:val="2"/>
      <w:sz w:val="36"/>
      <w:szCs w:val="36"/>
    </w:rPr>
  </w:style>
  <w:style w:type="character" w:styleId="68">
    <w:name w:val="Placeholder Text"/>
    <w:basedOn w:val="26"/>
    <w:unhideWhenUsed/>
    <w:uiPriority w:val="99"/>
    <w:rPr>
      <w:color w:val="808080"/>
    </w:rPr>
  </w:style>
  <w:style w:type="paragraph" w:customStyle="1" w:styleId="69">
    <w:name w:val="表格正文"/>
    <w:link w:val="89"/>
    <w:qFormat/>
    <w:uiPriority w:val="0"/>
    <w:pPr>
      <w:adjustRightInd w:val="0"/>
      <w:snapToGrid w:val="0"/>
      <w:spacing w:before="30" w:beforeLines="30" w:after="30" w:afterLines="30"/>
      <w:jc w:val="both"/>
    </w:pPr>
    <w:rPr>
      <w:rFonts w:ascii="Times New Roman" w:hAnsi="Times New Roman" w:eastAsia="仿宋" w:cs="仿宋"/>
      <w:kern w:val="2"/>
      <w:sz w:val="21"/>
      <w:szCs w:val="24"/>
      <w:lang w:val="en-US" w:eastAsia="zh-CN" w:bidi="ar-SA"/>
    </w:rPr>
  </w:style>
  <w:style w:type="character" w:customStyle="1" w:styleId="70">
    <w:name w:val="Quote Char"/>
    <w:basedOn w:val="26"/>
    <w:link w:val="60"/>
    <w:uiPriority w:val="99"/>
    <w:rPr>
      <w:rFonts w:eastAsia="仿宋"/>
      <w:sz w:val="24"/>
      <w:szCs w:val="24"/>
    </w:rPr>
  </w:style>
  <w:style w:type="character" w:customStyle="1" w:styleId="71">
    <w:name w:val="Subtitle Char"/>
    <w:basedOn w:val="26"/>
    <w:link w:val="16"/>
    <w:uiPriority w:val="0"/>
    <w:rPr>
      <w:rFonts w:eastAsia="仿宋"/>
      <w:b/>
      <w:color w:val="000000"/>
      <w:kern w:val="2"/>
      <w:sz w:val="36"/>
      <w:szCs w:val="36"/>
    </w:rPr>
  </w:style>
  <w:style w:type="paragraph" w:customStyle="1" w:styleId="72">
    <w:name w:val="其它"/>
    <w:link w:val="79"/>
    <w:uiPriority w:val="0"/>
    <w:pPr>
      <w:adjustRightInd w:val="0"/>
      <w:snapToGrid w:val="0"/>
      <w:spacing w:line="360" w:lineRule="auto"/>
      <w:jc w:val="center"/>
    </w:pPr>
    <w:rPr>
      <w:rFonts w:ascii="Times New Roman" w:hAnsi="Times New Roman" w:eastAsia="宋体" w:cs="Times New Roman"/>
      <w:color w:val="000000"/>
      <w:kern w:val="2"/>
      <w:sz w:val="48"/>
      <w:szCs w:val="48"/>
      <w:lang w:val="en-US" w:eastAsia="zh-CN" w:bidi="ar-SA"/>
    </w:rPr>
  </w:style>
  <w:style w:type="paragraph" w:customStyle="1" w:styleId="73">
    <w:name w:val="临时样式2"/>
    <w:basedOn w:val="72"/>
    <w:link w:val="80"/>
    <w:uiPriority w:val="0"/>
    <w:pPr>
      <w:spacing w:before="120" w:beforeLines="50" w:line="240" w:lineRule="auto"/>
    </w:pPr>
    <w:rPr>
      <w:rFonts w:eastAsia="仿宋"/>
      <w:b/>
      <w:sz w:val="32"/>
      <w:szCs w:val="32"/>
    </w:rPr>
  </w:style>
  <w:style w:type="paragraph" w:customStyle="1" w:styleId="74">
    <w:name w:val="图表题注"/>
    <w:basedOn w:val="1"/>
    <w:next w:val="1"/>
    <w:uiPriority w:val="0"/>
    <w:pPr>
      <w:adjustRightInd/>
      <w:snapToGrid/>
      <w:spacing w:beforeLines="50" w:afterLines="50"/>
      <w:ind w:firstLine="0" w:firstLineChars="0"/>
      <w:jc w:val="center"/>
    </w:pPr>
  </w:style>
  <w:style w:type="character" w:customStyle="1" w:styleId="75">
    <w:name w:val="Heading 1 Char"/>
    <w:basedOn w:val="26"/>
    <w:link w:val="2"/>
    <w:uiPriority w:val="0"/>
    <w:rPr>
      <w:rFonts w:ascii="Times New Roman" w:hAnsi="Times New Roman" w:eastAsia="黑体"/>
      <w:b/>
      <w:bCs/>
      <w:snapToGrid w:val="0"/>
      <w:kern w:val="44"/>
      <w:sz w:val="30"/>
      <w:szCs w:val="44"/>
    </w:rPr>
  </w:style>
  <w:style w:type="character" w:customStyle="1" w:styleId="76">
    <w:name w:val="Heading 2 Char"/>
    <w:basedOn w:val="26"/>
    <w:link w:val="3"/>
    <w:uiPriority w:val="0"/>
    <w:rPr>
      <w:rFonts w:ascii="Times New Roman" w:hAnsi="Times New Roman" w:eastAsia="宋体"/>
      <w:b/>
      <w:snapToGrid w:val="0"/>
      <w:kern w:val="44"/>
      <w:sz w:val="28"/>
      <w:szCs w:val="44"/>
    </w:rPr>
  </w:style>
  <w:style w:type="character" w:customStyle="1" w:styleId="77">
    <w:name w:val="Heading 3 Char"/>
    <w:basedOn w:val="26"/>
    <w:link w:val="4"/>
    <w:uiPriority w:val="0"/>
    <w:rPr>
      <w:rFonts w:eastAsia="仿宋"/>
      <w:b/>
      <w:bCs/>
      <w:snapToGrid w:val="0"/>
      <w:kern w:val="44"/>
      <w:sz w:val="24"/>
      <w:szCs w:val="44"/>
    </w:rPr>
  </w:style>
  <w:style w:type="paragraph" w:customStyle="1" w:styleId="78">
    <w:name w:val="临时样式3"/>
    <w:basedOn w:val="72"/>
    <w:link w:val="82"/>
    <w:uiPriority w:val="0"/>
    <w:pPr>
      <w:spacing w:before="120" w:beforeLines="50" w:line="240" w:lineRule="auto"/>
    </w:pPr>
    <w:rPr>
      <w:rFonts w:eastAsia="仿宋"/>
      <w:b/>
      <w:sz w:val="32"/>
      <w:szCs w:val="32"/>
    </w:rPr>
  </w:style>
  <w:style w:type="character" w:customStyle="1" w:styleId="79">
    <w:name w:val="其它 字符"/>
    <w:basedOn w:val="26"/>
    <w:link w:val="72"/>
    <w:uiPriority w:val="0"/>
    <w:rPr>
      <w:color w:val="000000"/>
      <w:kern w:val="2"/>
      <w:sz w:val="48"/>
      <w:szCs w:val="48"/>
    </w:rPr>
  </w:style>
  <w:style w:type="character" w:customStyle="1" w:styleId="80">
    <w:name w:val="临时样式2 字符"/>
    <w:basedOn w:val="79"/>
    <w:link w:val="73"/>
    <w:uiPriority w:val="0"/>
    <w:rPr>
      <w:rFonts w:eastAsia="仿宋"/>
      <w:b/>
      <w:color w:val="000000"/>
      <w:kern w:val="2"/>
      <w:sz w:val="32"/>
      <w:szCs w:val="32"/>
    </w:rPr>
  </w:style>
  <w:style w:type="paragraph" w:customStyle="1" w:styleId="81">
    <w:name w:val="临时样式-封面"/>
    <w:basedOn w:val="36"/>
    <w:link w:val="85"/>
    <w:uiPriority w:val="0"/>
    <w:pPr>
      <w:numPr>
        <w:ilvl w:val="0"/>
        <w:numId w:val="0"/>
      </w:numPr>
      <w:adjustRightInd w:val="0"/>
      <w:snapToGrid w:val="0"/>
      <w:spacing w:before="120" w:beforeLines="50" w:line="240" w:lineRule="auto"/>
      <w:jc w:val="center"/>
    </w:pPr>
    <w:rPr>
      <w:rFonts w:ascii="Times New Roman"/>
      <w:sz w:val="24"/>
      <w:szCs w:val="24"/>
    </w:rPr>
  </w:style>
  <w:style w:type="character" w:customStyle="1" w:styleId="82">
    <w:name w:val="临时样式3 字符"/>
    <w:basedOn w:val="79"/>
    <w:link w:val="78"/>
    <w:uiPriority w:val="0"/>
    <w:rPr>
      <w:rFonts w:eastAsia="仿宋"/>
      <w:b/>
      <w:color w:val="000000"/>
      <w:kern w:val="2"/>
      <w:sz w:val="32"/>
      <w:szCs w:val="32"/>
    </w:rPr>
  </w:style>
  <w:style w:type="paragraph" w:customStyle="1" w:styleId="83">
    <w:name w:val="居中(图)"/>
    <w:qFormat/>
    <w:uiPriority w:val="0"/>
    <w:pPr>
      <w:keepNext/>
      <w:adjustRightInd w:val="0"/>
      <w:snapToGrid w:val="0"/>
      <w:spacing w:before="120" w:beforeLines="50"/>
      <w:jc w:val="center"/>
    </w:pPr>
    <w:rPr>
      <w:rFonts w:ascii="Times New Roman" w:hAnsi="Times New Roman" w:eastAsia="仿宋" w:cs="Times New Roman"/>
      <w:kern w:val="2"/>
      <w:sz w:val="24"/>
      <w:szCs w:val="24"/>
      <w:lang w:val="en-US" w:eastAsia="zh-CN" w:bidi="ar-SA"/>
    </w:rPr>
  </w:style>
  <w:style w:type="character" w:customStyle="1" w:styleId="84">
    <w:name w:val="列项—— 字符"/>
    <w:basedOn w:val="26"/>
    <w:link w:val="36"/>
    <w:uiPriority w:val="0"/>
    <w:rPr>
      <w:rFonts w:ascii="宋体"/>
      <w:sz w:val="21"/>
    </w:rPr>
  </w:style>
  <w:style w:type="character" w:customStyle="1" w:styleId="85">
    <w:name w:val="临时样式-封面 字符"/>
    <w:basedOn w:val="84"/>
    <w:link w:val="81"/>
    <w:uiPriority w:val="0"/>
    <w:rPr>
      <w:rFonts w:ascii="宋体"/>
      <w:sz w:val="24"/>
      <w:szCs w:val="24"/>
    </w:rPr>
  </w:style>
  <w:style w:type="character" w:customStyle="1" w:styleId="86">
    <w:name w:val="Footnote Text Char"/>
    <w:basedOn w:val="26"/>
    <w:link w:val="17"/>
    <w:uiPriority w:val="0"/>
    <w:rPr>
      <w:rFonts w:ascii="宋体" w:hAnsi="宋体"/>
      <w:kern w:val="2"/>
      <w:sz w:val="18"/>
      <w:szCs w:val="18"/>
    </w:rPr>
  </w:style>
  <w:style w:type="paragraph" w:customStyle="1" w:styleId="87">
    <w:name w:val="表格后第一段"/>
    <w:basedOn w:val="1"/>
    <w:next w:val="1"/>
    <w:link w:val="88"/>
    <w:qFormat/>
    <w:uiPriority w:val="0"/>
    <w:pPr>
      <w:spacing w:before="120" w:beforeLines="50"/>
    </w:pPr>
  </w:style>
  <w:style w:type="character" w:customStyle="1" w:styleId="88">
    <w:name w:val="表格后第一段 字符"/>
    <w:basedOn w:val="26"/>
    <w:link w:val="87"/>
    <w:uiPriority w:val="0"/>
    <w:rPr>
      <w:rFonts w:eastAsia="仿宋"/>
      <w:kern w:val="2"/>
      <w:sz w:val="24"/>
      <w:szCs w:val="24"/>
    </w:rPr>
  </w:style>
  <w:style w:type="character" w:customStyle="1" w:styleId="89">
    <w:name w:val="表格正文 字符"/>
    <w:basedOn w:val="26"/>
    <w:link w:val="69"/>
    <w:uiPriority w:val="0"/>
    <w:rPr>
      <w:rFonts w:eastAsia="仿宋" w:cs="仿宋"/>
      <w:kern w:val="2"/>
      <w:sz w:val="21"/>
      <w:szCs w:val="24"/>
    </w:rPr>
  </w:style>
  <w:style w:type="character" w:customStyle="1" w:styleId="90">
    <w:name w:val="Unresolved Mention"/>
    <w:basedOn w:val="2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0834CDF-9C4C-4E7B-8DA8-68EDB48C76F4}">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218</Words>
  <Characters>1246</Characters>
  <Lines>10</Lines>
  <Paragraphs>2</Paragraphs>
  <TotalTime>31</TotalTime>
  <ScaleCrop>false</ScaleCrop>
  <LinksUpToDate>false</LinksUpToDate>
  <CharactersWithSpaces>1462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2023-03-21T20:51:00Z</dcterms:created>
  <dc:creator>邵宇浩</dc:creator>
  <cp:lastModifiedBy>鲍一鸣</cp:lastModifiedBy>
  <cp:lastPrinted>2023-03-22T12:57:00Z</cp:lastPrinted>
  <dcterms:modified xsi:type="dcterms:W3CDTF">2026-08-22T19:00:00Z</dcterms:modified>
  <dc:title>浙江大学研究生学位论文编写规则</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40830FD913810E5D4EF8626AF4032D77_42</vt:lpwstr>
  </property>
</Properties>
</file>