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Inclusion Cri</w:t>
      </w:r>
      <w:r w:rsidDel="00000000" w:rsidR="00000000" w:rsidRPr="00000000">
        <w:rPr>
          <w:b w:val="1"/>
          <w:bCs w:val="1"/>
          <w:rtl w:val="0"/>
        </w:rPr>
        <w:t xml:space="preserve">teri</w:t>
      </w:r>
      <w:r w:rsidDel="00000000" w:rsidR="00000000" w:rsidRPr="00000000">
        <w:rPr>
          <w:b w:val="1"/>
          <w:bCs w:val="1"/>
          <w:rtl w:val="0"/>
        </w:rPr>
        <w:t xml:space="preserve">a</w:t>
      </w:r>
    </w:p>
    <w:p w:rsidR="00000000" w:rsidDel="00000000" w:rsidP="00000000" w:rsidRDefault="00000000" w:rsidRPr="00000000" w14:paraId="00000003">
      <w:pPr>
        <w:numPr>
          <w:ilvl w:val="0"/>
          <w:numId w:val="3"/>
        </w:numPr>
        <w:spacing w:line="240" w:lineRule="auto"/>
        <w:ind w:left="720" w:hanging="360"/>
      </w:pPr>
      <w:r w:rsidDel="00000000" w:rsidR="00000000" w:rsidRPr="00000000">
        <w:rPr>
          <w:rtl w:val="0"/>
        </w:rPr>
        <w:t xml:space="preserve">Empirical quantitative study</w:t>
      </w:r>
    </w:p>
    <w:p w:rsidR="00000000" w:rsidDel="00000000" w:rsidP="00000000" w:rsidRDefault="00000000" w:rsidRPr="00000000" w14:paraId="00000004">
      <w:pPr>
        <w:numPr>
          <w:ilvl w:val="0"/>
          <w:numId w:val="3"/>
        </w:numPr>
        <w:spacing w:line="240" w:lineRule="auto"/>
        <w:ind w:left="720" w:hanging="360"/>
      </w:pPr>
      <w:r w:rsidDel="00000000" w:rsidR="00000000" w:rsidRPr="00000000">
        <w:rPr>
          <w:rtl w:val="0"/>
        </w:rPr>
        <w:t xml:space="preserve">Examine romantic</w:t>
      </w:r>
      <w:r w:rsidDel="00000000" w:rsidR="00000000" w:rsidRPr="00000000">
        <w:rPr>
          <w:rtl w:val="0"/>
        </w:rPr>
        <w:t xml:space="preserve"> dyads</w:t>
      </w:r>
      <w:r w:rsidDel="00000000" w:rsidR="00000000" w:rsidRPr="00000000">
        <w:rPr>
          <w:rtl w:val="0"/>
        </w:rPr>
      </w:r>
    </w:p>
    <w:p w:rsidR="00000000" w:rsidDel="00000000" w:rsidP="00000000" w:rsidRDefault="00000000" w:rsidRPr="00000000" w14:paraId="00000005">
      <w:pPr>
        <w:numPr>
          <w:ilvl w:val="0"/>
          <w:numId w:val="3"/>
        </w:numPr>
        <w:spacing w:line="240" w:lineRule="auto"/>
        <w:ind w:left="720" w:hanging="360"/>
        <w:rPr>
          <w:u w:val="none"/>
        </w:rPr>
      </w:pPr>
      <w:r w:rsidDel="00000000" w:rsidR="00000000" w:rsidRPr="00000000">
        <w:rPr>
          <w:rtl w:val="0"/>
        </w:rPr>
        <w:t xml:space="preserve">Full text available in English</w:t>
      </w:r>
    </w:p>
    <w:p w:rsidR="00000000" w:rsidDel="00000000" w:rsidP="00000000" w:rsidRDefault="00000000" w:rsidRPr="00000000" w14:paraId="00000006">
      <w:pPr>
        <w:numPr>
          <w:ilvl w:val="0"/>
          <w:numId w:val="3"/>
        </w:numPr>
        <w:spacing w:line="240" w:lineRule="auto"/>
        <w:ind w:left="720" w:hanging="360"/>
        <w:rPr>
          <w:u w:val="none"/>
        </w:rPr>
      </w:pPr>
      <w:r w:rsidDel="00000000" w:rsidR="00000000" w:rsidRPr="00000000">
        <w:rPr>
          <w:rtl w:val="0"/>
        </w:rPr>
        <w:t xml:space="preserve">Published in a peer-reviewed journal</w:t>
      </w:r>
    </w:p>
    <w:p w:rsidR="00000000" w:rsidDel="00000000" w:rsidP="00000000" w:rsidRDefault="00000000" w:rsidRPr="00000000" w14:paraId="00000007">
      <w:pPr>
        <w:numPr>
          <w:ilvl w:val="0"/>
          <w:numId w:val="3"/>
        </w:numPr>
        <w:spacing w:line="240" w:lineRule="auto"/>
        <w:ind w:left="720" w:hanging="360"/>
        <w:rPr>
          <w:u w:val="none"/>
        </w:rPr>
      </w:pPr>
      <w:r w:rsidDel="00000000" w:rsidR="00000000" w:rsidRPr="00000000">
        <w:rPr>
          <w:rtl w:val="0"/>
        </w:rPr>
        <w:t xml:space="preserve">Explicitly identify their analysis strategy as an APIM</w:t>
      </w:r>
    </w:p>
    <w:p w:rsidR="00000000" w:rsidDel="00000000" w:rsidP="00000000" w:rsidRDefault="00000000" w:rsidRPr="00000000" w14:paraId="00000008">
      <w:pPr>
        <w:numPr>
          <w:ilvl w:val="0"/>
          <w:numId w:val="3"/>
        </w:numPr>
        <w:spacing w:line="240" w:lineRule="auto"/>
        <w:ind w:left="720" w:hanging="360"/>
        <w:rPr>
          <w:u w:val="none"/>
        </w:rPr>
      </w:pPr>
      <w:r w:rsidDel="00000000" w:rsidR="00000000" w:rsidRPr="00000000">
        <w:rPr>
          <w:rtl w:val="0"/>
        </w:rPr>
        <w:t xml:space="preserve">The preregistration was only examined to see whether a) a preregistration existed, b) the preregistration planned for either a distinguishable or indistinguishable approach, and c) whether the (in)distinguishable approach was justified</w:t>
      </w:r>
    </w:p>
    <w:p w:rsidR="00000000" w:rsidDel="00000000" w:rsidP="00000000" w:rsidRDefault="00000000" w:rsidRPr="00000000" w14:paraId="00000009">
      <w:pPr>
        <w:numPr>
          <w:ilvl w:val="0"/>
          <w:numId w:val="3"/>
        </w:numPr>
        <w:spacing w:line="480" w:lineRule="auto"/>
        <w:ind w:left="720" w:hanging="360"/>
      </w:pPr>
      <w:r w:rsidDel="00000000" w:rsidR="00000000" w:rsidRPr="00000000">
        <w:rPr>
          <w:rtl w:val="0"/>
        </w:rPr>
        <w:t xml:space="preserve">In cases when an article reports more than one study, the first study that meets inclusion criteria will be coded. </w:t>
      </w:r>
      <w:r w:rsidDel="00000000" w:rsidR="00000000" w:rsidRPr="00000000">
        <w:rPr>
          <w:rtl w:val="0"/>
        </w:rPr>
      </w:r>
    </w:p>
    <w:p w:rsidR="00000000" w:rsidDel="00000000" w:rsidP="00000000" w:rsidRDefault="00000000" w:rsidRPr="00000000" w14:paraId="0000000A">
      <w:pPr>
        <w:spacing w:line="240" w:lineRule="auto"/>
        <w:rPr>
          <w:b w:val="1"/>
          <w:bCs w:val="1"/>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b w:val="1"/>
          <w:bCs w:val="1"/>
          <w:rtl w:val="0"/>
        </w:rPr>
        <w:t xml:space="preserve">Exclusion Criteria</w:t>
      </w:r>
      <w:r w:rsidDel="00000000" w:rsidR="00000000" w:rsidRPr="00000000">
        <w:rPr>
          <w:rtl w:val="0"/>
        </w:rPr>
      </w:r>
    </w:p>
    <w:p w:rsidR="00000000" w:rsidDel="00000000" w:rsidP="00000000" w:rsidRDefault="00000000" w:rsidRPr="00000000" w14:paraId="0000000C">
      <w:pPr>
        <w:numPr>
          <w:ilvl w:val="0"/>
          <w:numId w:val="12"/>
        </w:numPr>
        <w:spacing w:line="240" w:lineRule="auto"/>
        <w:ind w:left="720" w:hanging="360"/>
      </w:pPr>
      <w:r w:rsidDel="00000000" w:rsidR="00000000" w:rsidRPr="00000000">
        <w:rPr>
          <w:rtl w:val="0"/>
        </w:rPr>
        <w:t xml:space="preserve">Do not provide original empirical results (e.g., we will exclude meta-analyses, narrative reviews, methodological papers),</w:t>
      </w:r>
    </w:p>
    <w:p w:rsidR="00000000" w:rsidDel="00000000" w:rsidP="00000000" w:rsidRDefault="00000000" w:rsidRPr="00000000" w14:paraId="0000000D">
      <w:pPr>
        <w:numPr>
          <w:ilvl w:val="0"/>
          <w:numId w:val="12"/>
        </w:numPr>
        <w:spacing w:line="240" w:lineRule="auto"/>
        <w:ind w:left="720" w:hanging="360"/>
      </w:pPr>
      <w:r w:rsidDel="00000000" w:rsidR="00000000" w:rsidRPr="00000000">
        <w:rPr>
          <w:rtl w:val="0"/>
        </w:rPr>
        <w:t xml:space="preserve">Non-romantic dyads (e.g., friends or parent-child dyads) or mixed dyads (dyads that include romantic partners as well as other types of dyads) if no separate analyses looking at romantic dyads were conducted,</w:t>
      </w:r>
    </w:p>
    <w:p w:rsidR="00000000" w:rsidDel="00000000" w:rsidP="00000000" w:rsidRDefault="00000000" w:rsidRPr="00000000" w14:paraId="0000000E">
      <w:pPr>
        <w:numPr>
          <w:ilvl w:val="0"/>
          <w:numId w:val="12"/>
        </w:numPr>
        <w:spacing w:line="240" w:lineRule="auto"/>
        <w:ind w:left="720" w:hanging="360"/>
      </w:pPr>
      <w:r w:rsidDel="00000000" w:rsidR="00000000" w:rsidRPr="00000000">
        <w:rPr>
          <w:rtl w:val="0"/>
        </w:rPr>
        <w:t xml:space="preserve">Dissertations and other articles that were not peer-reviewed</w:t>
      </w:r>
    </w:p>
    <w:p w:rsidR="00000000" w:rsidDel="00000000" w:rsidP="00000000" w:rsidRDefault="00000000" w:rsidRPr="00000000" w14:paraId="0000000F">
      <w:pPr>
        <w:numPr>
          <w:ilvl w:val="0"/>
          <w:numId w:val="12"/>
        </w:numPr>
        <w:spacing w:line="240" w:lineRule="auto"/>
        <w:ind w:left="720" w:hanging="360"/>
        <w:rPr>
          <w:u w:val="none"/>
        </w:rPr>
      </w:pPr>
      <w:r w:rsidDel="00000000" w:rsidR="00000000" w:rsidRPr="00000000">
        <w:rPr>
          <w:rtl w:val="0"/>
        </w:rPr>
        <w:t xml:space="preserve">Studies that examined parent dyads were excluded if the co-parents were not specified to be in a romantic relationship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13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435"/>
        <w:gridCol w:w="3960"/>
        <w:gridCol w:w="3540"/>
        <w:tblGridChange w:id="0">
          <w:tblGrid>
            <w:gridCol w:w="2145"/>
            <w:gridCol w:w="3435"/>
            <w:gridCol w:w="396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and example</w:t>
            </w:r>
            <w:r w:rsidDel="00000000" w:rsidR="00000000" w:rsidRPr="00000000">
              <w:rPr>
                <w:b w:val="1"/>
                <w:bCs w:val="1"/>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Possible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r w:rsidDel="00000000" w:rsidR="00000000" w:rsidRPr="00000000">
              <w:rPr>
                <w:rtl w:val="0"/>
              </w:rPr>
              <w:t xml:space="preserve">exual orientation diversity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manuscript reports that at least one same-gender couple or LGB+ individual or couple were included in data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manuscript reports that at least one non-binary or transgender individual was included in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(In)distinguishability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the study used a distinguishable or indistinguishable dyad approach. If a study initially used a distinguishable dyads approach but later statistically examined whether equality constraints improved/worsened model fit, this would still be considered a distinguishable dyads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Indistinguishable</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Distinguishable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Distinguishing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Distinguishing variable that is either identified or inferred by the authors (e.g., gender, support provider/recipient)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 gender, patient and spouse. Mother-father dyads treated as distinguishable by gender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 of dist</w:t>
            </w:r>
            <w:r w:rsidDel="00000000" w:rsidR="00000000" w:rsidRPr="00000000">
              <w:rPr>
                <w:rtl w:val="0"/>
              </w:rPr>
              <w:t xml:space="preserve">inguishing variable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 the rationale for the distinguishing variable </w:t>
            </w:r>
            <w:r w:rsidDel="00000000" w:rsidR="00000000" w:rsidRPr="00000000">
              <w:rPr>
                <w:rtl w:val="0"/>
              </w:rPr>
              <w:t xml:space="preserve">clearly justified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 </w:t>
            </w:r>
          </w:p>
          <w:p w:rsidR="00000000" w:rsidDel="00000000" w:rsidP="00000000" w:rsidRDefault="00000000" w:rsidRPr="00000000" w14:paraId="000000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0 </w:t>
            </w:r>
          </w:p>
          <w:p w:rsidR="00000000" w:rsidDel="00000000" w:rsidP="00000000" w:rsidRDefault="00000000" w:rsidRPr="00000000" w14:paraId="0000003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 </w:t>
            </w:r>
          </w:p>
          <w:p w:rsidR="00000000" w:rsidDel="00000000" w:rsidP="00000000" w:rsidRDefault="00000000" w:rsidRPr="00000000" w14:paraId="0000003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 indistinguishable approach</w:t>
            </w:r>
          </w:p>
          <w:p w:rsidR="00000000" w:rsidDel="00000000" w:rsidP="00000000" w:rsidRDefault="00000000" w:rsidRPr="00000000" w14:paraId="000000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0: No justification, only conducting an empirical test of distinguishability would not be considered justification</w:t>
            </w:r>
          </w:p>
          <w:p w:rsidR="00000000" w:rsidDel="00000000" w:rsidP="00000000" w:rsidRDefault="00000000" w:rsidRPr="00000000" w14:paraId="000000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 Minor justification, 1-2 sentences justifying decision (e.g., citing mean differences on predictor between men and women as rationale)</w:t>
            </w:r>
          </w:p>
          <w:p w:rsidR="00000000" w:rsidDel="00000000" w:rsidP="00000000" w:rsidRDefault="00000000" w:rsidRPr="00000000" w14:paraId="000000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 Clear or substantial justification; distinguishing variable central to research question (e.g., study on cancer using patient/spouse roles), several paragraphs or subsection devoted to theoretically justifying distinguishing variable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authors report the results of a </w:t>
            </w:r>
            <w:r w:rsidDel="00000000" w:rsidR="00000000" w:rsidRPr="00000000">
              <w:rPr>
                <w:rtl w:val="0"/>
              </w:rPr>
              <w:t xml:space="preserve">power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w:t>
            </w:r>
          </w:p>
          <w:p w:rsidR="00000000" w:rsidDel="00000000" w:rsidP="00000000" w:rsidRDefault="00000000" w:rsidRPr="00000000" w14:paraId="000000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details or parameters were used to conduct the power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previous studies, the average actor/partner effects between IPs and illness management were .3/.2 (Chou, 2019; Giannousi et al., 2016). Thus, the minimum required sample size was 185 pairs. Considering a 15% loss to follow-up rate (Ke et al., 2023; Li et al., 2023; Segrin et al., 2020), the final required sample size was planned to be 218” (Lian et al.,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analysis gender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Did the power analysis include mention of power to detect gender differences? This variable was not preregistered and was created after coding the other variables. This was recoded using results from the previous variable (power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w:t>
            </w:r>
          </w:p>
          <w:p w:rsidR="00000000" w:rsidDel="00000000" w:rsidP="00000000" w:rsidRDefault="00000000" w:rsidRPr="00000000" w14:paraId="000000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w:t>
            </w:r>
          </w:p>
          <w:p w:rsidR="00000000" w:rsidDel="00000000" w:rsidP="00000000" w:rsidRDefault="00000000" w:rsidRPr="00000000" w14:paraId="0000004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 No power analysis conducted OR the distinguishing variable was not gender </w:t>
            </w:r>
          </w:p>
          <w:p w:rsidR="00000000" w:rsidDel="00000000" w:rsidP="00000000" w:rsidRDefault="00000000" w:rsidRPr="00000000" w14:paraId="0000004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 The power analysis planned for the power to detect significant gender differences </w:t>
            </w:r>
          </w:p>
          <w:p w:rsidR="00000000" w:rsidDel="00000000" w:rsidP="00000000" w:rsidRDefault="00000000" w:rsidRPr="00000000" w14:paraId="0000004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The power analysis mentions actor or partner effects, but no mention is made of being sufficiently powered to detect gender differences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study was preregistered and contains a link to a publicly available preregistrati</w:t>
            </w:r>
            <w:r w:rsidDel="00000000" w:rsidR="00000000" w:rsidRPr="00000000">
              <w:rPr>
                <w:rtl w:val="0"/>
              </w:rPr>
              <w:t xml:space="preserve">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w:t>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Preregistered distinguishability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preregistration clearly identifies whether an (in)distinguishable approach will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 distinguishable</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 indistinguishable</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not reported</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 (no preregistration)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Preregistration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preregistration clearly justifies the choice of distinguishing variable, if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0</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1"/>
              </w:numPr>
              <w:spacing w:line="240" w:lineRule="auto"/>
              <w:ind w:left="720" w:hanging="360"/>
            </w:pPr>
            <w:r w:rsidDel="00000000" w:rsidR="00000000" w:rsidRPr="00000000">
              <w:rPr>
                <w:rtl w:val="0"/>
              </w:rPr>
              <w:t xml:space="preserve">NA: indistinguishable approach</w:t>
            </w:r>
          </w:p>
          <w:p w:rsidR="00000000" w:rsidDel="00000000" w:rsidP="00000000" w:rsidRDefault="00000000" w:rsidRPr="00000000" w14:paraId="0000005C">
            <w:pPr>
              <w:widowControl w:val="0"/>
              <w:numPr>
                <w:ilvl w:val="0"/>
                <w:numId w:val="11"/>
              </w:numPr>
              <w:spacing w:line="240" w:lineRule="auto"/>
              <w:ind w:left="720" w:hanging="360"/>
            </w:pPr>
            <w:r w:rsidDel="00000000" w:rsidR="00000000" w:rsidRPr="00000000">
              <w:rPr>
                <w:rtl w:val="0"/>
              </w:rPr>
              <w:t xml:space="preserve">0: No justification</w:t>
            </w:r>
          </w:p>
          <w:p w:rsidR="00000000" w:rsidDel="00000000" w:rsidP="00000000" w:rsidRDefault="00000000" w:rsidRPr="00000000" w14:paraId="0000005D">
            <w:pPr>
              <w:widowControl w:val="0"/>
              <w:numPr>
                <w:ilvl w:val="0"/>
                <w:numId w:val="11"/>
              </w:numPr>
              <w:spacing w:line="240" w:lineRule="auto"/>
              <w:ind w:left="720" w:hanging="360"/>
            </w:pPr>
            <w:r w:rsidDel="00000000" w:rsidR="00000000" w:rsidRPr="00000000">
              <w:rPr>
                <w:rtl w:val="0"/>
              </w:rPr>
              <w:t xml:space="preserve">1: Minor justification, 1-2 sentences justifying decision (e.g., citing mean differences on predictor between men and women as rationale)</w:t>
            </w:r>
          </w:p>
          <w:p w:rsidR="00000000" w:rsidDel="00000000" w:rsidP="00000000" w:rsidRDefault="00000000" w:rsidRPr="00000000" w14:paraId="0000005E">
            <w:pPr>
              <w:widowControl w:val="0"/>
              <w:numPr>
                <w:ilvl w:val="0"/>
                <w:numId w:val="11"/>
              </w:numPr>
              <w:spacing w:line="240" w:lineRule="auto"/>
              <w:ind w:left="720" w:hanging="360"/>
            </w:pPr>
            <w:r w:rsidDel="00000000" w:rsidR="00000000" w:rsidRPr="00000000">
              <w:rPr>
                <w:rtl w:val="0"/>
              </w:rPr>
              <w:t xml:space="preserve">2: Clear or substantial justification; distinguishing variable central to research question (e.g., study on cancer using patient/spouse roles), several paragraphs or subsection devoted to theoretically justifying distinguishing variable</w:t>
            </w:r>
          </w:p>
        </w:tc>
      </w:tr>
      <w:tr>
        <w:trPr>
          <w:cantSplit w:val="0"/>
          <w:trHeight w:val="16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author(s) used gender as a distinguishing variable, examined gender as a moderator, or somehow examined gender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 “no” if the authors included gender/sex as a covariate but did not elaborate further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Interpret gender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discussion section refers to differences in results depending on 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 to results by men and women in the discussion section as opposed to referring to participants broadly </w:t>
            </w:r>
          </w:p>
        </w:tc>
      </w:tr>
    </w:tbl>
    <w:p w:rsidR="00000000" w:rsidDel="00000000" w:rsidP="00000000" w:rsidRDefault="00000000" w:rsidRPr="00000000" w14:paraId="00000069">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