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b w:val="1"/>
          <w:bCs w:val="1"/>
          <w:rtl w:val="0"/>
        </w:rPr>
        <w:t xml:space="preserve">Gender as a Distinguishing Variable in Actor-Partner Interdependence Models</w:t>
      </w:r>
    </w:p>
    <w:p w:rsidR="00000000" w:rsidDel="00000000" w:rsidP="00000000" w:rsidRDefault="00000000" w:rsidRPr="00000000" w14:paraId="00000002">
      <w:pPr>
        <w:spacing w:line="480" w:lineRule="auto"/>
        <w:jc w:val="center"/>
        <w:rPr>
          <w:b w:val="1"/>
          <w:bCs w:val="1"/>
        </w:rPr>
      </w:pPr>
      <w:r w:rsidDel="00000000" w:rsidR="00000000" w:rsidRPr="00000000">
        <w:rPr>
          <w:b w:val="1"/>
          <w:bCs w:val="1"/>
          <w:rtl w:val="0"/>
        </w:rPr>
        <w:t xml:space="preserve">Preregistration Plan</w:t>
      </w:r>
    </w:p>
    <w:p w:rsidR="00000000" w:rsidDel="00000000" w:rsidP="00000000" w:rsidRDefault="00000000" w:rsidRPr="00000000" w14:paraId="00000003">
      <w:pPr>
        <w:spacing w:line="480" w:lineRule="auto"/>
        <w:jc w:val="center"/>
        <w:rPr/>
      </w:pPr>
      <w:r w:rsidDel="00000000" w:rsidR="00000000" w:rsidRPr="00000000">
        <w:rPr>
          <w:b w:val="1"/>
          <w:bCs w:val="1"/>
          <w:rtl w:val="0"/>
        </w:rPr>
        <w:t xml:space="preserve">May 5, 2026</w:t>
      </w:r>
      <w:r w:rsidDel="00000000" w:rsidR="00000000" w:rsidRPr="00000000">
        <w:rPr>
          <w:rtl w:val="0"/>
        </w:rPr>
      </w:r>
    </w:p>
    <w:p w:rsidR="00000000" w:rsidDel="00000000" w:rsidP="00000000" w:rsidRDefault="00000000" w:rsidRPr="00000000" w14:paraId="00000004">
      <w:pPr>
        <w:spacing w:line="480" w:lineRule="auto"/>
        <w:ind w:left="0" w:firstLine="720"/>
        <w:rPr/>
      </w:pPr>
      <w:r w:rsidDel="00000000" w:rsidR="00000000" w:rsidRPr="00000000">
        <w:rPr>
          <w:rtl w:val="0"/>
        </w:rPr>
        <w:t xml:space="preserve">Perhaps the most common strategy for studying dyads, such as romantic couples in relationship science, is the actor-partner interdependence model (APIM; Kenny, 2018). One early step in conducting an APIM is to decide whether to treat dyads as distinguishable or indistinguishable. The purpose of this study is to examine current APIM practices, particularly with regard to decision-making around distinguishability as it pertains to gender. Specifically, we focus on research using the APIM that examines romantic </w:t>
      </w:r>
      <w:r w:rsidDel="00000000" w:rsidR="00000000" w:rsidRPr="00000000">
        <w:rPr>
          <w:rtl w:val="0"/>
        </w:rPr>
        <w:t xml:space="preserve">dyads.</w:t>
      </w:r>
      <w:r w:rsidDel="00000000" w:rsidR="00000000" w:rsidRPr="00000000">
        <w:rPr>
          <w:rtl w:val="0"/>
        </w:rPr>
        <w:t xml:space="preserve"> </w:t>
      </w:r>
    </w:p>
    <w:p w:rsidR="00000000" w:rsidDel="00000000" w:rsidP="00000000" w:rsidRDefault="00000000" w:rsidRPr="00000000" w14:paraId="00000005">
      <w:pPr>
        <w:spacing w:line="480" w:lineRule="auto"/>
        <w:ind w:left="0" w:firstLine="0"/>
        <w:rPr>
          <w:b w:val="1"/>
          <w:bCs w:val="1"/>
        </w:rPr>
      </w:pPr>
      <w:r w:rsidDel="00000000" w:rsidR="00000000" w:rsidRPr="00000000">
        <w:rPr>
          <w:b w:val="1"/>
          <w:bCs w:val="1"/>
          <w:rtl w:val="0"/>
        </w:rPr>
        <w:t xml:space="preserve">APIM Overview </w:t>
      </w:r>
    </w:p>
    <w:p w:rsidR="00000000" w:rsidDel="00000000" w:rsidP="00000000" w:rsidRDefault="00000000" w:rsidRPr="00000000" w14:paraId="00000006">
      <w:pPr>
        <w:spacing w:line="480" w:lineRule="auto"/>
        <w:ind w:firstLine="720"/>
        <w:rPr/>
      </w:pPr>
      <w:r w:rsidDel="00000000" w:rsidR="00000000" w:rsidRPr="00000000">
        <w:rPr>
          <w:rtl w:val="0"/>
        </w:rPr>
        <w:t xml:space="preserve">APIMs allow researchers to estimate both actor effects (the relation between Partner A’s predictor on their own outcome variable) and partner effects (the relation between Partner A’s predictor on Partner B’s outcome variable), while accounting for statistical interdependence between dyad members.</w:t>
      </w:r>
    </w:p>
    <w:p w:rsidR="00000000" w:rsidDel="00000000" w:rsidP="00000000" w:rsidRDefault="00000000" w:rsidRPr="00000000" w14:paraId="00000007">
      <w:pPr>
        <w:spacing w:line="480" w:lineRule="auto"/>
        <w:ind w:firstLine="720"/>
        <w:rPr/>
      </w:pPr>
      <w:r w:rsidDel="00000000" w:rsidR="00000000" w:rsidRPr="00000000">
        <w:rPr>
          <w:rtl w:val="0"/>
        </w:rPr>
        <w:t xml:space="preserve">When modeling data using an APIM framework, researchers must decide whether to treat dyads as distinguishable or indistinguishable. In the former, a certain variable is used to distinguish actors and partners within each dyad. For example, gender is perhaps the most common example of a distinguishing variable when examining romantic dyads (Kenny &amp; Ledermann, 2010). Indistinguishability, on the other hand, means that dyad members are “interchangeable” in that there is no clear theoretical or empirical reason to categorize each dyad member. Same-gender couples and </w:t>
      </w:r>
      <w:r w:rsidDel="00000000" w:rsidR="00000000" w:rsidRPr="00000000">
        <w:rPr>
          <w:rtl w:val="0"/>
        </w:rPr>
        <w:t xml:space="preserve">identical</w:t>
      </w:r>
      <w:r w:rsidDel="00000000" w:rsidR="00000000" w:rsidRPr="00000000">
        <w:rPr>
          <w:rtl w:val="0"/>
        </w:rPr>
        <w:t xml:space="preserve"> twins are often cited as one such example (Kenny &amp; Ledermann, 2010). </w:t>
      </w:r>
    </w:p>
    <w:p w:rsidR="00000000" w:rsidDel="00000000" w:rsidP="00000000" w:rsidRDefault="00000000" w:rsidRPr="00000000" w14:paraId="00000008">
      <w:pPr>
        <w:spacing w:line="480" w:lineRule="auto"/>
        <w:ind w:firstLine="720"/>
        <w:rPr/>
      </w:pPr>
      <w:r w:rsidDel="00000000" w:rsidR="00000000" w:rsidRPr="00000000">
        <w:rPr>
          <w:rtl w:val="0"/>
        </w:rPr>
        <w:t xml:space="preserve">Two conditions must be met to determine whether a dyad should be treated as distinguishable or indistinguishable (Kenny, Kashy &amp; Cook, 2006). First, there must be a </w:t>
      </w:r>
      <w:r w:rsidDel="00000000" w:rsidR="00000000" w:rsidRPr="00000000">
        <w:rPr>
          <w:i w:val="1"/>
          <w:iCs w:val="1"/>
          <w:rtl w:val="0"/>
        </w:rPr>
        <w:t xml:space="preserve">dichotomous </w:t>
      </w:r>
      <w:r w:rsidDel="00000000" w:rsidR="00000000" w:rsidRPr="00000000">
        <w:rPr>
          <w:rtl w:val="0"/>
        </w:rPr>
        <w:t xml:space="preserve">variable that distinguishes members in each dyad. Second, the dichotomous variable must make some kind of </w:t>
      </w:r>
      <w:r w:rsidDel="00000000" w:rsidR="00000000" w:rsidRPr="00000000">
        <w:rPr>
          <w:i w:val="1"/>
          <w:iCs w:val="1"/>
          <w:rtl w:val="0"/>
        </w:rPr>
        <w:t xml:space="preserve">empirical difference</w:t>
      </w:r>
      <w:r w:rsidDel="00000000" w:rsidR="00000000" w:rsidRPr="00000000">
        <w:rPr>
          <w:rtl w:val="0"/>
        </w:rPr>
        <w:t xml:space="preserve">, meaning that past research or theory </w:t>
      </w:r>
      <w:r w:rsidDel="00000000" w:rsidR="00000000" w:rsidRPr="00000000">
        <w:rPr>
          <w:rtl w:val="0"/>
        </w:rPr>
        <w:t xml:space="preserve">should be used to determine whether the distinguishing variable is, in fact, meaningful to examine given the particular research question. </w:t>
      </w:r>
    </w:p>
    <w:p w:rsidR="00000000" w:rsidDel="00000000" w:rsidP="00000000" w:rsidRDefault="00000000" w:rsidRPr="00000000" w14:paraId="00000009">
      <w:pPr>
        <w:spacing w:line="480" w:lineRule="auto"/>
        <w:ind w:left="0" w:firstLine="0"/>
        <w:rPr>
          <w:b w:val="1"/>
          <w:bCs w:val="1"/>
        </w:rPr>
      </w:pPr>
      <w:r w:rsidDel="00000000" w:rsidR="00000000" w:rsidRPr="00000000">
        <w:rPr>
          <w:b w:val="1"/>
          <w:bCs w:val="1"/>
          <w:rtl w:val="0"/>
        </w:rPr>
        <w:t xml:space="preserve">Theoretical Justification </w:t>
      </w:r>
    </w:p>
    <w:p w:rsidR="00000000" w:rsidDel="00000000" w:rsidP="00000000" w:rsidRDefault="00000000" w:rsidRPr="00000000" w14:paraId="0000000A">
      <w:pPr>
        <w:spacing w:line="480" w:lineRule="auto"/>
        <w:ind w:left="0" w:firstLine="0"/>
        <w:rPr/>
      </w:pPr>
      <w:r w:rsidDel="00000000" w:rsidR="00000000" w:rsidRPr="00000000">
        <w:rPr>
          <w:b w:val="1"/>
          <w:bCs w:val="1"/>
          <w:rtl w:val="0"/>
        </w:rPr>
        <w:tab/>
      </w:r>
      <w:r w:rsidDel="00000000" w:rsidR="00000000" w:rsidRPr="00000000">
        <w:rPr>
          <w:rtl w:val="0"/>
        </w:rPr>
        <w:t xml:space="preserve">As mentioned previously, researchers who use an APIM framework must first decide whether to treat dyads as distinguishable or indistinguishable and, if distinguishable, what variable should be used to distinguish dyad members. </w:t>
      </w:r>
      <w:r w:rsidDel="00000000" w:rsidR="00000000" w:rsidRPr="00000000">
        <w:rPr>
          <w:rtl w:val="0"/>
        </w:rPr>
        <w:t xml:space="preserve">Although theory should be used to make these decisions (Kenny &amp; Ledermann, 2010), </w:t>
      </w:r>
      <w:r w:rsidDel="00000000" w:rsidR="00000000" w:rsidRPr="00000000">
        <w:rPr>
          <w:rtl w:val="0"/>
        </w:rPr>
        <w:t xml:space="preserve">it is unclear whether this happens in practice. For example, a recent article reviewed 34 studies that used an APIM framework to examine partner effects of Adverse Childhood Experiences (ACEs) in couples. The authors found that all but one study used gender as a distinguishing variable, and argue that in the context of the research question a history of experiencing ACEs (being either present or absent) should be more theoretically informative than the use of gender (Loveless et al., 2026). This led the authors to evaluate the use of the  “distinguish-by-gender-by-default” approach when modeling dyadic data. However, Loveless and colleagues (2026) reviewed articles examining a relatively specific research topic (ACEs history and relationship functioning). Thus, one goal of the current research is  to examine how frequently researchers use a distinguishable dyads approach (RQ1), how often gender is used to distinguish dyad members (RQ2), and how often researchers justify this choice (RQ3) in APIM research with romantic dyads.  </w:t>
      </w:r>
    </w:p>
    <w:p w:rsidR="00000000" w:rsidDel="00000000" w:rsidP="00000000" w:rsidRDefault="00000000" w:rsidRPr="00000000" w14:paraId="0000000B">
      <w:pPr>
        <w:spacing w:line="480" w:lineRule="auto"/>
        <w:ind w:left="0" w:firstLine="0"/>
        <w:rPr>
          <w:b w:val="1"/>
          <w:bCs w:val="1"/>
        </w:rPr>
      </w:pPr>
      <w:r w:rsidDel="00000000" w:rsidR="00000000" w:rsidRPr="00000000">
        <w:rPr>
          <w:b w:val="1"/>
          <w:bCs w:val="1"/>
          <w:rtl w:val="0"/>
        </w:rPr>
        <w:t xml:space="preserve">Power and Preregis</w:t>
      </w:r>
      <w:r w:rsidDel="00000000" w:rsidR="00000000" w:rsidRPr="00000000">
        <w:rPr>
          <w:b w:val="1"/>
          <w:bCs w:val="1"/>
          <w:rtl w:val="0"/>
        </w:rPr>
        <w:t xml:space="preserve">tration</w:t>
      </w:r>
      <w:r w:rsidDel="00000000" w:rsidR="00000000" w:rsidRPr="00000000">
        <w:rPr>
          <w:rtl w:val="0"/>
        </w:rPr>
      </w:r>
    </w:p>
    <w:p w:rsidR="00000000" w:rsidDel="00000000" w:rsidP="00000000" w:rsidRDefault="00000000" w:rsidRPr="00000000" w14:paraId="0000000C">
      <w:pPr>
        <w:spacing w:line="480" w:lineRule="auto"/>
        <w:ind w:left="0" w:firstLine="720"/>
        <w:rPr>
          <w:color w:val="212121"/>
        </w:rPr>
      </w:pPr>
      <w:r w:rsidDel="00000000" w:rsidR="00000000" w:rsidRPr="00000000">
        <w:rPr>
          <w:color w:val="212121"/>
          <w:rtl w:val="0"/>
        </w:rPr>
        <w:t xml:space="preserve">Reviews of psychological science have shown that most studies are underpowered due to small sample sizes (Szucs &amp; Ioannidis, 2017). Moreover, many researchers struggle to conduct power analyses when analysis plans are complex and do not have accurate intuitions of sensible sample sizes in order to achieve adequate power (Bakker et al., 2016; Collins &amp; Watt, 2021; Maxwell, 2004). For instance, an examination of over 2,000 psychology studies found that the mean power for studies with small effects was 23% (Szucs &amp; Ioannidis, 2017), which is problematic given that most effects in psychology are small (Funder &amp; Ozer, 2019). </w:t>
      </w:r>
    </w:p>
    <w:p w:rsidR="00000000" w:rsidDel="00000000" w:rsidP="00000000" w:rsidRDefault="00000000" w:rsidRPr="00000000" w14:paraId="0000000D">
      <w:pPr>
        <w:spacing w:line="480" w:lineRule="auto"/>
        <w:ind w:left="0" w:firstLine="720"/>
        <w:rPr>
          <w:color w:val="212121"/>
        </w:rPr>
      </w:pPr>
      <w:r w:rsidDel="00000000" w:rsidR="00000000" w:rsidRPr="00000000">
        <w:rPr>
          <w:color w:val="212121"/>
          <w:rtl w:val="0"/>
        </w:rPr>
        <w:t xml:space="preserve">These issues may be particularly salient in research using an APIM framework for several reasons. Partner effects, for example, are almost always small (Joel et al., 2020). Researchers also use structural equation modeling or multilevel modeling to examine dyadic data and may struggle to conduct power analyses more so than they would for simpler regression analyses. Treating dyads as distinguishable also entails estimating more parameters than for indistinguishable dyads, thereby also decreasing power. </w:t>
      </w:r>
    </w:p>
    <w:p w:rsidR="00000000" w:rsidDel="00000000" w:rsidP="00000000" w:rsidRDefault="00000000" w:rsidRPr="00000000" w14:paraId="0000000E">
      <w:pPr>
        <w:spacing w:line="480" w:lineRule="auto"/>
        <w:ind w:left="0" w:firstLine="720"/>
        <w:rPr>
          <w:color w:val="212121"/>
        </w:rPr>
      </w:pPr>
      <w:r w:rsidDel="00000000" w:rsidR="00000000" w:rsidRPr="00000000">
        <w:rPr>
          <w:color w:val="212121"/>
          <w:rtl w:val="0"/>
        </w:rPr>
        <w:t xml:space="preserve">Although underpowered studies can bias results regardless of which variable is chosen as a distinguishing variable, the </w:t>
      </w:r>
      <w:r w:rsidDel="00000000" w:rsidR="00000000" w:rsidRPr="00000000">
        <w:rPr>
          <w:rtl w:val="0"/>
        </w:rPr>
        <w:t xml:space="preserve">“distinguish-by-gender-by-default” approach has several</w:t>
      </w:r>
      <w:r w:rsidDel="00000000" w:rsidR="00000000" w:rsidRPr="00000000">
        <w:rPr>
          <w:color w:val="212121"/>
          <w:rtl w:val="0"/>
        </w:rPr>
        <w:t xml:space="preserve"> implications for our understanding of gender in particular. For example, imagine that a research team </w:t>
      </w:r>
      <w:r w:rsidDel="00000000" w:rsidR="00000000" w:rsidRPr="00000000">
        <w:rPr>
          <w:color w:val="212121"/>
          <w:rtl w:val="0"/>
        </w:rPr>
        <w:t xml:space="preserve">analyzes</w:t>
      </w:r>
      <w:r w:rsidDel="00000000" w:rsidR="00000000" w:rsidRPr="00000000">
        <w:rPr>
          <w:color w:val="212121"/>
          <w:rtl w:val="0"/>
        </w:rPr>
        <w:t xml:space="preserve"> data from a sample of 300 couples. They do not have strong reasons to suspect that gender will be associated with any of their predicted outcomes (e.g., it will not </w:t>
      </w:r>
      <w:r w:rsidDel="00000000" w:rsidR="00000000" w:rsidRPr="00000000">
        <w:rPr>
          <w:color w:val="212121"/>
          <w:rtl w:val="0"/>
        </w:rPr>
        <w:t xml:space="preserve">moderate</w:t>
      </w:r>
      <w:r w:rsidDel="00000000" w:rsidR="00000000" w:rsidRPr="00000000">
        <w:rPr>
          <w:color w:val="212121"/>
          <w:rtl w:val="0"/>
        </w:rPr>
        <w:t xml:space="preserve"> any effects), but choose to distinguish the dyads by gender. Now imagine that the “true” population actor effect sizes for men and women are virtually </w:t>
      </w:r>
      <w:r w:rsidDel="00000000" w:rsidR="00000000" w:rsidRPr="00000000">
        <w:rPr>
          <w:color w:val="212121"/>
          <w:rtl w:val="0"/>
        </w:rPr>
        <w:t xml:space="preserve">equal</w:t>
      </w:r>
      <w:r w:rsidDel="00000000" w:rsidR="00000000" w:rsidRPr="00000000">
        <w:rPr>
          <w:color w:val="212121"/>
          <w:rtl w:val="0"/>
        </w:rPr>
        <w:t xml:space="preserve"> and small-to-moderate (Cohen’s </w:t>
      </w:r>
      <w:r w:rsidDel="00000000" w:rsidR="00000000" w:rsidRPr="00000000">
        <w:rPr>
          <w:i w:val="1"/>
          <w:iCs w:val="1"/>
          <w:color w:val="212121"/>
          <w:rtl w:val="0"/>
        </w:rPr>
        <w:t xml:space="preserve">d </w:t>
      </w:r>
      <w:r w:rsidDel="00000000" w:rsidR="00000000" w:rsidRPr="00000000">
        <w:rPr>
          <w:color w:val="212121"/>
          <w:rtl w:val="0"/>
        </w:rPr>
        <w:t xml:space="preserve">= .35 and .30, respectively), the partner effects are small (Cohen’s </w:t>
      </w:r>
      <w:r w:rsidDel="00000000" w:rsidR="00000000" w:rsidRPr="00000000">
        <w:rPr>
          <w:i w:val="1"/>
          <w:iCs w:val="1"/>
          <w:color w:val="212121"/>
          <w:rtl w:val="0"/>
        </w:rPr>
        <w:t xml:space="preserve">d</w:t>
      </w:r>
      <w:r w:rsidDel="00000000" w:rsidR="00000000" w:rsidRPr="00000000">
        <w:rPr>
          <w:color w:val="212121"/>
          <w:rtl w:val="0"/>
        </w:rPr>
        <w:t xml:space="preserve"> = .20 and .15), and there are small correlations between actor and partner variables and the error terms (</w:t>
      </w:r>
      <w:r w:rsidDel="00000000" w:rsidR="00000000" w:rsidRPr="00000000">
        <w:rPr>
          <w:i w:val="1"/>
          <w:iCs w:val="1"/>
          <w:color w:val="212121"/>
          <w:rtl w:val="0"/>
        </w:rPr>
        <w:t xml:space="preserve">rs</w:t>
      </w:r>
      <w:r w:rsidDel="00000000" w:rsidR="00000000" w:rsidRPr="00000000">
        <w:rPr>
          <w:color w:val="212121"/>
          <w:rtl w:val="0"/>
        </w:rPr>
        <w:t xml:space="preserve"> = .30). This would result in an actor effect power of .82 for men and .69 for women. However, the power to detect differences between men and women wou</w:t>
      </w:r>
      <w:r w:rsidDel="00000000" w:rsidR="00000000" w:rsidRPr="00000000">
        <w:rPr>
          <w:color w:val="212121"/>
          <w:rtl w:val="0"/>
        </w:rPr>
        <w:t xml:space="preserve">ld </w:t>
      </w:r>
      <w:r w:rsidDel="00000000" w:rsidR="00000000" w:rsidRPr="00000000">
        <w:rPr>
          <w:color w:val="212121"/>
          <w:rtl w:val="0"/>
        </w:rPr>
        <w:t xml:space="preserve">be .06</w:t>
      </w:r>
      <w:r w:rsidDel="00000000" w:rsidR="00000000" w:rsidRPr="00000000">
        <w:rPr>
          <w:color w:val="212121"/>
          <w:rtl w:val="0"/>
        </w:rPr>
        <w:t xml:space="preserve"> </w:t>
      </w:r>
      <w:r w:rsidDel="00000000" w:rsidR="00000000" w:rsidRPr="00000000">
        <w:rPr>
          <w:color w:val="212121"/>
          <w:rtl w:val="0"/>
        </w:rPr>
        <w:t xml:space="preserve">using the APIMPower tool (A</w:t>
      </w:r>
      <w:r w:rsidDel="00000000" w:rsidR="00000000" w:rsidRPr="00000000">
        <w:rPr>
          <w:color w:val="212121"/>
          <w:rtl w:val="0"/>
        </w:rPr>
        <w:t xml:space="preserve">ck</w:t>
      </w:r>
      <w:r w:rsidDel="00000000" w:rsidR="00000000" w:rsidRPr="00000000">
        <w:rPr>
          <w:color w:val="212121"/>
          <w:rtl w:val="0"/>
        </w:rPr>
        <w:t xml:space="preserve">erman &amp; Kenny, 2016). However, if using an indistinguishable approach and using the smaller effect size estimates (.30), power would be .96 to detect actor effects. Considering a different example, if actor and partner associations are each tested at 50% power, about half of the time a researcher is likely to find one significant actor or partner effect, but the other effect is likely to be nonsignificant (Kenny &amp; Ledermann, 2010). Thus, when gender is used as a distinguishing variable without good theoretical or empirical reasons, this could lead researchers to erroneously “find” and interpret gender differences. Therefore, another goal of the current research is to examine how frequently researchers who use an APIM framework conduct a power analysis (RQ4). We will also examine what information researchers use to conduct their power analysis (RQ5). For example, some researchers might use an anticipated actor effect in power analyses, which could produce  underpowered partner effects.</w:t>
      </w:r>
    </w:p>
    <w:p w:rsidR="00000000" w:rsidDel="00000000" w:rsidP="00000000" w:rsidRDefault="00000000" w:rsidRPr="00000000" w14:paraId="0000000F">
      <w:pPr>
        <w:spacing w:line="480" w:lineRule="auto"/>
        <w:ind w:left="0" w:firstLine="720"/>
        <w:rPr/>
      </w:pPr>
      <w:r w:rsidDel="00000000" w:rsidR="00000000" w:rsidRPr="00000000">
        <w:rPr>
          <w:color w:val="212121"/>
          <w:rtl w:val="0"/>
        </w:rPr>
        <w:t xml:space="preserve">Open science practices such as preregistration and power analysis have also been discussed as a tool to dismantle claims of hardwired sex differences in neuroscience research (Persson &amp; Pownall, 2021). For example, in many cases it was unclear whether gender differences were part of an initial research question in a study or whether they were investigated after the primary hypotheses were not supported (David et al., 2018). In close relationships research, as in neuroscience research, testing for gender differences might be an “easy and intuitive” follow-up question, even if gender differences were not considered in the initial research question (Fine et al., 1992; Persson &amp; Pownall, 2021). Preregistration is one way to clarify whether the decision to distinguish dyads by gender was made </w:t>
      </w:r>
      <w:r w:rsidDel="00000000" w:rsidR="00000000" w:rsidRPr="00000000">
        <w:rPr>
          <w:i w:val="1"/>
          <w:iCs w:val="1"/>
          <w:color w:val="212121"/>
          <w:rtl w:val="0"/>
        </w:rPr>
        <w:t xml:space="preserve">a priori </w:t>
      </w:r>
      <w:r w:rsidDel="00000000" w:rsidR="00000000" w:rsidRPr="00000000">
        <w:rPr>
          <w:color w:val="212121"/>
          <w:rtl w:val="0"/>
        </w:rPr>
        <w:t xml:space="preserve">and informed by </w:t>
      </w:r>
      <w:r w:rsidDel="00000000" w:rsidR="00000000" w:rsidRPr="00000000">
        <w:rPr>
          <w:color w:val="212121"/>
          <w:rtl w:val="0"/>
        </w:rPr>
        <w:t xml:space="preserve">existing research or </w:t>
      </w:r>
      <w:r w:rsidDel="00000000" w:rsidR="00000000" w:rsidRPr="00000000">
        <w:rPr>
          <w:color w:val="212121"/>
          <w:rtl w:val="0"/>
        </w:rPr>
        <w:t xml:space="preserve">theory</w:t>
      </w:r>
      <w:r w:rsidDel="00000000" w:rsidR="00000000" w:rsidRPr="00000000">
        <w:rPr>
          <w:color w:val="212121"/>
          <w:rtl w:val="0"/>
        </w:rPr>
        <w:t xml:space="preserve"> or was made by default without sound theoretical rationale. Thus, </w:t>
      </w:r>
      <w:r w:rsidDel="00000000" w:rsidR="00000000" w:rsidRPr="00000000">
        <w:rPr>
          <w:rtl w:val="0"/>
        </w:rPr>
        <w:t xml:space="preserve">we also plan to examine how often researchers preregister their study (RQ6) and, if it was preregistered, how often researchers preregister their choice of either a distinguishable or indistinguishable dyads approach (RQ7), and whether or not this </w:t>
      </w:r>
      <w:r w:rsidDel="00000000" w:rsidR="00000000" w:rsidRPr="00000000">
        <w:rPr>
          <w:rtl w:val="0"/>
        </w:rPr>
        <w:t xml:space="preserve">decision was justified (RQ8). </w:t>
      </w:r>
      <w:r w:rsidDel="00000000" w:rsidR="00000000" w:rsidRPr="00000000">
        <w:rPr>
          <w:rtl w:val="0"/>
        </w:rPr>
        <w:t xml:space="preserve">We will also examine whether their reported analysis plan follows the preregistered analysis plan (RQ9).</w:t>
      </w:r>
    </w:p>
    <w:p w:rsidR="00000000" w:rsidDel="00000000" w:rsidP="00000000" w:rsidRDefault="00000000" w:rsidRPr="00000000" w14:paraId="00000010">
      <w:pPr>
        <w:spacing w:line="480" w:lineRule="auto"/>
        <w:ind w:left="0" w:firstLine="0"/>
        <w:rPr>
          <w:b w:val="1"/>
          <w:bCs w:val="1"/>
          <w:color w:val="212121"/>
        </w:rPr>
      </w:pPr>
      <w:r w:rsidDel="00000000" w:rsidR="00000000" w:rsidRPr="00000000">
        <w:rPr>
          <w:b w:val="1"/>
          <w:bCs w:val="1"/>
          <w:color w:val="212121"/>
          <w:rtl w:val="0"/>
        </w:rPr>
        <w:t xml:space="preserve">Consequences of Distinguishing-by-Gender-by-Default</w:t>
      </w:r>
    </w:p>
    <w:p w:rsidR="00000000" w:rsidDel="00000000" w:rsidP="00000000" w:rsidRDefault="00000000" w:rsidRPr="00000000" w14:paraId="00000011">
      <w:pPr>
        <w:spacing w:line="480" w:lineRule="auto"/>
        <w:ind w:left="0" w:firstLine="720"/>
        <w:rPr/>
      </w:pPr>
      <w:r w:rsidDel="00000000" w:rsidR="00000000" w:rsidRPr="00000000">
        <w:rPr>
          <w:rtl w:val="0"/>
        </w:rPr>
        <w:t xml:space="preserve">Gender is a multidimensional construct that is often used as an imprecise proxy to capture differences in gender role socialization, exposure to gendered discrimination, and masculinity or femininity (Bauer et al., 2022; Hammond, 2025). To be clear, we believe that there are many cases when distinguishing by gender aligns with the research question or existing theory on certain topics. However, distinguishing by gender as a default practice may have several unfortunate and unintended consequences. Below, we highlight inadequate sample diversity and overemphasizing gender differences as two possible consequences of distinguishing by gender by default. </w:t>
      </w:r>
      <w:r w:rsidDel="00000000" w:rsidR="00000000" w:rsidRPr="00000000">
        <w:rPr>
          <w:rtl w:val="0"/>
        </w:rPr>
      </w:r>
    </w:p>
    <w:p w:rsidR="00000000" w:rsidDel="00000000" w:rsidP="00000000" w:rsidRDefault="00000000" w:rsidRPr="00000000" w14:paraId="00000012">
      <w:pPr>
        <w:spacing w:line="480" w:lineRule="auto"/>
        <w:ind w:left="0" w:firstLine="0"/>
        <w:rPr>
          <w:b w:val="1"/>
          <w:bCs w:val="1"/>
          <w:i w:val="1"/>
          <w:iCs w:val="1"/>
        </w:rPr>
      </w:pPr>
      <w:r w:rsidDel="00000000" w:rsidR="00000000" w:rsidRPr="00000000">
        <w:rPr>
          <w:b w:val="1"/>
          <w:bCs w:val="1"/>
          <w:i w:val="1"/>
          <w:iCs w:val="1"/>
          <w:rtl w:val="0"/>
        </w:rPr>
        <w:t xml:space="preserve">Lack of Sample Diversity</w:t>
      </w:r>
    </w:p>
    <w:p w:rsidR="00000000" w:rsidDel="00000000" w:rsidP="00000000" w:rsidRDefault="00000000" w:rsidRPr="00000000" w14:paraId="00000013">
      <w:pPr>
        <w:spacing w:line="480" w:lineRule="auto"/>
        <w:ind w:left="0" w:firstLine="0"/>
        <w:rPr/>
      </w:pPr>
      <w:r w:rsidDel="00000000" w:rsidR="00000000" w:rsidRPr="00000000">
        <w:rPr>
          <w:b w:val="1"/>
          <w:bCs w:val="1"/>
          <w:rtl w:val="0"/>
        </w:rPr>
        <w:tab/>
      </w:r>
      <w:r w:rsidDel="00000000" w:rsidR="00000000" w:rsidRPr="00000000">
        <w:rPr>
          <w:rtl w:val="0"/>
        </w:rPr>
        <w:t xml:space="preserve">O</w:t>
      </w:r>
      <w:r w:rsidDel="00000000" w:rsidR="00000000" w:rsidRPr="00000000">
        <w:rPr>
          <w:rtl w:val="0"/>
        </w:rPr>
        <w:t xml:space="preserve">ne consideration in determining whether to use a distinguishable dyad approach is that there exists a </w:t>
      </w:r>
      <w:r w:rsidDel="00000000" w:rsidR="00000000" w:rsidRPr="00000000">
        <w:rPr>
          <w:i w:val="1"/>
          <w:iCs w:val="1"/>
          <w:rtl w:val="0"/>
        </w:rPr>
        <w:t xml:space="preserve">dichotomous </w:t>
      </w:r>
      <w:r w:rsidDel="00000000" w:rsidR="00000000" w:rsidRPr="00000000">
        <w:rPr>
          <w:rtl w:val="0"/>
        </w:rPr>
        <w:t xml:space="preserve">variable that distinguishes members of the dyad in some psychologically meaningful way (Kenny &amp; Ledermann, 2010). Using gender as a distinguishing variable treats it as a dichotomy, despite research suggesting that it is </w:t>
      </w:r>
      <w:r w:rsidDel="00000000" w:rsidR="00000000" w:rsidRPr="00000000">
        <w:rPr>
          <w:rtl w:val="0"/>
        </w:rPr>
        <w:t xml:space="preserve">not</w:t>
      </w:r>
      <w:r w:rsidDel="00000000" w:rsidR="00000000" w:rsidRPr="00000000">
        <w:rPr>
          <w:rtl w:val="0"/>
        </w:rPr>
        <w:t xml:space="preserve"> (Bauer et al., 2023). Thus, the “distinguish-by-gender-by-default” (Loveless et al., 2026) approach may be used to justify excluding participants who are diverse in terms of their identified gender </w:t>
      </w:r>
      <w:r w:rsidDel="00000000" w:rsidR="00000000" w:rsidRPr="00000000">
        <w:rPr>
          <w:rtl w:val="0"/>
        </w:rPr>
        <w:t xml:space="preserve">and/or sexual orientation</w:t>
      </w:r>
      <w:r w:rsidDel="00000000" w:rsidR="00000000" w:rsidRPr="00000000">
        <w:rPr>
          <w:rtl w:val="0"/>
        </w:rPr>
        <w:t xml:space="preserve"> (McGorray et al., 2023; Williamson et al., 2022). To examine whether this is the case, we will examine whether studies that have used an indistinguishable approach are more diverse in terms of gender (RQ10) and sexual orientation (RQ11) composition. </w:t>
      </w:r>
    </w:p>
    <w:p w:rsidR="00000000" w:rsidDel="00000000" w:rsidP="00000000" w:rsidRDefault="00000000" w:rsidRPr="00000000" w14:paraId="00000014">
      <w:pPr>
        <w:spacing w:line="480" w:lineRule="auto"/>
        <w:ind w:left="0" w:firstLine="0"/>
        <w:rPr>
          <w:b w:val="1"/>
          <w:bCs w:val="1"/>
          <w:i w:val="1"/>
          <w:iCs w:val="1"/>
        </w:rPr>
      </w:pPr>
      <w:r w:rsidDel="00000000" w:rsidR="00000000" w:rsidRPr="00000000">
        <w:rPr>
          <w:b w:val="1"/>
          <w:bCs w:val="1"/>
          <w:i w:val="1"/>
          <w:iCs w:val="1"/>
          <w:rtl w:val="0"/>
        </w:rPr>
        <w:t xml:space="preserve">Overemphasizing Gender Differences</w:t>
      </w:r>
    </w:p>
    <w:p w:rsidR="00000000" w:rsidDel="00000000" w:rsidP="00000000" w:rsidRDefault="00000000" w:rsidRPr="00000000" w14:paraId="00000015">
      <w:pPr>
        <w:spacing w:line="480" w:lineRule="auto"/>
        <w:ind w:left="0" w:firstLine="0"/>
        <w:rPr/>
      </w:pPr>
      <w:r w:rsidDel="00000000" w:rsidR="00000000" w:rsidRPr="00000000">
        <w:rPr>
          <w:b w:val="1"/>
          <w:bCs w:val="1"/>
          <w:i w:val="1"/>
          <w:iCs w:val="1"/>
          <w:rtl w:val="0"/>
        </w:rPr>
        <w:tab/>
      </w:r>
      <w:r w:rsidDel="00000000" w:rsidR="00000000" w:rsidRPr="00000000">
        <w:rPr>
          <w:rtl w:val="0"/>
        </w:rPr>
        <w:t xml:space="preserve">Regardless of researchers’ intentions, the routine practice of examining gender as a default distinguishable variable in romantic relationships may “reinforce and legitimize rigid, often misogynistic, gender norms” (Persson &amp; Pownall, 2021, p. 494). This may contribute to scientific findings being misinterpreted in self-help books and media, such as statements that “men are from Mars and women are from Venus” (Gray, 1992). In reality, men and women share many more similarities than differences (Hyde, </w:t>
      </w:r>
      <w:r w:rsidDel="00000000" w:rsidR="00000000" w:rsidRPr="00000000">
        <w:rPr>
          <w:rtl w:val="0"/>
        </w:rPr>
        <w:t xml:space="preserve">2005).</w:t>
      </w:r>
      <w:r w:rsidDel="00000000" w:rsidR="00000000" w:rsidRPr="00000000">
        <w:rPr>
          <w:rtl w:val="0"/>
        </w:rPr>
        <w:t xml:space="preserve"> Interpreting gender differences is particularly troublesome when differences might actually be Type I errors, especially in underpowered studies. Thus, we will also examine how often researchers interpret </w:t>
      </w:r>
      <w:r w:rsidDel="00000000" w:rsidR="00000000" w:rsidRPr="00000000">
        <w:rPr>
          <w:rtl w:val="0"/>
        </w:rPr>
        <w:t xml:space="preserve">gender differences in their papers </w:t>
      </w:r>
      <w:r w:rsidDel="00000000" w:rsidR="00000000" w:rsidRPr="00000000">
        <w:rPr>
          <w:rtl w:val="0"/>
        </w:rPr>
        <w:t xml:space="preserve">(RQ12).</w:t>
      </w:r>
    </w:p>
    <w:p w:rsidR="00000000" w:rsidDel="00000000" w:rsidP="00000000" w:rsidRDefault="00000000" w:rsidRPr="00000000" w14:paraId="00000016">
      <w:pPr>
        <w:spacing w:line="480" w:lineRule="auto"/>
        <w:jc w:val="center"/>
        <w:rPr>
          <w:b w:val="1"/>
          <w:bCs w:val="1"/>
        </w:rPr>
      </w:pPr>
      <w:r w:rsidDel="00000000" w:rsidR="00000000" w:rsidRPr="00000000">
        <w:rPr>
          <w:b w:val="1"/>
          <w:bCs w:val="1"/>
          <w:rtl w:val="0"/>
        </w:rPr>
        <w:t xml:space="preserve">Met</w:t>
      </w:r>
      <w:r w:rsidDel="00000000" w:rsidR="00000000" w:rsidRPr="00000000">
        <w:rPr>
          <w:b w:val="1"/>
          <w:bCs w:val="1"/>
          <w:rtl w:val="0"/>
        </w:rPr>
        <w:t xml:space="preserve">hod</w:t>
      </w:r>
      <w:r w:rsidDel="00000000" w:rsidR="00000000" w:rsidRPr="00000000">
        <w:rPr>
          <w:rtl w:val="0"/>
        </w:rPr>
      </w:r>
    </w:p>
    <w:p w:rsidR="00000000" w:rsidDel="00000000" w:rsidP="00000000" w:rsidRDefault="00000000" w:rsidRPr="00000000" w14:paraId="00000017">
      <w:pPr>
        <w:spacing w:line="480" w:lineRule="auto"/>
        <w:rPr>
          <w:b w:val="1"/>
          <w:bCs w:val="1"/>
        </w:rPr>
      </w:pPr>
      <w:r w:rsidDel="00000000" w:rsidR="00000000" w:rsidRPr="00000000">
        <w:rPr>
          <w:b w:val="1"/>
          <w:bCs w:val="1"/>
          <w:rtl w:val="0"/>
        </w:rPr>
        <w:t xml:space="preserve">Data Source</w:t>
      </w:r>
    </w:p>
    <w:p w:rsidR="00000000" w:rsidDel="00000000" w:rsidP="00000000" w:rsidRDefault="00000000" w:rsidRPr="00000000" w14:paraId="00000018">
      <w:pPr>
        <w:spacing w:line="480" w:lineRule="auto"/>
        <w:ind w:firstLine="720"/>
        <w:rPr/>
      </w:pPr>
      <w:r w:rsidDel="00000000" w:rsidR="00000000" w:rsidRPr="00000000">
        <w:rPr>
          <w:rtl w:val="0"/>
        </w:rPr>
        <w:t xml:space="preserve">We plan to code all articles that </w:t>
      </w:r>
      <w:r w:rsidDel="00000000" w:rsidR="00000000" w:rsidRPr="00000000">
        <w:rPr>
          <w:rtl w:val="0"/>
        </w:rPr>
        <w:t xml:space="preserve">used</w:t>
      </w:r>
      <w:r w:rsidDel="00000000" w:rsidR="00000000" w:rsidRPr="00000000">
        <w:rPr>
          <w:rtl w:val="0"/>
        </w:rPr>
        <w:t xml:space="preserve"> an APIM framework to examine romantic dyads published from January to December</w:t>
      </w:r>
      <w:r w:rsidDel="00000000" w:rsidR="00000000" w:rsidRPr="00000000">
        <w:rPr>
          <w:rtl w:val="0"/>
        </w:rPr>
        <w:t xml:space="preserve"> </w:t>
      </w:r>
      <w:r w:rsidDel="00000000" w:rsidR="00000000" w:rsidRPr="00000000">
        <w:rPr>
          <w:rtl w:val="0"/>
        </w:rPr>
        <w:t xml:space="preserve">2025</w:t>
      </w:r>
      <w:r w:rsidDel="00000000" w:rsidR="00000000" w:rsidRPr="00000000">
        <w:rPr>
          <w:rtl w:val="0"/>
        </w:rPr>
        <w:t xml:space="preserve">. To identify articles, we will conduct a search in PsychInfo. (See the project OSF site for the search terms to be used). T</w:t>
      </w:r>
      <w:r w:rsidDel="00000000" w:rsidR="00000000" w:rsidRPr="00000000">
        <w:rPr>
          <w:rtl w:val="0"/>
        </w:rPr>
        <w:t xml:space="preserve">o be</w:t>
      </w:r>
      <w:r w:rsidDel="00000000" w:rsidR="00000000" w:rsidRPr="00000000">
        <w:rPr>
          <w:rtl w:val="0"/>
        </w:rPr>
        <w:t xml:space="preserve"> included, studies will need to report the results of an empirical quantitative study, examine romantic dyads, be available in English, and be published in a peer-reviewed journal. Articles will be excluded if they do not provide original empirical results (e.g., we will exclude meta-analyses, narrative reviews, methodological papers), if they examine non-romantic dyads (e.g., friends or parent-child dyads), and if they were not published in peer-reviewed journals. Articles also must explicitly report using an APIM framework to be included. In cases when an article reports more than one study, the first study that meets inclusion criteria will be coded. </w:t>
      </w:r>
    </w:p>
    <w:p w:rsidR="00000000" w:rsidDel="00000000" w:rsidP="00000000" w:rsidRDefault="00000000" w:rsidRPr="00000000" w14:paraId="00000019">
      <w:pPr>
        <w:spacing w:line="480" w:lineRule="auto"/>
        <w:ind w:left="0" w:firstLine="0"/>
        <w:rPr>
          <w:b w:val="1"/>
          <w:bCs w:val="1"/>
        </w:rPr>
      </w:pPr>
      <w:r w:rsidDel="00000000" w:rsidR="00000000" w:rsidRPr="00000000">
        <w:rPr>
          <w:b w:val="1"/>
          <w:bCs w:val="1"/>
          <w:rtl w:val="0"/>
        </w:rPr>
        <w:t xml:space="preserve">Analysis Pl</w:t>
      </w:r>
      <w:r w:rsidDel="00000000" w:rsidR="00000000" w:rsidRPr="00000000">
        <w:rPr>
          <w:b w:val="1"/>
          <w:bCs w:val="1"/>
          <w:rtl w:val="0"/>
        </w:rPr>
        <w:t xml:space="preserve">an</w:t>
      </w:r>
      <w:r w:rsidDel="00000000" w:rsidR="00000000" w:rsidRPr="00000000">
        <w:rPr>
          <w:rtl w:val="0"/>
        </w:rPr>
      </w:r>
    </w:p>
    <w:p w:rsidR="00000000" w:rsidDel="00000000" w:rsidP="00000000" w:rsidRDefault="00000000" w:rsidRPr="00000000" w14:paraId="0000001A">
      <w:pPr>
        <w:spacing w:line="480" w:lineRule="auto"/>
        <w:ind w:firstLine="720"/>
        <w:rPr/>
      </w:pPr>
      <w:r w:rsidDel="00000000" w:rsidR="00000000" w:rsidRPr="00000000">
        <w:rPr>
          <w:rtl w:val="0"/>
        </w:rPr>
        <w:t xml:space="preserve">Two research team me</w:t>
      </w:r>
      <w:r w:rsidDel="00000000" w:rsidR="00000000" w:rsidRPr="00000000">
        <w:rPr>
          <w:rtl w:val="0"/>
        </w:rPr>
        <w:t xml:space="preserve">mbers</w:t>
      </w:r>
      <w:r w:rsidDel="00000000" w:rsidR="00000000" w:rsidRPr="00000000">
        <w:rPr>
          <w:rtl w:val="0"/>
        </w:rPr>
        <w:t xml:space="preserve"> will screen article</w:t>
      </w:r>
      <w:r w:rsidDel="00000000" w:rsidR="00000000" w:rsidRPr="00000000">
        <w:rPr>
          <w:rtl w:val="0"/>
        </w:rPr>
        <w:t xml:space="preserve"> abstracts and titles to determine eligibility,</w:t>
      </w:r>
      <w:r w:rsidDel="00000000" w:rsidR="00000000" w:rsidRPr="00000000">
        <w:rPr>
          <w:rtl w:val="0"/>
        </w:rPr>
        <w:t xml:space="preserve"> and full texts will be reviewed if necessary</w:t>
      </w:r>
      <w:r w:rsidDel="00000000" w:rsidR="00000000" w:rsidRPr="00000000">
        <w:rPr>
          <w:rtl w:val="0"/>
        </w:rPr>
        <w:t xml:space="preserve">. Discrepancies will be resolved via group discussion and agreement. </w:t>
      </w:r>
    </w:p>
    <w:p w:rsidR="00000000" w:rsidDel="00000000" w:rsidP="00000000" w:rsidRDefault="00000000" w:rsidRPr="00000000" w14:paraId="0000001B">
      <w:pPr>
        <w:spacing w:line="480" w:lineRule="auto"/>
        <w:ind w:firstLine="720"/>
        <w:rPr/>
      </w:pPr>
      <w:r w:rsidDel="00000000" w:rsidR="00000000" w:rsidRPr="00000000">
        <w:rPr>
          <w:rtl w:val="0"/>
        </w:rPr>
        <w:t xml:space="preserve">We plan to use a deductive content analysis approach to code the articles </w:t>
      </w:r>
      <w:r w:rsidDel="00000000" w:rsidR="00000000" w:rsidRPr="00000000">
        <w:rPr>
          <w:rtl w:val="0"/>
        </w:rPr>
        <w:t xml:space="preserve">(Hsieh &amp; Shannon, 2005). Prior to registering this study, a codebook was developed based on our research questions and a sample of articles published in 2024 (Bakhos et al., 2024; Bibby &amp; Davilla, 2024; Körner et al. 2024; Lu et al., 2024; Uluyol &amp; Ozen-Ciplak, 2024) and the research team independently coded the articles to ensure that the coding process was clear and feasible. See the project OSF for the study codebook. </w:t>
      </w:r>
      <w:r w:rsidDel="00000000" w:rsidR="00000000" w:rsidRPr="00000000">
        <w:rPr>
          <w:rtl w:val="0"/>
        </w:rPr>
      </w:r>
    </w:p>
    <w:p w:rsidR="00000000" w:rsidDel="00000000" w:rsidP="00000000" w:rsidRDefault="00000000" w:rsidRPr="00000000" w14:paraId="0000001C">
      <w:pPr>
        <w:spacing w:line="480" w:lineRule="auto"/>
        <w:ind w:firstLine="720"/>
        <w:rPr/>
      </w:pPr>
      <w:r w:rsidDel="00000000" w:rsidR="00000000" w:rsidRPr="00000000">
        <w:rPr>
          <w:rtl w:val="0"/>
        </w:rPr>
        <w:t xml:space="preserve">During the initial training phase of the extraction phase, 4 coders will code 10 articles to establish reliability. After reviewing 10 articles, the research team will calculate initial reliabilities and resolve discrepant codes. If 80% reliability is achieved, the coding team will proceed with coding the remaining articles. If 80% reliability is not achieved, coders will continue to train until 80% reliability is achieved and may revise the codebook, which will be documented and reported. In instances of discrepancies, the team members will discuss until there is consensus. Similar to the screening round, four coders will work in teams of two, each team coding half of the dataset. Reliability will be assessed using percent agreement and 80% agreement as a threshold. We use percent agreement rather than a kappa coefficient because we expect the data will be skewed and kappa coefficients are less appropriate in such cases (Syed &amp; Nelson, 2015). After calculating reliability, the research team will meet to resolve discrepancies. </w:t>
      </w:r>
    </w:p>
    <w:p w:rsidR="00000000" w:rsidDel="00000000" w:rsidP="00000000" w:rsidRDefault="00000000" w:rsidRPr="00000000" w14:paraId="0000001D">
      <w:pPr>
        <w:spacing w:line="480" w:lineRule="auto"/>
        <w:ind w:firstLine="720"/>
        <w:rPr/>
      </w:pPr>
      <w:r w:rsidDel="00000000" w:rsidR="00000000" w:rsidRPr="00000000">
        <w:rPr>
          <w:rtl w:val="0"/>
        </w:rPr>
        <w:t xml:space="preserve">The majority of our research questions will be examined by reporting frequenci</w:t>
      </w:r>
      <w:r w:rsidDel="00000000" w:rsidR="00000000" w:rsidRPr="00000000">
        <w:rPr>
          <w:rtl w:val="0"/>
        </w:rPr>
        <w:t xml:space="preserve">es. </w:t>
      </w:r>
      <w:r w:rsidDel="00000000" w:rsidR="00000000" w:rsidRPr="00000000">
        <w:rPr>
          <w:rtl w:val="0"/>
        </w:rPr>
      </w:r>
    </w:p>
    <w:p w:rsidR="00000000" w:rsidDel="00000000" w:rsidP="00000000" w:rsidRDefault="00000000" w:rsidRPr="00000000" w14:paraId="0000001E">
      <w:pPr>
        <w:spacing w:line="480" w:lineRule="auto"/>
        <w:ind w:left="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480" w:lineRule="auto"/>
        <w:ind w:left="0" w:firstLine="0"/>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20">
      <w:pPr>
        <w:spacing w:line="480" w:lineRule="auto"/>
        <w:ind w:left="720" w:hanging="720"/>
        <w:rPr/>
      </w:pPr>
      <w:r w:rsidDel="00000000" w:rsidR="00000000" w:rsidRPr="00000000">
        <w:rPr>
          <w:highlight w:val="white"/>
          <w:rtl w:val="0"/>
        </w:rPr>
        <w:t xml:space="preserve">Ackerman, R. A., &amp; Kenny, D. A. (2016, December). APIMPower: An interactive tool for Actor-Partner Interdependence Model power analysis [Computer software]. Available from https://robert-a-ackerman.shinyapps.io/apimpower/</w:t>
      </w:r>
      <w:r w:rsidDel="00000000" w:rsidR="00000000" w:rsidRPr="00000000">
        <w:rPr>
          <w:rtl w:val="0"/>
        </w:rPr>
      </w:r>
    </w:p>
    <w:p w:rsidR="00000000" w:rsidDel="00000000" w:rsidP="00000000" w:rsidRDefault="00000000" w:rsidRPr="00000000" w14:paraId="00000021">
      <w:pPr>
        <w:spacing w:line="480" w:lineRule="auto"/>
        <w:ind w:left="720"/>
        <w:rPr/>
      </w:pPr>
      <w:r w:rsidDel="00000000" w:rsidR="00000000" w:rsidRPr="00000000">
        <w:rPr>
          <w:rtl w:val="0"/>
        </w:rPr>
        <w:t xml:space="preserve">Bakhos, G., Villeneuve, É., Bélanger, C., Paradis, A., Brassard, A., Bergeron, S., &amp; Godbout, N. (2024). Cumulative childhood interpersonal trauma and parental stress: The role of partner support. </w:t>
      </w:r>
      <w:r w:rsidDel="00000000" w:rsidR="00000000" w:rsidRPr="00000000">
        <w:rPr>
          <w:i w:val="1"/>
          <w:iCs w:val="1"/>
          <w:rtl w:val="0"/>
        </w:rPr>
        <w:t xml:space="preserve">Journal of Social and Personal Relationships</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(9), 2500–2521. https://doi.org/10.1177/02654075241246794</w:t>
      </w:r>
    </w:p>
    <w:p w:rsidR="00000000" w:rsidDel="00000000" w:rsidP="00000000" w:rsidRDefault="00000000" w:rsidRPr="00000000" w14:paraId="00000022">
      <w:pPr>
        <w:spacing w:line="480" w:lineRule="auto"/>
        <w:ind w:left="720" w:hanging="720"/>
        <w:rPr/>
      </w:pPr>
      <w:r w:rsidDel="00000000" w:rsidR="00000000" w:rsidRPr="00000000">
        <w:rPr>
          <w:rtl w:val="0"/>
        </w:rPr>
        <w:t xml:space="preserve">Bakker, M., Hartgerink, C. H. J., Wicherts, J. M., &amp; Van Der Maas, H. L. J. (2016). Researchers’ intuitions about power in psychological research. </w:t>
      </w:r>
      <w:r w:rsidDel="00000000" w:rsidR="00000000" w:rsidRPr="00000000">
        <w:rPr>
          <w:i w:val="1"/>
          <w:iCs w:val="1"/>
          <w:rtl w:val="0"/>
        </w:rPr>
        <w:t xml:space="preserve">Psychological Science</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(8), 1069–1077.</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https://doi.org/10.1177/0956797616647519</w:t>
        </w:r>
      </w:hyperlink>
      <w:r w:rsidDel="00000000" w:rsidR="00000000" w:rsidRPr="00000000">
        <w:rPr>
          <w:rtl w:val="0"/>
        </w:rPr>
      </w:r>
    </w:p>
    <w:p w:rsidR="00000000" w:rsidDel="00000000" w:rsidP="00000000" w:rsidRDefault="00000000" w:rsidRPr="00000000" w14:paraId="00000023">
      <w:pPr>
        <w:spacing w:line="480" w:lineRule="auto"/>
        <w:ind w:left="720" w:hanging="720"/>
        <w:rPr/>
      </w:pPr>
      <w:r w:rsidDel="00000000" w:rsidR="00000000" w:rsidRPr="00000000">
        <w:rPr>
          <w:rtl w:val="0"/>
        </w:rPr>
        <w:t xml:space="preserve">Bauer, G. R. (2023). Sex and gender multidimensionality in epidemiologic research. </w:t>
      </w:r>
      <w:r w:rsidDel="00000000" w:rsidR="00000000" w:rsidRPr="00000000">
        <w:rPr>
          <w:i w:val="1"/>
          <w:iCs w:val="1"/>
          <w:rtl w:val="0"/>
        </w:rPr>
        <w:t xml:space="preserve">American Journal of Epidemiology</w:t>
      </w:r>
      <w:r w:rsidDel="00000000" w:rsidR="00000000" w:rsidRPr="00000000">
        <w:rPr>
          <w:rtl w:val="0"/>
        </w:rPr>
        <w:t xml:space="preserve">, </w:t>
      </w:r>
      <w:r w:rsidDel="00000000" w:rsidR="00000000" w:rsidRPr="00000000">
        <w:rPr>
          <w:i w:val="1"/>
          <w:iCs w:val="1"/>
          <w:rtl w:val="0"/>
        </w:rPr>
        <w:t xml:space="preserve">192</w:t>
      </w:r>
      <w:r w:rsidDel="00000000" w:rsidR="00000000" w:rsidRPr="00000000">
        <w:rPr>
          <w:rtl w:val="0"/>
        </w:rPr>
        <w:t xml:space="preserve">(1), 122–132.</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https://doi.org/10.1093/aje/kwac173</w:t>
        </w:r>
      </w:hyperlink>
      <w:r w:rsidDel="00000000" w:rsidR="00000000" w:rsidRPr="00000000">
        <w:rPr>
          <w:rtl w:val="0"/>
        </w:rPr>
      </w:r>
    </w:p>
    <w:p w:rsidR="00000000" w:rsidDel="00000000" w:rsidP="00000000" w:rsidRDefault="00000000" w:rsidRPr="00000000" w14:paraId="00000024">
      <w:pPr>
        <w:spacing w:line="480" w:lineRule="auto"/>
        <w:ind w:left="720"/>
        <w:rPr/>
      </w:pPr>
      <w:r w:rsidDel="00000000" w:rsidR="00000000" w:rsidRPr="00000000">
        <w:rPr>
          <w:rtl w:val="0"/>
        </w:rPr>
        <w:t xml:space="preserve">Bibby, E. S., &amp; Davila, J. (2024). A dyadic assessment of the association between sexual communication and daily sexual satisfaction. </w:t>
      </w:r>
      <w:r w:rsidDel="00000000" w:rsidR="00000000" w:rsidRPr="00000000">
        <w:rPr>
          <w:i w:val="1"/>
          <w:iCs w:val="1"/>
          <w:rtl w:val="0"/>
        </w:rPr>
        <w:t xml:space="preserve">Journal of Social and Personal Relationships</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(4), 952–970. https://doi.org/10.1177/02654075231220041</w:t>
      </w:r>
    </w:p>
    <w:p w:rsidR="00000000" w:rsidDel="00000000" w:rsidP="00000000" w:rsidRDefault="00000000" w:rsidRPr="00000000" w14:paraId="00000025">
      <w:pPr>
        <w:spacing w:line="480" w:lineRule="auto"/>
        <w:ind w:left="720" w:hanging="720"/>
        <w:rPr/>
      </w:pPr>
      <w:r w:rsidDel="00000000" w:rsidR="00000000" w:rsidRPr="00000000">
        <w:rPr>
          <w:rtl w:val="0"/>
        </w:rPr>
        <w:t xml:space="preserve">Collins, E., &amp; Watt, R. (2021). Using and understanding power in psychological research: A survey study. </w:t>
      </w:r>
      <w:r w:rsidDel="00000000" w:rsidR="00000000" w:rsidRPr="00000000">
        <w:rPr>
          <w:i w:val="1"/>
          <w:iCs w:val="1"/>
          <w:rtl w:val="0"/>
        </w:rPr>
        <w:t xml:space="preserve">Collabra: Psychology</w:t>
      </w:r>
      <w:r w:rsidDel="00000000" w:rsidR="00000000" w:rsidRPr="00000000">
        <w:rPr>
          <w:rtl w:val="0"/>
        </w:rPr>
        <w:t xml:space="preserve">, </w:t>
      </w:r>
      <w:r w:rsidDel="00000000" w:rsidR="00000000" w:rsidRPr="00000000">
        <w:rPr>
          <w:i w:val="1"/>
          <w:iCs w:val="1"/>
          <w:rtl w:val="0"/>
        </w:rPr>
        <w:t xml:space="preserve">7</w:t>
      </w:r>
      <w:r w:rsidDel="00000000" w:rsidR="00000000" w:rsidRPr="00000000">
        <w:rPr>
          <w:rtl w:val="0"/>
        </w:rPr>
        <w:t xml:space="preserve">(1), 28250.</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https://doi.org/10.1525/collabra.28250</w:t>
        </w:r>
      </w:hyperlink>
      <w:r w:rsidDel="00000000" w:rsidR="00000000" w:rsidRPr="00000000">
        <w:rPr>
          <w:rtl w:val="0"/>
        </w:rPr>
      </w:r>
    </w:p>
    <w:p w:rsidR="00000000" w:rsidDel="00000000" w:rsidP="00000000" w:rsidRDefault="00000000" w:rsidRPr="00000000" w14:paraId="00000026">
      <w:pPr>
        <w:spacing w:line="480" w:lineRule="auto"/>
        <w:ind w:left="720" w:hanging="720"/>
        <w:jc w:val="left"/>
        <w:rPr/>
      </w:pPr>
      <w:r w:rsidDel="00000000" w:rsidR="00000000" w:rsidRPr="00000000">
        <w:rPr>
          <w:rtl w:val="0"/>
        </w:rPr>
        <w:t xml:space="preserve">David, S. P., Naudet, F., Laude, J., Radua, J., Fusar-Poli, P., Chu, I., Stefanick, M. L., &amp; Ioannidis, J. P. A. (2018). Potential reporting bias in neuroimaging studies of sex differences. </w:t>
      </w:r>
      <w:r w:rsidDel="00000000" w:rsidR="00000000" w:rsidRPr="00000000">
        <w:rPr>
          <w:i w:val="1"/>
          <w:iCs w:val="1"/>
          <w:rtl w:val="0"/>
        </w:rPr>
        <w:t xml:space="preserve">Scientific Reports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6082.</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https://doi.org/10.1038/s41598-018-23976-1</w:t>
        </w:r>
      </w:hyperlink>
      <w:r w:rsidDel="00000000" w:rsidR="00000000" w:rsidRPr="00000000">
        <w:rPr>
          <w:rtl w:val="0"/>
        </w:rPr>
      </w:r>
    </w:p>
    <w:p w:rsidR="00000000" w:rsidDel="00000000" w:rsidP="00000000" w:rsidRDefault="00000000" w:rsidRPr="00000000" w14:paraId="00000027">
      <w:pPr>
        <w:spacing w:line="480" w:lineRule="auto"/>
        <w:ind w:left="720" w:hanging="720"/>
        <w:rPr/>
      </w:pPr>
      <w:r w:rsidDel="00000000" w:rsidR="00000000" w:rsidRPr="00000000">
        <w:rPr>
          <w:rtl w:val="0"/>
        </w:rPr>
        <w:t xml:space="preserve">Fine, C., Joel, D., &amp; Rippon, G. (2019). Eight things you need to know about sex, gender, brains, and behavior: A guide for academics, journalists, parents, gender diversity advocates, social justice warriors, Tweeters, Facebookers, and everyone else. </w:t>
      </w:r>
      <w:r w:rsidDel="00000000" w:rsidR="00000000" w:rsidRPr="00000000">
        <w:rPr>
          <w:i w:val="1"/>
          <w:iCs w:val="1"/>
          <w:rtl w:val="0"/>
        </w:rPr>
        <w:t xml:space="preserve">Scholar &amp; Feminist Online, 15</w:t>
      </w:r>
      <w:r w:rsidDel="00000000" w:rsidR="00000000" w:rsidRPr="00000000">
        <w:rPr>
          <w:rtl w:val="0"/>
        </w:rPr>
        <w:t xml:space="preserve">(2), 14. </w:t>
      </w:r>
      <w:hyperlink r:id="rId14">
        <w:r w:rsidDel="00000000" w:rsidR="00000000" w:rsidRPr="00000000">
          <w:rPr>
            <w:color w:val="1155cc"/>
            <w:u w:val="single"/>
            <w:rtl w:val="0"/>
          </w:rPr>
          <w:t xml:space="preserve">https://sfonline.barnard.edu/neurogenderings/eight-things-youneed-to-know-about-sex-gender-brains-and-behavior-a-guidefor-academics-journalists-parents-gender-diversity-advocatessocial-justice-warriors-tweeters-facebookers-and-ever/</w:t>
        </w:r>
      </w:hyperlink>
      <w:r w:rsidDel="00000000" w:rsidR="00000000" w:rsidRPr="00000000">
        <w:rPr>
          <w:rtl w:val="0"/>
        </w:rPr>
      </w:r>
    </w:p>
    <w:p w:rsidR="00000000" w:rsidDel="00000000" w:rsidP="00000000" w:rsidRDefault="00000000" w:rsidRPr="00000000" w14:paraId="00000028">
      <w:pPr>
        <w:spacing w:line="480" w:lineRule="auto"/>
        <w:ind w:left="720" w:hanging="720"/>
        <w:rPr>
          <w:rFonts w:ascii="Calibri" w:cs="Calibri" w:eastAsia="Calibri" w:hAnsi="Calibri"/>
          <w:sz w:val="27"/>
          <w:szCs w:val="27"/>
        </w:rPr>
      </w:pPr>
      <w:r w:rsidDel="00000000" w:rsidR="00000000" w:rsidRPr="00000000">
        <w:rPr>
          <w:rtl w:val="0"/>
        </w:rPr>
        <w:t xml:space="preserve">Funder, D. C., &amp; Ozer, D. J. (2019). Evaluating effect size in psychological research: Sense and nonsense. </w:t>
      </w:r>
      <w:r w:rsidDel="00000000" w:rsidR="00000000" w:rsidRPr="00000000">
        <w:rPr>
          <w:i w:val="1"/>
          <w:iCs w:val="1"/>
          <w:rtl w:val="0"/>
        </w:rPr>
        <w:t xml:space="preserve">Advances in Methods and Practices in Psychological Science</w:t>
      </w:r>
      <w:r w:rsidDel="00000000" w:rsidR="00000000" w:rsidRPr="00000000">
        <w:rPr>
          <w:rtl w:val="0"/>
        </w:rPr>
        <w:t xml:space="preserve">, </w:t>
      </w:r>
      <w:r w:rsidDel="00000000" w:rsidR="00000000" w:rsidRPr="00000000">
        <w:rPr>
          <w:i w:val="1"/>
          <w:iCs w:val="1"/>
          <w:rtl w:val="0"/>
        </w:rPr>
        <w:t xml:space="preserve">2</w:t>
      </w:r>
      <w:r w:rsidDel="00000000" w:rsidR="00000000" w:rsidRPr="00000000">
        <w:rPr>
          <w:rtl w:val="0"/>
        </w:rPr>
        <w:t xml:space="preserve">(2), 156–168.</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https://doi.org/10.1177/2515245919847202</w:t>
        </w:r>
      </w:hyperlink>
      <w:r w:rsidDel="00000000" w:rsidR="00000000" w:rsidRPr="00000000">
        <w:rPr>
          <w:rtl w:val="0"/>
        </w:rPr>
      </w:r>
    </w:p>
    <w:p w:rsidR="00000000" w:rsidDel="00000000" w:rsidP="00000000" w:rsidRDefault="00000000" w:rsidRPr="00000000" w14:paraId="00000029">
      <w:pPr>
        <w:spacing w:line="480" w:lineRule="auto"/>
        <w:ind w:left="720" w:hanging="720"/>
        <w:rPr/>
      </w:pPr>
      <w:r w:rsidDel="00000000" w:rsidR="00000000" w:rsidRPr="00000000">
        <w:rPr>
          <w:rtl w:val="0"/>
        </w:rPr>
        <w:t xml:space="preserve">Gray, J. (1992). </w:t>
      </w:r>
      <w:r w:rsidDel="00000000" w:rsidR="00000000" w:rsidRPr="00000000">
        <w:rPr>
          <w:i w:val="1"/>
          <w:iCs w:val="1"/>
          <w:rtl w:val="0"/>
        </w:rPr>
        <w:t xml:space="preserve">Men are from Mars, women are from Venus : A practical guide for improving communication and getting what you want in your relationships.</w:t>
      </w:r>
      <w:r w:rsidDel="00000000" w:rsidR="00000000" w:rsidRPr="00000000">
        <w:rPr>
          <w:rtl w:val="0"/>
        </w:rPr>
        <w:t xml:space="preserve"> Harper Collins.</w:t>
      </w:r>
      <w:r w:rsidDel="00000000" w:rsidR="00000000" w:rsidRPr="00000000">
        <w:rPr>
          <w:rtl w:val="0"/>
        </w:rPr>
      </w:r>
    </w:p>
    <w:p w:rsidR="00000000" w:rsidDel="00000000" w:rsidP="00000000" w:rsidRDefault="00000000" w:rsidRPr="00000000" w14:paraId="0000002A">
      <w:pPr>
        <w:spacing w:line="480" w:lineRule="auto"/>
        <w:ind w:left="720" w:hanging="720"/>
        <w:rPr/>
      </w:pPr>
      <w:r w:rsidDel="00000000" w:rsidR="00000000" w:rsidRPr="00000000">
        <w:rPr>
          <w:rtl w:val="0"/>
        </w:rPr>
        <w:t xml:space="preserve">Hammond, M. D. (2025). Gender and gender roles in couple relationships: Gender differences as the product of cultural scripts and inequities. In N. C. Overall, J. A. Simpson &amp; J. A. Lavner (Eds.), Research Handbook on Couple and Family Relationships (pp. 105-120). Edward Elgar. </w:t>
      </w:r>
      <w:hyperlink r:id="rId17">
        <w:r w:rsidDel="00000000" w:rsidR="00000000" w:rsidRPr="00000000">
          <w:rPr>
            <w:color w:val="1155cc"/>
            <w:u w:val="single"/>
            <w:rtl w:val="0"/>
          </w:rPr>
          <w:t xml:space="preserve">https://doi.org/10.4337/9781035309269.00016</w:t>
        </w:r>
      </w:hyperlink>
      <w:r w:rsidDel="00000000" w:rsidR="00000000" w:rsidRPr="00000000">
        <w:rPr>
          <w:rtl w:val="0"/>
        </w:rPr>
      </w:r>
    </w:p>
    <w:p w:rsidR="00000000" w:rsidDel="00000000" w:rsidP="00000000" w:rsidRDefault="00000000" w:rsidRPr="00000000" w14:paraId="0000002B">
      <w:pPr>
        <w:spacing w:line="480" w:lineRule="auto"/>
        <w:ind w:left="720"/>
        <w:rPr/>
      </w:pPr>
      <w:r w:rsidDel="00000000" w:rsidR="00000000" w:rsidRPr="00000000">
        <w:rPr>
          <w:rtl w:val="0"/>
        </w:rPr>
        <w:t xml:space="preserve">Hsieh, H.-F., &amp; Shannon, S. E. (2005). Three approaches to qualitative content analysis. </w:t>
      </w:r>
      <w:r w:rsidDel="00000000" w:rsidR="00000000" w:rsidRPr="00000000">
        <w:rPr>
          <w:i w:val="1"/>
          <w:iCs w:val="1"/>
          <w:rtl w:val="0"/>
        </w:rPr>
        <w:t xml:space="preserve">Qualitative Health Research, 15</w:t>
      </w:r>
      <w:r w:rsidDel="00000000" w:rsidR="00000000" w:rsidRPr="00000000">
        <w:rPr>
          <w:rtl w:val="0"/>
        </w:rPr>
        <w:t xml:space="preserve">(9), 1277–1288. https:// </w:t>
      </w:r>
      <w:hyperlink r:id="rId18">
        <w:r w:rsidDel="00000000" w:rsidR="00000000" w:rsidRPr="00000000">
          <w:rPr>
            <w:color w:val="1155cc"/>
            <w:u w:val="single"/>
            <w:rtl w:val="0"/>
          </w:rPr>
          <w:t xml:space="preserve">doi.org/10.1177/1049732305276687</w:t>
        </w:r>
      </w:hyperlink>
      <w:r w:rsidDel="00000000" w:rsidR="00000000" w:rsidRPr="00000000">
        <w:rPr>
          <w:rtl w:val="0"/>
        </w:rPr>
      </w:r>
    </w:p>
    <w:p w:rsidR="00000000" w:rsidDel="00000000" w:rsidP="00000000" w:rsidRDefault="00000000" w:rsidRPr="00000000" w14:paraId="0000002C">
      <w:pPr>
        <w:spacing w:line="480" w:lineRule="auto"/>
        <w:ind w:left="720" w:hanging="720"/>
        <w:rPr/>
      </w:pPr>
      <w:r w:rsidDel="00000000" w:rsidR="00000000" w:rsidRPr="00000000">
        <w:rPr>
          <w:rtl w:val="0"/>
        </w:rPr>
        <w:t xml:space="preserve">Hyde, J. S. (2005). The gender similarities hypothesis. </w:t>
      </w:r>
      <w:r w:rsidDel="00000000" w:rsidR="00000000" w:rsidRPr="00000000">
        <w:rPr>
          <w:i w:val="1"/>
          <w:iCs w:val="1"/>
          <w:rtl w:val="0"/>
        </w:rPr>
        <w:t xml:space="preserve">American Psychologist</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(6), 581–592.</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https://doi.org/10.1037/0003-066X.60.6.581</w:t>
        </w:r>
      </w:hyperlink>
      <w:r w:rsidDel="00000000" w:rsidR="00000000" w:rsidRPr="00000000">
        <w:rPr>
          <w:rtl w:val="0"/>
        </w:rPr>
      </w:r>
    </w:p>
    <w:p w:rsidR="00000000" w:rsidDel="00000000" w:rsidP="00000000" w:rsidRDefault="00000000" w:rsidRPr="00000000" w14:paraId="0000002D">
      <w:pPr>
        <w:spacing w:line="480" w:lineRule="auto"/>
        <w:ind w:left="720" w:hanging="720"/>
        <w:rPr/>
      </w:pPr>
      <w:r w:rsidDel="00000000" w:rsidR="00000000" w:rsidRPr="00000000">
        <w:rPr>
          <w:rtl w:val="0"/>
        </w:rPr>
        <w:t xml:space="preserve">Joel, S., Eastwick, P. W., Allison, C. J., Arriaga, X. B., Baker, Z. G., Bar-Kalifa, E., Bergeron, S., Birnbaum, G. E., Brock, R. L., Brumbaugh, C. C., Carmichael, C. L., Chen, S., Clarke, J., Cobb, R. J., Coolsen, M. K., Davis, J., De Jong, D. C., Debrot, A., DeHaas, E. C., … Wolf, S. (2020). Machine learning uncovers the most robust self-report predictors of relationship quality across 43 longitudinal couples studies. </w:t>
      </w:r>
      <w:r w:rsidDel="00000000" w:rsidR="00000000" w:rsidRPr="00000000">
        <w:rPr>
          <w:i w:val="1"/>
          <w:iCs w:val="1"/>
          <w:rtl w:val="0"/>
        </w:rPr>
        <w:t xml:space="preserve">Proceedings of the National Academy of Sciences</w:t>
      </w:r>
      <w:r w:rsidDel="00000000" w:rsidR="00000000" w:rsidRPr="00000000">
        <w:rPr>
          <w:rtl w:val="0"/>
        </w:rPr>
        <w:t xml:space="preserve">, </w:t>
      </w:r>
      <w:r w:rsidDel="00000000" w:rsidR="00000000" w:rsidRPr="00000000">
        <w:rPr>
          <w:i w:val="1"/>
          <w:iCs w:val="1"/>
          <w:rtl w:val="0"/>
        </w:rPr>
        <w:t xml:space="preserve">117</w:t>
      </w:r>
      <w:r w:rsidDel="00000000" w:rsidR="00000000" w:rsidRPr="00000000">
        <w:rPr>
          <w:rtl w:val="0"/>
        </w:rPr>
        <w:t xml:space="preserve">(32), 19061–19071.</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https://doi.org/10.1073/pnas.1917036117</w:t>
        </w:r>
      </w:hyperlink>
      <w:r w:rsidDel="00000000" w:rsidR="00000000" w:rsidRPr="00000000">
        <w:rPr>
          <w:rtl w:val="0"/>
        </w:rPr>
      </w:r>
    </w:p>
    <w:p w:rsidR="00000000" w:rsidDel="00000000" w:rsidP="00000000" w:rsidRDefault="00000000" w:rsidRPr="00000000" w14:paraId="0000002E">
      <w:pPr>
        <w:spacing w:line="480" w:lineRule="auto"/>
        <w:ind w:left="720" w:hanging="720"/>
        <w:rPr/>
      </w:pPr>
      <w:r w:rsidDel="00000000" w:rsidR="00000000" w:rsidRPr="00000000">
        <w:rPr>
          <w:rtl w:val="0"/>
        </w:rPr>
        <w:t xml:space="preserve">Kenny, D. A. (2018). Reflections on the actor–partner interdependence model. </w:t>
      </w:r>
      <w:r w:rsidDel="00000000" w:rsidR="00000000" w:rsidRPr="00000000">
        <w:rPr>
          <w:i w:val="1"/>
          <w:iCs w:val="1"/>
          <w:rtl w:val="0"/>
        </w:rPr>
        <w:t xml:space="preserve">Personal Relationships</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(2), 160–170.</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https://doi.org/10.1111/pere.12240</w:t>
        </w:r>
      </w:hyperlink>
      <w:r w:rsidDel="00000000" w:rsidR="00000000" w:rsidRPr="00000000">
        <w:rPr>
          <w:rtl w:val="0"/>
        </w:rPr>
      </w:r>
    </w:p>
    <w:p w:rsidR="00000000" w:rsidDel="00000000" w:rsidP="00000000" w:rsidRDefault="00000000" w:rsidRPr="00000000" w14:paraId="0000002F">
      <w:pPr>
        <w:spacing w:line="480" w:lineRule="auto"/>
        <w:ind w:left="720" w:hanging="720"/>
        <w:rPr/>
      </w:pPr>
      <w:r w:rsidDel="00000000" w:rsidR="00000000" w:rsidRPr="00000000">
        <w:rPr>
          <w:rtl w:val="0"/>
        </w:rPr>
        <w:t xml:space="preserve">Kenny, D. A., Kashy, D. A., &amp; Cook, W. L. (2006). </w:t>
      </w:r>
      <w:r w:rsidDel="00000000" w:rsidR="00000000" w:rsidRPr="00000000">
        <w:rPr>
          <w:i w:val="1"/>
          <w:iCs w:val="1"/>
          <w:rtl w:val="0"/>
        </w:rPr>
        <w:t xml:space="preserve">Dyadic data analysis</w:t>
      </w:r>
      <w:r w:rsidDel="00000000" w:rsidR="00000000" w:rsidRPr="00000000">
        <w:rPr>
          <w:rtl w:val="0"/>
        </w:rPr>
        <w:t xml:space="preserve">. Guilford.</w:t>
      </w:r>
    </w:p>
    <w:p w:rsidR="00000000" w:rsidDel="00000000" w:rsidP="00000000" w:rsidRDefault="00000000" w:rsidRPr="00000000" w14:paraId="00000030">
      <w:pPr>
        <w:spacing w:line="480" w:lineRule="auto"/>
        <w:ind w:left="720" w:hanging="720"/>
        <w:rPr/>
      </w:pPr>
      <w:r w:rsidDel="00000000" w:rsidR="00000000" w:rsidRPr="00000000">
        <w:rPr>
          <w:rtl w:val="0"/>
        </w:rPr>
        <w:t xml:space="preserve">Kenny, D. A., &amp; Ledermann, T. (2010). Detecting, measuring, and testing dyadic patterns in the actor–partner interdependence model. </w:t>
      </w:r>
      <w:r w:rsidDel="00000000" w:rsidR="00000000" w:rsidRPr="00000000">
        <w:rPr>
          <w:i w:val="1"/>
          <w:iCs w:val="1"/>
          <w:rtl w:val="0"/>
        </w:rPr>
        <w:t xml:space="preserve">Journal of Family Psychology</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(3), 359–366.</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https://doi.org/10.1037/a0019651</w:t>
        </w:r>
      </w:hyperlink>
      <w:r w:rsidDel="00000000" w:rsidR="00000000" w:rsidRPr="00000000">
        <w:rPr>
          <w:rtl w:val="0"/>
        </w:rPr>
      </w:r>
    </w:p>
    <w:p w:rsidR="00000000" w:rsidDel="00000000" w:rsidP="00000000" w:rsidRDefault="00000000" w:rsidRPr="00000000" w14:paraId="00000031">
      <w:pPr>
        <w:spacing w:line="480" w:lineRule="auto"/>
        <w:ind w:left="720" w:hanging="720"/>
        <w:rPr/>
      </w:pPr>
      <w:r w:rsidDel="00000000" w:rsidR="00000000" w:rsidRPr="00000000">
        <w:rPr>
          <w:rtl w:val="0"/>
        </w:rPr>
        <w:t xml:space="preserve">Körner, R., Tandler, N., Petersen, L., &amp; Schütz, A. (2024). Is caring for oneself relevant to happy relationship functioning? Exploring associations between self‐compassion and romantic relationship satisfaction in actors and partners. </w:t>
      </w:r>
      <w:r w:rsidDel="00000000" w:rsidR="00000000" w:rsidRPr="00000000">
        <w:rPr>
          <w:i w:val="1"/>
          <w:iCs w:val="1"/>
          <w:rtl w:val="0"/>
        </w:rPr>
        <w:t xml:space="preserve">Personal Relationships</w:t>
      </w:r>
      <w:r w:rsidDel="00000000" w:rsidR="00000000" w:rsidRPr="00000000">
        <w:rPr>
          <w:rtl w:val="0"/>
        </w:rPr>
        <w:t xml:space="preserve">, </w:t>
      </w:r>
      <w:r w:rsidDel="00000000" w:rsidR="00000000" w:rsidRPr="00000000">
        <w:rPr>
          <w:i w:val="1"/>
          <w:iCs w:val="1"/>
          <w:rtl w:val="0"/>
        </w:rPr>
        <w:t xml:space="preserve">31</w:t>
      </w:r>
      <w:r w:rsidDel="00000000" w:rsidR="00000000" w:rsidRPr="00000000">
        <w:rPr>
          <w:rtl w:val="0"/>
        </w:rPr>
        <w:t xml:space="preserve">(2), 333–357.</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https://doi.org/10.1111/pere.12535</w:t>
        </w:r>
      </w:hyperlink>
      <w:r w:rsidDel="00000000" w:rsidR="00000000" w:rsidRPr="00000000">
        <w:rPr>
          <w:rtl w:val="0"/>
        </w:rPr>
      </w:r>
    </w:p>
    <w:p w:rsidR="00000000" w:rsidDel="00000000" w:rsidP="00000000" w:rsidRDefault="00000000" w:rsidRPr="00000000" w14:paraId="00000032">
      <w:pPr>
        <w:spacing w:line="480" w:lineRule="auto"/>
        <w:ind w:left="720" w:hanging="720"/>
        <w:rPr>
          <w:i w:val="1"/>
          <w:iCs w:val="1"/>
        </w:rPr>
      </w:pPr>
      <w:r w:rsidDel="00000000" w:rsidR="00000000" w:rsidRPr="00000000">
        <w:rPr>
          <w:rtl w:val="0"/>
        </w:rPr>
        <w:t xml:space="preserve">Loveless, C., Quinn-Nilas, C., Sakaluk, J. K., Cumben, R. (2026) Adverse childhood experiences (ACEs) in close relationships: In search of meaningful evidence-based dyadic role distinctions. </w:t>
      </w:r>
      <w:r w:rsidDel="00000000" w:rsidR="00000000" w:rsidRPr="00000000">
        <w:rPr>
          <w:i w:val="1"/>
          <w:iCs w:val="1"/>
          <w:rtl w:val="0"/>
        </w:rPr>
        <w:t xml:space="preserve">PsyArXiv.</w:t>
      </w:r>
    </w:p>
    <w:p w:rsidR="00000000" w:rsidDel="00000000" w:rsidP="00000000" w:rsidRDefault="00000000" w:rsidRPr="00000000" w14:paraId="00000033">
      <w:pPr>
        <w:spacing w:line="480" w:lineRule="auto"/>
        <w:ind w:left="720"/>
        <w:rPr>
          <w:i w:val="1"/>
          <w:iCs w:val="1"/>
        </w:rPr>
      </w:pPr>
      <w:r w:rsidDel="00000000" w:rsidR="00000000" w:rsidRPr="00000000">
        <w:rPr>
          <w:rtl w:val="0"/>
        </w:rPr>
        <w:t xml:space="preserve">Lu, S., He, Y., Li, Q., Chen, Z., &amp; Fang, X. (2024). Dyadic effects of attachment styles on marital satisfaction among Chinese couples: The mediating role of perceived partner responsiveness. </w:t>
      </w:r>
      <w:r w:rsidDel="00000000" w:rsidR="00000000" w:rsidRPr="00000000">
        <w:rPr>
          <w:i w:val="1"/>
          <w:iCs w:val="1"/>
          <w:rtl w:val="0"/>
        </w:rPr>
        <w:t xml:space="preserve">Journal of Social and Personal Relationships, 41</w:t>
      </w:r>
      <w:r w:rsidDel="00000000" w:rsidR="00000000" w:rsidRPr="00000000">
        <w:rPr>
          <w:rtl w:val="0"/>
        </w:rPr>
        <w:t xml:space="preserve">(12), 3770–3790. https://doi.org/10.1177/02654075241277227</w:t>
      </w:r>
      <w:r w:rsidDel="00000000" w:rsidR="00000000" w:rsidRPr="00000000">
        <w:rPr>
          <w:rtl w:val="0"/>
        </w:rPr>
      </w:r>
    </w:p>
    <w:p w:rsidR="00000000" w:rsidDel="00000000" w:rsidP="00000000" w:rsidRDefault="00000000" w:rsidRPr="00000000" w14:paraId="00000034">
      <w:pPr>
        <w:spacing w:line="480" w:lineRule="auto"/>
        <w:ind w:left="720" w:hanging="720"/>
        <w:rPr/>
      </w:pPr>
      <w:r w:rsidDel="00000000" w:rsidR="00000000" w:rsidRPr="00000000">
        <w:rPr>
          <w:rtl w:val="0"/>
        </w:rPr>
        <w:t xml:space="preserve">Maxwell, S. E. (2004). The persistence of underpowered studies in psychological research: Causes, consequences, and remedies. </w:t>
      </w:r>
      <w:r w:rsidDel="00000000" w:rsidR="00000000" w:rsidRPr="00000000">
        <w:rPr>
          <w:i w:val="1"/>
          <w:iCs w:val="1"/>
          <w:rtl w:val="0"/>
        </w:rPr>
        <w:t xml:space="preserve">Psychological Methods, 9</w:t>
      </w:r>
      <w:r w:rsidDel="00000000" w:rsidR="00000000" w:rsidRPr="00000000">
        <w:rPr>
          <w:rtl w:val="0"/>
        </w:rPr>
        <w:t xml:space="preserve">(2), 147–163. </w:t>
      </w:r>
      <w:hyperlink r:id="rId29">
        <w:r w:rsidDel="00000000" w:rsidR="00000000" w:rsidRPr="00000000">
          <w:rPr>
            <w:color w:val="1155cc"/>
            <w:u w:val="single"/>
            <w:rtl w:val="0"/>
          </w:rPr>
          <w:t xml:space="preserve">https://doi.org/10.1037/1082-989x.9.2.147</w:t>
        </w:r>
      </w:hyperlink>
      <w:r w:rsidDel="00000000" w:rsidR="00000000" w:rsidRPr="00000000">
        <w:rPr>
          <w:rtl w:val="0"/>
        </w:rPr>
      </w:r>
    </w:p>
    <w:p w:rsidR="00000000" w:rsidDel="00000000" w:rsidP="00000000" w:rsidRDefault="00000000" w:rsidRPr="00000000" w14:paraId="00000035">
      <w:pPr>
        <w:spacing w:line="480" w:lineRule="auto"/>
        <w:ind w:left="720" w:hanging="720"/>
        <w:rPr/>
      </w:pPr>
      <w:r w:rsidDel="00000000" w:rsidR="00000000" w:rsidRPr="00000000">
        <w:rPr>
          <w:color w:val="212529"/>
          <w:highlight w:val="white"/>
          <w:rtl w:val="0"/>
        </w:rPr>
        <w:t xml:space="preserve">McGorray, E. L., Emery, L. F., Garr-Schultz, A., &amp; Finkel, E. J. (2023). “Mostly White, heterosexual couples”: Examining demographic diversity and reporting practices in relationship science research samples. </w:t>
      </w:r>
      <w:r w:rsidDel="00000000" w:rsidR="00000000" w:rsidRPr="00000000">
        <w:rPr>
          <w:i w:val="1"/>
          <w:iCs w:val="1"/>
          <w:color w:val="212529"/>
          <w:highlight w:val="white"/>
          <w:rtl w:val="0"/>
        </w:rPr>
        <w:t xml:space="preserve">Journal of Personality and Social Psychology, 125</w:t>
      </w:r>
      <w:r w:rsidDel="00000000" w:rsidR="00000000" w:rsidRPr="00000000">
        <w:rPr>
          <w:color w:val="212529"/>
          <w:highlight w:val="white"/>
          <w:rtl w:val="0"/>
        </w:rPr>
        <w:t xml:space="preserve">(2), 316–344. https://doi.org/10.1037/pspi0000417</w:t>
      </w:r>
      <w:r w:rsidDel="00000000" w:rsidR="00000000" w:rsidRPr="00000000">
        <w:rPr>
          <w:rtl w:val="0"/>
        </w:rPr>
      </w:r>
    </w:p>
    <w:p w:rsidR="00000000" w:rsidDel="00000000" w:rsidP="00000000" w:rsidRDefault="00000000" w:rsidRPr="00000000" w14:paraId="00000036">
      <w:pPr>
        <w:spacing w:line="480" w:lineRule="auto"/>
        <w:ind w:left="720" w:hanging="720"/>
        <w:rPr>
          <w:rFonts w:ascii="Calibri" w:cs="Calibri" w:eastAsia="Calibri" w:hAnsi="Calibri"/>
          <w:sz w:val="27"/>
          <w:szCs w:val="27"/>
        </w:rPr>
      </w:pPr>
      <w:r w:rsidDel="00000000" w:rsidR="00000000" w:rsidRPr="00000000">
        <w:rPr>
          <w:rtl w:val="0"/>
        </w:rPr>
        <w:t xml:space="preserve">Persson, S., &amp; Pownall, M. (2021). Can open science be a tool to dismantle claims of hardwired brain sex differences? Opportunities and challenges for feminist researchers. </w:t>
      </w:r>
      <w:r w:rsidDel="00000000" w:rsidR="00000000" w:rsidRPr="00000000">
        <w:rPr>
          <w:i w:val="1"/>
          <w:iCs w:val="1"/>
          <w:rtl w:val="0"/>
        </w:rPr>
        <w:t xml:space="preserve">Psychology of Women Quarterly</w:t>
      </w:r>
      <w:r w:rsidDel="00000000" w:rsidR="00000000" w:rsidRPr="00000000">
        <w:rPr>
          <w:rtl w:val="0"/>
        </w:rPr>
        <w:t xml:space="preserve">, </w:t>
      </w:r>
      <w:r w:rsidDel="00000000" w:rsidR="00000000" w:rsidRPr="00000000">
        <w:rPr>
          <w:i w:val="1"/>
          <w:iCs w:val="1"/>
          <w:rtl w:val="0"/>
        </w:rPr>
        <w:t xml:space="preserve">45</w:t>
      </w:r>
      <w:r w:rsidDel="00000000" w:rsidR="00000000" w:rsidRPr="00000000">
        <w:rPr>
          <w:rtl w:val="0"/>
        </w:rPr>
        <w:t xml:space="preserve">(4), 493–504.</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https://doi.org/10.1177/03616843211037613</w:t>
        </w:r>
      </w:hyperlink>
      <w:r w:rsidDel="00000000" w:rsidR="00000000" w:rsidRPr="00000000">
        <w:rPr>
          <w:rtl w:val="0"/>
        </w:rPr>
      </w:r>
    </w:p>
    <w:p w:rsidR="00000000" w:rsidDel="00000000" w:rsidP="00000000" w:rsidRDefault="00000000" w:rsidRPr="00000000" w14:paraId="00000037">
      <w:pPr>
        <w:spacing w:line="480" w:lineRule="auto"/>
        <w:ind w:left="720" w:hanging="720"/>
        <w:rPr/>
      </w:pPr>
      <w:r w:rsidDel="00000000" w:rsidR="00000000" w:rsidRPr="00000000">
        <w:rPr>
          <w:rtl w:val="0"/>
        </w:rPr>
        <w:t xml:space="preserve">Syed, M., &amp; Nelson, S. C. (2015). Guidelines for establishing reliability when coding narrative data. </w:t>
      </w:r>
      <w:r w:rsidDel="00000000" w:rsidR="00000000" w:rsidRPr="00000000">
        <w:rPr>
          <w:i w:val="1"/>
          <w:iCs w:val="1"/>
          <w:rtl w:val="0"/>
        </w:rPr>
        <w:t xml:space="preserve">Emerging Adulthood</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(6), 375–387. https://doi.org/10.1177/2167696815587648</w:t>
      </w:r>
      <w:r w:rsidDel="00000000" w:rsidR="00000000" w:rsidRPr="00000000">
        <w:rPr>
          <w:rtl w:val="0"/>
        </w:rPr>
      </w:r>
    </w:p>
    <w:p w:rsidR="00000000" w:rsidDel="00000000" w:rsidP="00000000" w:rsidRDefault="00000000" w:rsidRPr="00000000" w14:paraId="00000038">
      <w:pPr>
        <w:spacing w:line="480" w:lineRule="auto"/>
        <w:ind w:left="720" w:hanging="720"/>
        <w:rPr/>
      </w:pPr>
      <w:r w:rsidDel="00000000" w:rsidR="00000000" w:rsidRPr="00000000">
        <w:rPr>
          <w:rtl w:val="0"/>
        </w:rPr>
        <w:t xml:space="preserve">Szucs, D., &amp; Ioannidis, J. P. A. (2017). Empirical assessment of published effect sizes and power in the recent cognitive neuroscience and psychology literature. </w:t>
      </w:r>
      <w:r w:rsidDel="00000000" w:rsidR="00000000" w:rsidRPr="00000000">
        <w:rPr>
          <w:i w:val="1"/>
          <w:iCs w:val="1"/>
          <w:rtl w:val="0"/>
        </w:rPr>
        <w:t xml:space="preserve">PLOS Biology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(3), e2000797.</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https://doi.org/10.1371/journal.pbio.2000797</w:t>
        </w:r>
      </w:hyperlink>
      <w:r w:rsidDel="00000000" w:rsidR="00000000" w:rsidRPr="00000000">
        <w:rPr>
          <w:rtl w:val="0"/>
        </w:rPr>
      </w:r>
    </w:p>
    <w:p w:rsidR="00000000" w:rsidDel="00000000" w:rsidP="00000000" w:rsidRDefault="00000000" w:rsidRPr="00000000" w14:paraId="00000039">
      <w:pPr>
        <w:spacing w:line="480" w:lineRule="auto"/>
        <w:ind w:left="720" w:hanging="720"/>
        <w:rPr>
          <w:color w:val="1155cc"/>
          <w:u w:val="single"/>
        </w:rPr>
      </w:pPr>
      <w:r w:rsidDel="00000000" w:rsidR="00000000" w:rsidRPr="00000000">
        <w:rPr>
          <w:rtl w:val="0"/>
        </w:rPr>
        <w:t xml:space="preserve">Williamson, H. C., Bornstein, J. X., Cantu, V., Ciftci, O., Farnish, K. A., &amp; Schouweiler, M. T. (2022). How diverse are the samples used to study intimate relationships? A systematic review. </w:t>
      </w:r>
      <w:r w:rsidDel="00000000" w:rsidR="00000000" w:rsidRPr="00000000">
        <w:rPr>
          <w:i w:val="1"/>
          <w:iCs w:val="1"/>
          <w:rtl w:val="0"/>
        </w:rPr>
        <w:t xml:space="preserve">Journal of Social and Personal Relationships</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(4), 1087–1109.</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https://doi.org/10.1177/02654075211053849</w:t>
        </w:r>
      </w:hyperlink>
      <w:r w:rsidDel="00000000" w:rsidR="00000000" w:rsidRPr="00000000">
        <w:rPr>
          <w:rtl w:val="0"/>
        </w:rPr>
      </w:r>
    </w:p>
    <w:p w:rsidR="00000000" w:rsidDel="00000000" w:rsidP="00000000" w:rsidRDefault="00000000" w:rsidRPr="00000000" w14:paraId="0000003A">
      <w:pPr>
        <w:spacing w:line="480" w:lineRule="auto"/>
        <w:ind w:left="720" w:hanging="720"/>
        <w:rPr/>
      </w:pPr>
      <w:r w:rsidDel="00000000" w:rsidR="00000000" w:rsidRPr="00000000">
        <w:rPr>
          <w:rtl w:val="0"/>
        </w:rPr>
      </w:r>
    </w:p>
    <w:p w:rsidR="00000000" w:rsidDel="00000000" w:rsidP="00000000" w:rsidRDefault="00000000" w:rsidRPr="00000000" w14:paraId="0000003B">
      <w:pPr>
        <w:spacing w:line="480" w:lineRule="auto"/>
        <w:ind w:left="0" w:firstLine="0"/>
        <w:jc w:val="left"/>
        <w:rPr/>
      </w:pPr>
      <w:r w:rsidDel="00000000" w:rsidR="00000000" w:rsidRPr="00000000">
        <w:rPr>
          <w:rtl w:val="0"/>
        </w:rPr>
      </w:r>
    </w:p>
    <w:p w:rsidR="00000000" w:rsidDel="00000000" w:rsidP="00000000" w:rsidRDefault="00000000" w:rsidRPr="00000000" w14:paraId="0000003C">
      <w:pPr>
        <w:spacing w:line="480" w:lineRule="auto"/>
        <w:ind w:firstLine="720"/>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sectPr>
      <w:headerReference r:id="rId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7/0003-066X.60.6.581" TargetMode="External"/><Relationship Id="rId22" Type="http://schemas.openxmlformats.org/officeDocument/2006/relationships/hyperlink" Target="https://doi.org/10.1073/pnas.1917036117" TargetMode="External"/><Relationship Id="rId21" Type="http://schemas.openxmlformats.org/officeDocument/2006/relationships/hyperlink" Target="https://doi.org/10.1073/pnas.1917036117" TargetMode="External"/><Relationship Id="rId24" Type="http://schemas.openxmlformats.org/officeDocument/2006/relationships/hyperlink" Target="https://doi.org/10.1111/pere.12240" TargetMode="External"/><Relationship Id="rId23" Type="http://schemas.openxmlformats.org/officeDocument/2006/relationships/hyperlink" Target="https://doi.org/10.1111/pere.122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aje/kwac173" TargetMode="External"/><Relationship Id="rId26" Type="http://schemas.openxmlformats.org/officeDocument/2006/relationships/hyperlink" Target="https://doi.org/10.1037/a0019651" TargetMode="External"/><Relationship Id="rId25" Type="http://schemas.openxmlformats.org/officeDocument/2006/relationships/hyperlink" Target="https://doi.org/10.1037/a0019651" TargetMode="External"/><Relationship Id="rId28" Type="http://schemas.openxmlformats.org/officeDocument/2006/relationships/hyperlink" Target="https://doi.org/10.1111/pere.12535" TargetMode="External"/><Relationship Id="rId27" Type="http://schemas.openxmlformats.org/officeDocument/2006/relationships/hyperlink" Target="https://doi.org/10.1111/pere.12535" TargetMode="External"/><Relationship Id="rId5" Type="http://schemas.openxmlformats.org/officeDocument/2006/relationships/styles" Target="styles.xml"/><Relationship Id="rId6" Type="http://schemas.openxmlformats.org/officeDocument/2006/relationships/hyperlink" Target="https://doi.org/10.1177/0956797616647519" TargetMode="External"/><Relationship Id="rId29" Type="http://schemas.openxmlformats.org/officeDocument/2006/relationships/hyperlink" Target="https://doi.org/10.1037/1082-989x.9.2.147" TargetMode="External"/><Relationship Id="rId7" Type="http://schemas.openxmlformats.org/officeDocument/2006/relationships/hyperlink" Target="https://doi.org/10.1177/0956797616647519" TargetMode="External"/><Relationship Id="rId8" Type="http://schemas.openxmlformats.org/officeDocument/2006/relationships/hyperlink" Target="https://doi.org/10.1093/aje/kwac173" TargetMode="External"/><Relationship Id="rId31" Type="http://schemas.openxmlformats.org/officeDocument/2006/relationships/hyperlink" Target="https://doi.org/10.1177/03616843211037613" TargetMode="External"/><Relationship Id="rId30" Type="http://schemas.openxmlformats.org/officeDocument/2006/relationships/hyperlink" Target="https://doi.org/10.1177/03616843211037613" TargetMode="External"/><Relationship Id="rId11" Type="http://schemas.openxmlformats.org/officeDocument/2006/relationships/hyperlink" Target="https://doi.org/10.1525/collabra.28250" TargetMode="External"/><Relationship Id="rId33" Type="http://schemas.openxmlformats.org/officeDocument/2006/relationships/hyperlink" Target="https://doi.org/10.1371/journal.pbio.2000797" TargetMode="External"/><Relationship Id="rId10" Type="http://schemas.openxmlformats.org/officeDocument/2006/relationships/hyperlink" Target="https://doi.org/10.1525/collabra.28250" TargetMode="External"/><Relationship Id="rId32" Type="http://schemas.openxmlformats.org/officeDocument/2006/relationships/hyperlink" Target="https://doi.org/10.1371/journal.pbio.2000797" TargetMode="External"/><Relationship Id="rId13" Type="http://schemas.openxmlformats.org/officeDocument/2006/relationships/hyperlink" Target="https://doi.org/10.1038/s41598-018-23976-1" TargetMode="External"/><Relationship Id="rId35" Type="http://schemas.openxmlformats.org/officeDocument/2006/relationships/hyperlink" Target="https://doi.org/10.1177/02654075211053849" TargetMode="External"/><Relationship Id="rId12" Type="http://schemas.openxmlformats.org/officeDocument/2006/relationships/hyperlink" Target="https://doi.org/10.1038/s41598-018-23976-1" TargetMode="External"/><Relationship Id="rId34" Type="http://schemas.openxmlformats.org/officeDocument/2006/relationships/hyperlink" Target="https://doi.org/10.1177/02654075211053849" TargetMode="External"/><Relationship Id="rId15" Type="http://schemas.openxmlformats.org/officeDocument/2006/relationships/hyperlink" Target="https://doi.org/10.1177/2515245919847202" TargetMode="External"/><Relationship Id="rId14" Type="http://schemas.openxmlformats.org/officeDocument/2006/relationships/hyperlink" Target="https://sfonline.barnard.edu/neurogenderings/eight-things-you-need-to-know-about-sex-gender-brains-and-behavior-a-guide-for-academics-journalists-parents-gender-diversity-advocates-social-justice-warriors-tweeters-facebookers-and-ever/" TargetMode="External"/><Relationship Id="rId36" Type="http://schemas.openxmlformats.org/officeDocument/2006/relationships/header" Target="header1.xml"/><Relationship Id="rId17" Type="http://schemas.openxmlformats.org/officeDocument/2006/relationships/hyperlink" Target="https://doi.org/10.4337/9781035309269.00016" TargetMode="External"/><Relationship Id="rId16" Type="http://schemas.openxmlformats.org/officeDocument/2006/relationships/hyperlink" Target="https://doi.org/10.1177/2515245919847202" TargetMode="External"/><Relationship Id="rId19" Type="http://schemas.openxmlformats.org/officeDocument/2006/relationships/hyperlink" Target="https://doi.org/10.1037/0003-066X.60.6.581" TargetMode="External"/><Relationship Id="rId18" Type="http://schemas.openxmlformats.org/officeDocument/2006/relationships/hyperlink" Target="http://doi.org/10.1177/10497323052766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