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761232" cy="2566416"/>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761232" cy="2566416"/>
                    </a:xfrm>
                    <a:prstGeom prst="rect"/>
                  </pic:spPr>
                </pic:pic>
              </a:graphicData>
            </a:graphic>
          </wp:inline>
        </w:drawing>
      </w:r>
    </w:p>
    <w:p>
      <w:pPr>
        <w:pStyle w:val="Caption"/>
        <w:jc w:val="center"/>
      </w:pPr>
      <w:r>
        <w:t>图 1. 双源混流组合设备拓扑：产品晶圆由大气侧进入，辅助晶圆由真空存储区进入，并在VTR和旋转腔处共享资源。</w:t>
      </w:r>
    </w:p>
    <w:p>
      <w:pPr>
        <w:pStyle w:val="BodyText"/>
        <w:spacing w:after="60" w:line="288" w:lineRule="auto"/>
        <w:ind w:firstLine="420"/>
      </w:pPr>
      <w:r>
        <w:t>现有精确调度研究覆盖了不同但互补的设备边界。Qiao et al. (2022)以虚拟晶圆表示清洗占用，并用二元整数规划优化带驻留约束的双臂CT；Li et al. (2022)把清洗触发与腔室状态关联，推导时间受限单臂CT的可行条件；Gu et al. (2024)针对四指机械手和四空间模块，以线性规划求取稳态最小周期；Yang et al. (2025)则用MIP联合决定两类晶圆投放与机械手动作。这些模型尚未同时处理有限批次双源物流、可复用辅助晶圆和两种旋转配方。</w:t>
      </w:r>
    </w:p>
    <w:p>
      <w:pPr>
        <w:pStyle w:val="BodyText"/>
        <w:spacing w:after="60" w:line="288" w:lineRule="auto"/>
        <w:ind w:firstLine="420"/>
      </w:pPr>
      <w:r>
        <w:t>学习型CT控制通常直接产生动作。Kim and Lee(2025)用深度强化学习与前瞻搜索选择非周期调度动作；Hong et al. (2026)在离散事件仿真中用DDPG调节PVD加工时间。与之不同，本文把加工时间视为输入，并要求输出可由MILP验证的完整排程、上下界与最优性状态。学习增强精确优化为此提供了更合适的接口：Tang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上装载锁–VTR–旋转腔–VTR–下装载锁–ATR–装载端口”流动；辅助晶圆从真空存储区经VTR进入旋转腔，使用结束后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SPBS和RDMCT-HBS分别提供原始与对偶引导，SCIP仍负责可行性检查、有效割生成、上下界维护和最优性证明（Achterberg(2009)；Bestuzheva et al. (2023)）。</w:t>
      </w:r>
    </w:p>
    <w:p>
      <w:pPr>
        <w:pStyle w:val="Heading2"/>
      </w:pPr>
      <w:r>
        <w:t>SPBS初始解</w:t>
      </w:r>
    </w:p>
    <w:p>
      <w:pPr>
        <w:pStyle w:val="BodyText"/>
        <w:spacing w:after="60" w:line="288" w:lineRule="auto"/>
        <w:ind w:firstLine="420"/>
      </w:pPr>
      <w:r>
        <w:t>SPBS在临时可行性MIP中固定确定性的产品分配、批次激活、清洗区段、装载锁和部分资源次序，连续事件时刻保持自由；若未获得incumbent，则依次释放辅助晶圆、装载锁和其他次序。候选排程只有在完整MILP中重构并通过求解器检查后才输入生产求解，因此它增加可行起点而不排除更优解。正式基准将SPBS离线预计算并以LP哈希绑定，报告的PDI和求解时间不含其构造成本。</w:t>
      </w:r>
    </w:p>
    <w:p>
      <w:pPr>
        <w:pStyle w:val="Heading2"/>
      </w:pPr>
      <w:r>
        <w:t>角色特征与层次割选择</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8" name="Picture 28"/>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（25）表示割系数绝对质量由各数学变量角色承担的比例；与界、符号和角色熵特征合并后形成23维表示，不读取变量名或设备标签。</w:t>
      </w:r>
    </w:p>
    <w:p>
      <w:pPr>
        <w:pStyle w:val="BodyText"/>
        <w:spacing w:after="60" w:line="288" w:lineRule="auto"/>
        <w:ind w:firstLine="420"/>
      </w:pPr>
      <w:r>
        <w:t>高层策略决定割预算，低层指针策略产生有序割集（Vinyals et al. (2015)）：</w:t>
      </w:r>
    </w:p>
    <w:p>
      <w:pPr>
        <w:keepNext w:val="0"/>
        <w:jc w:val="center"/>
      </w:pPr>
      <w:r>
        <w:drawing>
          <wp:inline xmlns:a="http://schemas.openxmlformats.org/drawingml/2006/main" xmlns:pic="http://schemas.openxmlformats.org/drawingml/2006/picture">
            <wp:extent cx="3584448" cy="533400"/>
            <wp:docPr id="29" name="Picture 29"/>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584448" cy="533400"/>
                    </a:xfrm>
                    <a:prstGeom prst="rect"/>
                  </pic:spPr>
                </pic:pic>
              </a:graphicData>
            </a:graphic>
          </wp:inline>
        </w:drawing>
      </w:r>
    </w:p>
    <w:p>
      <w:pPr>
        <w:pStyle w:val="BodyText"/>
        <w:spacing w:after="60" w:line="288" w:lineRule="auto"/>
        <w:ind w:firstLine="420"/>
      </w:pPr>
      <w:r>
        <w:t>公式 （26）表示割数量和割顺序由同一层次概率联合确定。两个worker并行采集独立SCIP轨迹，随后由中央使用批数据同步更新共享策略网络。以R=-PDI为回报，并采用</w:t>
      </w:r>
    </w:p>
    <w:p>
      <w:pPr>
        <w:keepNext w:val="0"/>
        <w:jc w:val="center"/>
      </w:pPr>
      <w:r>
        <w:drawing>
          <wp:inline xmlns:a="http://schemas.openxmlformats.org/drawingml/2006/main" xmlns:pic="http://schemas.openxmlformats.org/drawingml/2006/picture">
            <wp:extent cx="3465576" cy="740664"/>
            <wp:docPr id="30" name="Picture 30"/>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27）表示用指数移动平均回报作为基线的批量策略梯度估计；B为轨迹批量，τ_b为第b条轨迹，该基线降低回报波动但不是独立学习的价值函数。该实现是受A3C启发的并行层次REINFORCE，而非含独立critic的异步演员–评论家（Williams(1992)；Mnih et al. (2016)）。</w:t>
      </w:r>
    </w:p>
    <w:p>
      <w:pPr>
        <w:pStyle w:val="BodyText"/>
        <w:spacing w:after="60" w:line="288" w:lineRule="auto"/>
        <w:ind w:firstLine="420"/>
      </w:pPr>
      <w:r>
        <w:t>训练集含五个实例和五个随机种子。每个种子使用两个worker，每个epoch收集八条30 s/1024 MB轨迹，共训练60个epoch；低层和高层策略的Adam学习率分别为10^-4和5×10^-4。每个方法–种子组合只使用预先规定的epoch 60参数，不利用基准集或测试集选择参数。推理时有限宽束搜索保留多个部分序列（Choo et al. (2022)），角色次模补全再平衡策略分数、即时割质量、角色覆盖和候选池代表性（Nemhauser et al. (1978)）。次模近似性质仅适用于锚点和候选池给定后的剩余单调补全问题，不是全局割选择性能保证。</w:t>
      </w:r>
    </w:p>
    <w:p>
      <w:pPr>
        <w:pStyle w:val="BodyText"/>
        <w:spacing w:after="60" w:line="288" w:lineRule="auto"/>
        <w:ind w:firstLine="420"/>
      </w:pPr>
      <w:r>
        <w:t>RDMCT-HBS只重排SCIP已生成并确认有效的候选割，SPBS只提交经检查的可行解；二者均不改变目标、约束、整数性或界逻辑，因此保持与默认SCIP相同的可行性和最优性含义。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5138928" cy="2389632"/>
            <wp:docPr id="31" name="Picture 31"/>
            <wp:cNvGraphicFramePr>
              <a:graphicFrameLocks noChangeAspect="1"/>
            </wp:cNvGraphicFramePr>
            <a:graphic>
              <a:graphicData uri="http://schemas.openxmlformats.org/drawingml/2006/picture">
                <pic:pic>
                  <pic:nvPicPr>
                    <pic:cNvPr id="0" name="figure_04.png"/>
                    <pic:cNvPicPr/>
                  </pic:nvPicPr>
                  <pic:blipFill>
                    <a:blip r:embed="rId40"/>
                    <a:stretch>
                      <a:fillRect/>
                    </a:stretch>
                  </pic:blipFill>
                  <pic:spPr>
                    <a:xfrm>
                      <a:off x="0" y="0"/>
                      <a:ext cx="5138928" cy="2389632"/>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5141976" cy="3593592"/>
            <wp:docPr id="32" name="Picture 32"/>
            <wp:cNvGraphicFramePr>
              <a:graphicFrameLocks noChangeAspect="1"/>
            </wp:cNvGraphicFramePr>
            <a:graphic>
              <a:graphicData uri="http://schemas.openxmlformats.org/drawingml/2006/picture">
                <pic:pic>
                  <pic:nvPicPr>
                    <pic:cNvPr id="0" name="figure_05.png"/>
                    <pic:cNvPicPr/>
                  </pic:nvPicPr>
                  <pic:blipFill>
                    <a:blip r:embed="rId41"/>
                    <a:stretch>
                      <a:fillRect/>
                    </a:stretch>
                  </pic:blipFill>
                  <pic:spPr>
                    <a:xfrm>
                      <a:off x="0" y="0"/>
                      <a:ext cx="5141976" cy="3593592"/>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5141976" cy="1932432"/>
            <wp:docPr id="33" name="Picture 33"/>
            <wp:cNvGraphicFramePr>
              <a:graphicFrameLocks noChangeAspect="1"/>
            </wp:cNvGraphicFramePr>
            <a:graphic>
              <a:graphicData uri="http://schemas.openxmlformats.org/drawingml/2006/picture">
                <pic:pic>
                  <pic:nvPicPr>
                    <pic:cNvPr id="0" name="figure_06.png"/>
                    <pic:cNvPicPr/>
                  </pic:nvPicPr>
                  <pic:blipFill>
                    <a:blip r:embed="rId42"/>
                    <a:stretch>
                      <a:fillRect/>
                    </a:stretch>
                  </pic:blipFill>
                  <pic:spPr>
                    <a:xfrm>
                      <a:off x="0" y="0"/>
                      <a:ext cx="5141976" cy="1932432"/>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4885944" cy="4575048"/>
            <wp:docPr id="34" name="Picture 34"/>
            <wp:cNvGraphicFramePr>
              <a:graphicFrameLocks noChangeAspect="1"/>
            </wp:cNvGraphicFramePr>
            <a:graphic>
              <a:graphicData uri="http://schemas.openxmlformats.org/drawingml/2006/picture">
                <pic:pic>
                  <pic:nvPicPr>
                    <pic:cNvPr id="0" name="figure_07.png"/>
                    <pic:cNvPicPr/>
                  </pic:nvPicPr>
                  <pic:blipFill>
                    <a:blip r:embed="rId43"/>
                    <a:stretch>
                      <a:fillRect/>
                    </a:stretch>
                  </pic:blipFill>
                  <pic:spPr>
                    <a:xfrm>
                      <a:off x="0" y="0"/>
                      <a:ext cx="4885944" cy="4575048"/>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综合四项指标，RDMCT-HBS在整个限时轨迹上取得最低平均PDI和最短平均求解时间；默认SCIP在终止gap和证明最优率上略占优势。结果显示，结构感知角色表示、补全机制与束解码的组合能够改善有限时间内的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5187695" cy="1749552"/>
            <wp:docPr id="35" name="Picture 35"/>
            <wp:cNvGraphicFramePr>
              <a:graphicFrameLocks noChangeAspect="1"/>
            </wp:cNvGraphicFramePr>
            <a:graphic>
              <a:graphicData uri="http://schemas.openxmlformats.org/drawingml/2006/picture">
                <pic:pic>
                  <pic:nvPicPr>
                    <pic:cNvPr id="0" name="figure_08.png"/>
                    <pic:cNvPicPr/>
                  </pic:nvPicPr>
                  <pic:blipFill>
                    <a:blip r:embed="rId44"/>
                    <a:stretch>
                      <a:fillRect/>
                    </a:stretch>
                  </pic:blipFill>
                  <pic:spPr>
                    <a:xfrm>
                      <a:off x="0" y="0"/>
                      <a:ext cx="5187695" cy="1749552"/>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4986528" cy="2764536"/>
            <wp:docPr id="36" name="Picture 36"/>
            <wp:cNvGraphicFramePr>
              <a:graphicFrameLocks noChangeAspect="1"/>
            </wp:cNvGraphicFramePr>
            <a:graphic>
              <a:graphicData uri="http://schemas.openxmlformats.org/drawingml/2006/picture">
                <pic:pic>
                  <pic:nvPicPr>
                    <pic:cNvPr id="0" name="figure_09.png"/>
                    <pic:cNvPicPr/>
                  </pic:nvPicPr>
                  <pic:blipFill>
                    <a:blip r:embed="rId45"/>
                    <a:stretch>
                      <a:fillRect/>
                    </a:stretch>
                  </pic:blipFill>
                  <pic:spPr>
                    <a:xfrm>
                      <a:off x="0" y="0"/>
                      <a:ext cx="4986528" cy="2764536"/>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精确工艺模式比较表明，纯4×1在8片和16片批次中均取得最短最大完工时间和最高等效吞吐率。相同600 s总预算下，两阶段工作流使路线总等待、最大等待、节拍变异系数和节拍偏差分别降低51.91%、68.89%、39.70%和94.05%，显著改善排程运行质量。SPBS将限时可行解率由51.67%提高到100%，并使平均PDI降低26.19%；在共同SPBS的七方法标称比较中，RDMCT-HBS取得最低平均PDI和最短平均求解时间。析因实验显示，批次规模与混流构成的交互是求解难度的主要驱动因素；在40–64片分布偏移测试中，729次运行均稳定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邵立珍与魏林聪共同参与概念设计、方法、软件、验证、形式分析、研究、可视化和论文撰写；全体作者审阅并批准稿件。</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稿件准备过程中，作者使用OpenAI ChatGPT和Codex进行语言润色、LaTeX一致性检查和软件调试。作者审阅并修改了相关输出，并对出版物的全部内容承担责任。</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