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6"/>
      </w:pPr>
      <w:r>
        <w:rPr>
          <w:rFonts w:hint="eastAsia"/>
        </w:rPr>
        <w:t xml:space="preserve">面向旋转腔半导体组合设备的系统级调度：</w:t>
      </w:r>
      <w:r>
        <w:t xml:space="preserve"> </w:t>
      </w:r>
      <w:r>
        <w:rPr>
          <w:rFonts w:hint="eastAsia"/>
        </w:rPr>
        <w:t xml:space="preserve">可配置源接口两阶段MILP与结构感知精确搜索</w:t>
      </w:r>
    </w:p>
    <w:p>
      <w:pPr>
        <w:pStyle w:val="25"/>
      </w:pPr>
      <w:r>
        <w:rPr>
          <w:rFonts w:hint="eastAsia"/>
        </w:rPr>
        <w:t xml:space="preserve">邵立珍（Lizhen</w:t>
      </w:r>
      <w:r>
        <w:t xml:space="preserve"> </w:t>
      </w:r>
      <w:r>
        <w:rPr>
          <w:rFonts w:hint="eastAsia"/>
        </w:rPr>
        <w:t xml:space="preserve">Shao）；魏林聪（Lincong</w:t>
      </w:r>
      <w:r>
        <w:t xml:space="preserve"> </w:t>
      </w:r>
      <w:r>
        <w:rPr>
          <w:rFonts w:hint="eastAsia"/>
        </w:rPr>
        <w:t xml:space="preserve">Wei）；王蔚（Wei</w:t>
      </w:r>
      <w:r>
        <w:t xml:space="preserve"> </w:t>
      </w:r>
      <w:r>
        <w:rPr>
          <w:rFonts w:hint="eastAsia"/>
        </w:rPr>
        <w:t xml:space="preserve">Wang）</w:t>
      </w:r>
    </w:p>
    <w:p>
      <w:pPr>
        <w:pStyle w:val="23"/>
      </w:pPr>
      <w:r>
        <w:rPr>
          <w:rFonts w:hint="eastAsia"/>
        </w:rPr>
        <w:t xml:space="preserve">北京科技大学控制科学与工程系，北京市海淀区学院路30号，北京100083，中国</w:t>
      </w:r>
      <w:r>
        <w:br/>
      </w:r>
      <w:r>
        <w:rPr>
          <w:rFonts w:hint="eastAsia"/>
        </w:rPr>
        <w:t xml:space="preserve">*通讯作者：lshao@ustb.edu.cn</w:t>
      </w:r>
    </w:p>
    <w:bookmarkStart w:id="19" w:name="摘要"/>
    <w:p>
      <w:pPr>
        <w:pStyle w:val="4"/>
      </w:pPr>
      <w:r>
        <w:rPr>
          <w:rFonts w:hint="eastAsia"/>
        </w:rPr>
        <w:t xml:space="preserve">摘要</w:t>
      </w:r>
    </w:p>
    <w:p>
      <w:pPr>
        <w:pStyle w:val="23"/>
      </w:pPr>
      <w:r>
        <w:rPr>
          <w:rFonts w:hint="eastAsia"/>
        </w:rPr>
        <w:t xml:space="preserve">薄膜制造工艺广泛采用组合设备（cluster</w:t>
      </w:r>
      <w:r>
        <w:t xml:space="preserve"> </w:t>
      </w:r>
      <w:r>
        <w:rPr>
          <w:rFonts w:hint="eastAsia"/>
        </w:rPr>
        <w:t xml:space="preserve">tool，CT）在受控真空环境下进行晶圆加工，其中等离子体增强化学气相沉积（Plasma-Enhanced</w:t>
      </w:r>
      <w:r>
        <w:t xml:space="preserve"> Chemical Vapor </w:t>
      </w:r>
      <w:r>
        <w:rPr>
          <w:rFonts w:hint="eastAsia"/>
        </w:rPr>
        <w:t xml:space="preserve">Deposition，PECVD）由于空间限制以及多种工艺模式需求，多采用旋转式多空间工艺模块的一类高吞吐</w:t>
      </w:r>
      <w:r>
        <w:t xml:space="preserve"> </w:t>
      </w:r>
      <w:r>
        <w:rPr>
          <w:rFonts w:hint="eastAsia"/>
        </w:rPr>
        <w:t xml:space="preserve">CT。本文面向旋转腔</w:t>
      </w:r>
      <w:r>
        <w:t xml:space="preserve"> CT </w:t>
      </w:r>
      <w:r>
        <w:rPr>
          <w:rFonts w:hint="eastAsia"/>
        </w:rPr>
        <w:t xml:space="preserve">调度问题提出可配置源接口调度框架，将外部辅助晶圆的拓扑与统一的CT内部结构解耦，使模型能够在单源系统的基础上通过源接口扩展可复用辅助晶圆从不同物理域进入并与产品晶圆共享机械手与旋转腔资源，实现双源混流运行。在此基础上建立有限时域两阶段混合整数线性规划（MILP）：第一阶段最小化端到端最大完工时间，第二阶段在数值容差内保持已选离散调度结构和</w:t>
      </w:r>
      <w:r>
        <w:t xml:space="preserve"> </w:t>
      </w:r>
      <w:r>
        <w:rPr>
          <w:rFonts w:hint="eastAsia"/>
        </w:rPr>
        <w:t xml:space="preserve">makespan，并进一步改善物理路径等待与腔室节拍。在精确求解方面，提出结构保持二进制骨架（SPBS）热启动与结构感知层次割平面选择算法</w:t>
      </w:r>
      <w:r>
        <w:t xml:space="preserve"> </w:t>
      </w:r>
      <w:r>
        <w:rPr>
          <w:rFonts w:hint="eastAsia"/>
        </w:rPr>
        <w:t xml:space="preserve">RDMCT-HBS。六个同规模精确构型表明，在工艺配方未限定模式且单次加工时间相同的条件下，纯</w:t>
      </w:r>
      <m:oMath>
        <m:r>
          <m:t>4</m:t>
        </m:r>
        <m:r>
          <m:rPr>
            <m:sty m:val="p"/>
          </m:rPr>
          <m:t>×</m:t>
        </m:r>
        <m:r>
          <m:t>1</m:t>
        </m:r>
      </m:oMath>
      <w:r>
        <w:rPr>
          <w:rFonts w:hint="eastAsia"/>
        </w:rPr>
        <w:t xml:space="preserve">在8片和16片批次中取得最短最大完工时间。进一步的实验表明，在相同</w:t>
      </w:r>
      <w:r>
        <w:t xml:space="preserve"> 600s </w:t>
      </w:r>
      <w:r>
        <w:rPr>
          <w:rFonts w:hint="eastAsia"/>
        </w:rPr>
        <w:t xml:space="preserve">总工作流预算下，完整两阶段工作流相对单阶段基线将路径总等待、最大路径等待、节拍变异系数和节拍偏差分别降低</w:t>
      </w:r>
      <w:r>
        <w:t xml:space="preserve"> 51.91%、68.89%、39.70% </w:t>
      </w:r>
      <w:r>
        <w:rPr>
          <w:rFonts w:hint="eastAsia"/>
        </w:rPr>
        <w:t xml:space="preserve">和</w:t>
      </w:r>
      <w:r>
        <w:t xml:space="preserve"> 94.05%。SPBS </w:t>
      </w:r>
      <w:r>
        <w:rPr>
          <w:rFonts w:hint="eastAsia"/>
        </w:rPr>
        <w:t xml:space="preserve">将</w:t>
      </w:r>
      <w:r>
        <w:t xml:space="preserve"> incumbent </w:t>
      </w:r>
      <w:r>
        <w:rPr>
          <w:rFonts w:hint="eastAsia"/>
        </w:rPr>
        <w:t xml:space="preserve">可获得率由</w:t>
      </w:r>
      <w:r>
        <w:t xml:space="preserve"> 51.67% </w:t>
      </w:r>
      <w:r>
        <w:rPr>
          <w:rFonts w:hint="eastAsia"/>
        </w:rPr>
        <w:t xml:space="preserve">提升至</w:t>
      </w:r>
      <w:r>
        <w:t xml:space="preserve"> </w:t>
      </w:r>
      <w:r>
        <w:rPr>
          <w:rFonts w:hint="eastAsia"/>
        </w:rPr>
        <w:t xml:space="preserve">100%，并使下游平均</w:t>
      </w:r>
      <w:r>
        <w:t xml:space="preserve"> PDI </w:t>
      </w:r>
      <w:r>
        <w:rPr>
          <w:rFonts w:hint="eastAsia"/>
        </w:rPr>
        <w:t xml:space="preserve">降低</w:t>
      </w:r>
      <w:r>
        <w:t xml:space="preserve"> </w:t>
      </w:r>
      <w:r>
        <w:rPr>
          <w:rFonts w:hint="eastAsia"/>
        </w:rPr>
        <w:t xml:space="preserve">26.19%；在所有策略共享同一</w:t>
      </w:r>
      <w:r>
        <w:t xml:space="preserve"> SPBS </w:t>
      </w:r>
      <w:r>
        <w:rPr>
          <w:rFonts w:hint="eastAsia"/>
        </w:rPr>
        <w:t xml:space="preserve">的标称比较中，RDMCT-HBS</w:t>
      </w:r>
      <w:r>
        <w:t xml:space="preserve"> </w:t>
      </w:r>
      <w:r>
        <w:rPr>
          <w:rFonts w:hint="eastAsia"/>
        </w:rPr>
        <w:t xml:space="preserve">在七种求解指导配置中取得最低平均</w:t>
      </w:r>
      <w:r>
        <w:t xml:space="preserve"> PDI </w:t>
      </w:r>
      <w:r>
        <w:rPr>
          <w:rFonts w:hint="eastAsia"/>
        </w:rPr>
        <w:t xml:space="preserve">和平均求解时间，能够在保留求解器可行性验证与界信息的同时提升设备级运行质量和有限时间求解性能。</w:t>
      </w:r>
    </w:p>
    <w:p>
      <w:pPr>
        <w:pStyle w:val="3"/>
      </w:pPr>
      <w:r>
        <w:rPr>
          <w:rFonts w:hint="eastAsia"/>
          <w:b/>
          <w:bCs/>
        </w:rPr>
        <w:t xml:space="preserve">关键词：</w:t>
      </w:r>
      <w:r>
        <w:rPr>
          <w:rFonts w:hint="eastAsia"/>
        </w:rPr>
        <w:t xml:space="preserve">半导体制造；组合设备；调度；混合整数线性规划；分支割；学习增强精确优化</w:t>
      </w:r>
    </w:p>
    <w:bookmarkEnd w:id="19"/>
    <w:bookmarkStart w:id="24" w:name="引言"/>
    <w:p>
      <w:pPr>
        <w:pStyle w:val="2"/>
      </w:pPr>
      <w:r>
        <w:rPr>
          <w:rStyle w:val="SectionNumber"/>
        </w:rPr>
        <w:t xml:space="preserve">1</w:t>
      </w:r>
      <w:r>
        <w:tab/>
      </w:r>
      <w:r>
        <w:rPr>
          <w:rFonts w:hint="eastAsia"/>
        </w:rPr>
        <w:t xml:space="preserve">引言</w:t>
      </w:r>
    </w:p>
    <w:p>
      <w:pPr>
        <w:pStyle w:val="23"/>
      </w:pPr>
      <w:r>
        <w:rPr>
          <w:rFonts w:hint="eastAsia"/>
        </w:rPr>
        <w:t xml:space="preserve">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w:t>
      </w:r>
      <w:r>
        <w:t xml:space="preserve">(Pan et al. 2018)</w:t>
      </w:r>
      <w:r>
        <w:rPr>
          <w:rFonts w:hint="eastAsia"/>
        </w:rPr>
        <w:t xml:space="preserve">。因此，CT</w:t>
      </w:r>
      <w:r>
        <w:t xml:space="preserve"> </w:t>
      </w:r>
      <w:r>
        <w:rPr>
          <w:rFonts w:hint="eastAsia"/>
        </w:rPr>
        <w:t xml:space="preserve">调度并非一般并行机排序问题，而是典型的设备级制造系统协同优化问题。</w:t>
      </w:r>
    </w:p>
    <w:p>
      <w:pPr>
        <w:pStyle w:val="3"/>
      </w:pPr>
      <w:r>
        <w:rPr>
          <w:rFonts w:hint="eastAsia"/>
        </w:rPr>
        <w:t xml:space="preserve">半导体制造过程中，最重要的三个环节是光刻、刻蚀和沉积，在薄膜沉积环节，能够支持先进制程的</w:t>
      </w:r>
      <w:r>
        <w:t xml:space="preserve"> PECVD </w:t>
      </w:r>
      <w:r>
        <w:rPr>
          <w:rFonts w:hint="eastAsia"/>
        </w:rPr>
        <w:t xml:space="preserve">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w:t>
      </w:r>
      <w:r>
        <w:t xml:space="preserve">(Gu et al. 2024)</w:t>
      </w:r>
      <w:r>
        <w:t xml:space="preserve">。</w:t>
      </w:r>
    </w:p>
    <w:p>
      <w:pPr>
        <w:pStyle w:val="3"/>
      </w:pPr>
      <w:r>
        <w:rPr>
          <w:rFonts w:hint="eastAsia"/>
        </w:rPr>
        <w:t xml:space="preserve">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w:t>
      </w:r>
      <m:oMath>
        <m:r>
          <m:t>4</m:t>
        </m:r>
        <m:r>
          <m:rPr>
            <m:sty m:val="p"/>
          </m:rPr>
          <m:t>×</m:t>
        </m:r>
        <m:r>
          <m:t>1</m:t>
        </m:r>
      </m:oMath>
      <w:r>
        <w:rPr>
          <w:rFonts w:hint="eastAsia"/>
        </w:rPr>
        <w:t xml:space="preserve">模式使四个工位并行完成一道工序，</w:t>
      </w:r>
      <m:oMath>
        <m:r>
          <m:t>2</m:t>
        </m:r>
        <m:r>
          <m:rPr>
            <m:sty m:val="p"/>
          </m:rPr>
          <m:t>×</m:t>
        </m:r>
        <m:r>
          <m:t>2</m:t>
        </m:r>
      </m:oMath>
      <w:r>
        <w:rPr>
          <w:rFonts w:hint="eastAsia"/>
        </w:rPr>
        <w:t xml:space="preserve">模式则使两对晶圆依次完成两道链式工序；完整拓扑如图</w:t>
      </w:r>
      <w:r>
        <w:t xml:space="preserve"> </w:t>
      </w:r>
      <w:hyperlink w:anchor="fig:system-zh-new">
        <w:r>
          <w:rPr>
            <w:rStyle w:val="20"/>
          </w:rPr>
          <w:t xml:space="preserve">1</w:t>
        </w:r>
      </w:hyperlink>
      <w:r>
        <w:rPr>
          <w:rFonts w:hint="eastAsia"/>
        </w:rPr>
        <w:t xml:space="preserve">。因此，若产品配方未预先限定模式，就需要在相同晶圆数与相同时间参数下比较纯</w:t>
      </w:r>
      <m:oMath>
        <m:r>
          <m:t>4</m:t>
        </m:r>
        <m:r>
          <m:rPr>
            <m:sty m:val="p"/>
          </m:rPr>
          <m:t>×</m:t>
        </m:r>
        <m:r>
          <m:t>1</m:t>
        </m:r>
      </m:oMath>
      <w:r>
        <w:rPr>
          <w:rFonts w:hint="eastAsia"/>
        </w:rPr>
        <w:t xml:space="preserve">、纯</w:t>
      </w:r>
      <m:oMath>
        <m:r>
          <m:t>2</m:t>
        </m:r>
        <m:r>
          <m:rPr>
            <m:sty m:val="p"/>
          </m:rPr>
          <m:t>×</m:t>
        </m:r>
        <m:r>
          <m:t>2</m:t>
        </m:r>
      </m:oMath>
      <w:r>
        <w:rPr>
          <w:rFonts w:hint="eastAsia"/>
        </w:rPr>
        <w:t xml:space="preserve">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bookmarkStart w:id="23" w:name="fig:system-zh-new"/>
    <w:p>
      <w:pPr>
        <w:pStyle w:val="36"/>
        <w:keepNext/>
        <w:jc w:val="center"/>
      </w:pPr>
      <w:r>
        <w:drawing>
          <wp:inline>
            <wp:extent cx="4345693" cy="2761549"/>
            <wp:effectExtent b="0" l="0" r="0" t="0"/>
            <wp:docPr descr="" title="" id="21" name="Picture"/>
            <a:graphic>
              <a:graphicData uri="http://schemas.openxmlformats.org/drawingml/2006/picture">
                <pic:pic>
                  <pic:nvPicPr>
                    <pic:cNvPr descr="D:/git/git/RDMCT-A3C/.tmp/jms_cn_docx_build/assets/figure_01.png" id="22" name="Picture"/>
                    <pic:cNvPicPr>
                      <a:picLocks noChangeArrowheads="1" noChangeAspect="1"/>
                    </pic:cNvPicPr>
                  </pic:nvPicPr>
                  <pic:blipFill>
                    <a:blip r:embed="rId20"/>
                    <a:stretch>
                      <a:fillRect/>
                    </a:stretch>
                  </pic:blipFill>
                  <pic:spPr bwMode="auto">
                    <a:xfrm>
                      <a:off x="0" y="0"/>
                      <a:ext cx="4345693" cy="2761549"/>
                    </a:xfrm>
                    <a:prstGeom prst="rect">
                      <a:avLst/>
                    </a:prstGeom>
                    <a:noFill/>
                    <a:ln w="9525">
                      <a:noFill/>
                      <a:headEnd/>
                      <a:tailEnd/>
                    </a:ln>
                  </pic:spPr>
                </pic:pic>
              </a:graphicData>
            </a:graphic>
          </wp:inline>
        </w:drawing>
      </w:r>
    </w:p>
    <w:p>
      <w:pPr>
        <w:pStyle w:val="34"/>
        <w:jc w:val="center"/>
      </w:pPr>
      <w:r>
        <w:t>图 1. </w:t>
      </w:r>
      <w:r>
        <w:rPr>
          <w:rFonts w:hint="eastAsia"/>
        </w:rPr>
        <w:t xml:space="preserve">双源混流组合设备拓扑图</w:t>
      </w:r>
    </w:p>
    <w:bookmarkEnd w:id="23"/>
    <w:p>
      <w:pPr>
        <w:pStyle w:val="3"/>
      </w:pPr>
      <w:r>
        <w:rPr>
          <w:rFonts w:hint="eastAsia"/>
        </w:rPr>
        <w:t xml:space="preserve">现有组合设备研究已经覆盖周期调度、多晶圆类型、驻留限制、清洗和多空间模块</w:t>
      </w:r>
      <w:r>
        <w:t xml:space="preserve"> </w:t>
      </w:r>
      <w:r>
        <w:t xml:space="preserve">(Qiao et al. 2022; Li et al. 2022; J. Wang et al. 2023; Li and Yang 2025; Yang et al. 2025; Gu et al. 2024)</w:t>
      </w:r>
      <w:r>
        <w:rPr>
          <w:rFonts w:hint="eastAsia"/>
        </w:rPr>
        <w:t xml:space="preserve">。但在旋转腔有限批量场景中，</w:t>
      </w:r>
      <w:r>
        <w:t xml:space="preserve"> </w:t>
      </w:r>
      <w:r>
        <w:rPr>
          <w:rFonts w:hint="eastAsia"/>
        </w:rPr>
        <w:t xml:space="preserve">双源物流、混合配方、可复用辅助晶圆与共享搬运仍缺少统一的精确表示。这个缺口直接影响</w:t>
      </w:r>
      <w:r>
        <w:t xml:space="preserve"> </w:t>
      </w:r>
      <w:r>
        <w:rPr>
          <w:rFonts w:hint="eastAsia"/>
        </w:rPr>
        <w:t xml:space="preserve">可执行性：辅助晶圆复用或清洗边界的一个离散变化，会同步重写机械手冲突图和连续时序网络。</w:t>
      </w:r>
    </w:p>
    <w:p>
      <w:pPr>
        <w:pStyle w:val="3"/>
      </w:pPr>
      <w:r>
        <w:rPr>
          <w:rFonts w:hint="eastAsia"/>
        </w:rPr>
        <w:t xml:space="preserve">学习式调度通常直接控制派工或工艺参数</w:t>
      </w:r>
      <w:r>
        <w:t xml:space="preserve"> </w:t>
      </w:r>
      <w:r>
        <w:t xml:space="preserve">(Liu et al. 2022; Zhang et al. 2024; Kim and Lee 2025; Kim and Kim 2025)</w:t>
      </w:r>
      <w:r>
        <w:rPr>
          <w:rFonts w:hint="eastAsia"/>
        </w:rPr>
        <w:t xml:space="preserve">。与本文工程背景接近的</w:t>
      </w:r>
      <w:r>
        <w:t xml:space="preserve">Hong et al. (2026)</w:t>
      </w:r>
      <w:r>
        <w:rPr>
          <w:rFonts w:hint="eastAsia"/>
        </w:rPr>
        <w:t xml:space="preserve">采用DDPG与离散事件</w:t>
      </w:r>
      <w:r>
        <w:t xml:space="preserve"> </w:t>
      </w:r>
      <w:r>
        <w:rPr>
          <w:rFonts w:hint="eastAsia"/>
        </w:rPr>
        <w:t xml:space="preserve">仿真调节PVD组合设备的连续加工时间。本文面对的是另一层决策：加工时间给定，算法需要</w:t>
      </w:r>
      <w:r>
        <w:t xml:space="preserve"> </w:t>
      </w:r>
      <w:r>
        <w:rPr>
          <w:rFonts w:hint="eastAsia"/>
        </w:rPr>
        <w:t xml:space="preserve">交付完整的离散旋转腔排程，同时保留MIP的可行性校验、下界和最优性证明。因此，学习只</w:t>
      </w:r>
      <w:r>
        <w:t xml:space="preserve"> </w:t>
      </w:r>
      <w:r>
        <w:rPr>
          <w:rFonts w:hint="eastAsia"/>
        </w:rPr>
        <w:t xml:space="preserve">用于改善精确求解器的搜索次序，而不替代物理约束模型。</w:t>
      </w:r>
    </w:p>
    <w:p>
      <w:pPr>
        <w:pStyle w:val="3"/>
      </w:pPr>
      <w:r>
        <w:rPr>
          <w:rFonts w:hint="eastAsia"/>
        </w:rPr>
        <w:t xml:space="preserve">基于这一判断，本文把设备结构贯穿</w:t>
      </w:r>
      <w:r>
        <w:rPr>
          <w:rFonts w:hint="eastAsia"/>
        </w:rPr>
        <w:t xml:space="preserve">“建模—初始解—割平面”</w:t>
      </w:r>
      <w:r>
        <w:rPr>
          <w:rFonts w:hint="eastAsia"/>
        </w:rPr>
        <w:t xml:space="preserve">三层。两阶段MILP先确定</w:t>
      </w:r>
      <w:r>
        <w:t xml:space="preserve"> </w:t>
      </w:r>
      <w:r>
        <w:rPr>
          <w:rFonts w:hint="eastAsia"/>
        </w:rPr>
        <w:t xml:space="preserve">端到端吞吐，再在保持离散生产结构与最大完工时间的条件下改善路径等待和腔室节拍；</w:t>
      </w:r>
      <w:r>
        <w:t xml:space="preserve"> </w:t>
      </w:r>
      <w:r>
        <w:rPr>
          <w:rFonts w:hint="eastAsia"/>
        </w:rPr>
        <w:t xml:space="preserve">SPBS从设备拓扑构造可由完整MILP复核的二进制骨架；RDMCT-HBS再利用变量角色、层次</w:t>
      </w:r>
      <w:r>
        <w:t xml:space="preserve"> </w:t>
      </w:r>
      <w:r>
        <w:rPr>
          <w:rFonts w:hint="eastAsia"/>
        </w:rPr>
        <w:t xml:space="preserve">选择和有限宽束搜索改善分支切割的有限时间行为。创新点不在于孤立使用MILP、热启动</w:t>
      </w:r>
      <w:r>
        <w:t xml:space="preserve"> </w:t>
      </w:r>
      <w:r>
        <w:rPr>
          <w:rFonts w:hint="eastAsia"/>
        </w:rPr>
        <w:t xml:space="preserve">或学习割选择，而在于让三者共享同一套旋转腔物理结构。</w:t>
      </w:r>
    </w:p>
    <w:p>
      <w:pPr>
        <w:pStyle w:val="3"/>
      </w:pPr>
      <w:r>
        <w:rPr>
          <w:rFonts w:hint="eastAsia"/>
        </w:rPr>
        <w:t xml:space="preserve">主要贡献如下：</w:t>
      </w:r>
    </w:p>
    <w:p>
      <w:pPr>
        <w:numPr>
          <w:ilvl w:val="0"/>
          <w:numId w:val="1001"/>
        </w:numPr>
      </w:pPr>
      <w:r>
        <w:rPr>
          <w:rFonts w:hint="eastAsia"/>
        </w:rPr>
        <w:t xml:space="preserve">提出面向旋转腔组合设备的可配置源接口有限时域MILP。该模型将外部物料拓扑</w:t>
      </w:r>
      <w:r>
        <w:t xml:space="preserve"> </w:t>
      </w:r>
      <w:r>
        <w:rPr>
          <w:rFonts w:hint="eastAsia"/>
        </w:rPr>
        <w:t xml:space="preserve">与内部</w:t>
      </w:r>
      <w:r>
        <w:rPr>
          <w:rFonts w:hint="eastAsia"/>
        </w:rPr>
        <w:t xml:space="preserve">“配置—资源—时序”</w:t>
      </w:r>
      <w:r>
        <w:rPr>
          <w:rFonts w:hint="eastAsia"/>
        </w:rPr>
        <w:t xml:space="preserve">决策分离，并在规范同模式配对和固定腔室槽位条件下统一</w:t>
      </w:r>
      <w:r>
        <w:t xml:space="preserve"> </w:t>
      </w:r>
      <w:r>
        <w:rPr>
          <w:rFonts w:hint="eastAsia"/>
        </w:rPr>
        <w:t xml:space="preserve">表示旋转事件、机械手、装载锁、清洗epoch、驻留和可复用真空区辅助晶圆；双源混流</w:t>
      </w:r>
      <w:r>
        <w:t xml:space="preserve"> </w:t>
      </w:r>
      <w:r>
        <w:rPr>
          <w:rFonts w:hint="eastAsia"/>
        </w:rPr>
        <w:t xml:space="preserve">构型用于激活最强的物料—资源耦合。</w:t>
      </w:r>
    </w:p>
    <w:p>
      <w:pPr>
        <w:numPr>
          <w:ilvl w:val="0"/>
          <w:numId w:val="1001"/>
        </w:numPr>
      </w:pPr>
      <w:r>
        <w:rPr>
          <w:rFonts w:hint="eastAsia"/>
        </w:rPr>
        <w:t xml:space="preserve">提出吞吐优先、运行质量次级优化的两阶段机制。第二阶段保持第一阶段选定的</w:t>
      </w:r>
      <w:r>
        <w:t xml:space="preserve"> </w:t>
      </w:r>
      <w:r>
        <w:rPr>
          <w:rFonts w:hint="eastAsia"/>
        </w:rPr>
        <w:t xml:space="preserve">离散结构和最大完工时间上界，只重排仍可调整的事件时刻，从而把</w:t>
      </w:r>
      <w:r>
        <w:rPr>
          <w:rFonts w:hint="eastAsia"/>
        </w:rPr>
        <w:t xml:space="preserve">“按时完成”</w:t>
      </w:r>
      <w:r>
        <w:rPr>
          <w:rFonts w:hint="eastAsia"/>
        </w:rPr>
        <w:t xml:space="preserve">和</w:t>
      </w:r>
      <w:r>
        <w:rPr>
          <w:rFonts w:hint="eastAsia"/>
        </w:rPr>
        <w:t xml:space="preserve">“平稳、</w:t>
      </w:r>
      <w:r>
        <w:t xml:space="preserve"> </w:t>
      </w:r>
      <w:r>
        <w:rPr>
          <w:rFonts w:hint="eastAsia"/>
        </w:rPr>
        <w:t xml:space="preserve">少等待地完成”</w:t>
      </w:r>
      <w:r>
        <w:rPr>
          <w:rFonts w:hint="eastAsia"/>
        </w:rPr>
        <w:t xml:space="preserve">纳入同一可验证排程。</w:t>
      </w:r>
    </w:p>
    <w:p>
      <w:pPr>
        <w:numPr>
          <w:ilvl w:val="0"/>
          <w:numId w:val="1001"/>
        </w:numPr>
      </w:pPr>
      <w:r>
        <w:rPr>
          <w:rFonts w:hint="eastAsia"/>
        </w:rPr>
        <w:t xml:space="preserve">提出互补的结构感知精确求解机制。SPBS改善原始可行解获取，RDMCT-HBS以变量</w:t>
      </w:r>
      <w:r>
        <w:t xml:space="preserve"> </w:t>
      </w:r>
      <w:r>
        <w:rPr>
          <w:rFonts w:hint="eastAsia"/>
        </w:rPr>
        <w:t xml:space="preserve">角色特征、A3C启发并行训练、有限宽束解码和结构化割集补全改善对偶搜索；两者均通过</w:t>
      </w:r>
      <w:r>
        <w:t xml:space="preserve"> </w:t>
      </w:r>
      <w:r>
        <w:rPr>
          <w:rFonts w:hint="eastAsia"/>
        </w:rPr>
        <w:t xml:space="preserve">SCIP标准接口工作，不改变原MILP可行域。</w:t>
      </w:r>
    </w:p>
    <w:p>
      <w:pPr>
        <w:pStyle w:val="23"/>
      </w:pPr>
      <w:r>
        <w:rPr>
          <w:rFonts w:hint="eastAsia"/>
        </w:rPr>
        <w:t xml:space="preserve">实验把每项主张对应到独立证据。四个小实例达到零gap并通过后处理检查；相同600</w:t>
      </w:r>
      <w:r>
        <w:t xml:space="preserve"> s</w:t>
      </w:r>
      <w:r>
        <w:t xml:space="preserve"> </w:t>
      </w:r>
      <w:r>
        <w:rPr>
          <w:rFonts w:hint="eastAsia"/>
        </w:rPr>
        <w:t xml:space="preserve">总预算下，两阶段工作流把路径总等待、最大路径等待、节拍变异系数和节拍偏差分别降低</w:t>
      </w:r>
      <w:r>
        <w:t xml:space="preserve"> </w:t>
      </w:r>
      <w:r>
        <w:rPr>
          <w:rFonts w:hint="eastAsia"/>
        </w:rPr>
        <w:t xml:space="preserve">51.91%、68.89%、39.70%和94.05%；SPBS把incumbent可获得率由51.67%提高到</w:t>
      </w:r>
      <w:r>
        <w:t xml:space="preserve"> </w:t>
      </w:r>
      <w:r>
        <w:rPr>
          <w:rFonts w:hint="eastAsia"/>
        </w:rPr>
        <w:t xml:space="preserve">100%。在共享同一SPBS初始解的七种标称配置中，RDMCT-HBS取得最低的观测平均PDI与</w:t>
      </w:r>
      <w:r>
        <w:t xml:space="preserve"> </w:t>
      </w:r>
      <w:r>
        <w:rPr>
          <w:rFonts w:hint="eastAsia"/>
        </w:rPr>
        <w:t xml:space="preserve">平均求解时间；40–64片晶圆的729次分布偏移运行均返回经求解器校验的可行排程。</w:t>
      </w:r>
      <w:r>
        <w:t xml:space="preserve"> </w:t>
      </w:r>
      <w:r>
        <w:rPr>
          <w:rFonts w:hint="eastAsia"/>
        </w:rPr>
        <w:t xml:space="preserve">这些结果在本文测试的实例和预算范围内共同支持本方法的两项优势：更早交付完整可执行</w:t>
      </w:r>
      <w:r>
        <w:t xml:space="preserve"> </w:t>
      </w:r>
      <w:r>
        <w:rPr>
          <w:rFonts w:hint="eastAsia"/>
        </w:rPr>
        <w:t xml:space="preserve">排程，并在吞吐不退化的前提下改善设备运行质量。</w:t>
      </w:r>
    </w:p>
    <w:bookmarkEnd w:id="24"/>
    <w:bookmarkStart w:id="27" w:name="研究基础与定位"/>
    <w:p>
      <w:pPr>
        <w:pStyle w:val="2"/>
      </w:pPr>
      <w:r>
        <w:rPr>
          <w:rStyle w:val="SectionNumber"/>
        </w:rPr>
        <w:t xml:space="preserve">2</w:t>
      </w:r>
      <w:r>
        <w:tab/>
      </w:r>
      <w:r>
        <w:rPr>
          <w:rFonts w:hint="eastAsia"/>
        </w:rPr>
        <w:t xml:space="preserve">研究基础与定位</w:t>
      </w:r>
    </w:p>
    <w:bookmarkStart w:id="25" w:name="组合设备调度模型"/>
    <w:p>
      <w:pPr>
        <w:pStyle w:val="4"/>
      </w:pPr>
      <w:r>
        <w:rPr>
          <w:rStyle w:val="SectionNumber"/>
        </w:rPr>
        <w:t xml:space="preserve">2.1</w:t>
      </w:r>
      <w:r>
        <w:tab/>
      </w:r>
      <w:r>
        <w:rPr>
          <w:rFonts w:hint="eastAsia"/>
        </w:rPr>
        <w:t xml:space="preserve">组合设备调度模型</w:t>
      </w:r>
    </w:p>
    <w:p>
      <w:pPr>
        <w:pStyle w:val="23"/>
      </w:pPr>
      <w:r>
        <w:rPr>
          <w:rFonts w:hint="eastAsia"/>
        </w:rPr>
        <w:t xml:space="preserve">组合设备模型已由稳态机械手循环扩展到多产品与附加约束。双臂工具的集成模式、</w:t>
      </w:r>
      <w:r>
        <w:t xml:space="preserve"> </w:t>
      </w:r>
      <w:r>
        <w:rPr>
          <w:rFonts w:hint="eastAsia"/>
        </w:rPr>
        <w:t xml:space="preserve">并行腔负载和多晶圆类型得到持续研究</w:t>
      </w:r>
      <w:r>
        <w:t xml:space="preserve"> </w:t>
      </w:r>
      <w:r>
        <w:t xml:space="preserve">(Kim et al. 2021; Ko et al. 2021; Zhu et al. 2022)</w:t>
      </w:r>
      <w:r>
        <w:rPr>
          <w:rFonts w:hint="eastAsia"/>
        </w:rPr>
        <w:t xml:space="preserve">；近期模型进一步联合决定</w:t>
      </w:r>
      <w:r>
        <w:t xml:space="preserve"> </w:t>
      </w:r>
      <w:r>
        <w:rPr>
          <w:rFonts w:hint="eastAsia"/>
        </w:rPr>
        <w:t xml:space="preserve">投放顺序、机械手任务、腔室分配和驻留</w:t>
      </w:r>
      <w:r>
        <w:t xml:space="preserve"> </w:t>
      </w:r>
      <w:r>
        <w:t xml:space="preserve">(Li and Yang 2025; Yang et al. 2025)</w:t>
      </w:r>
      <w:r>
        <w:rPr>
          <w:rFonts w:hint="eastAsia"/>
        </w:rPr>
        <w:t xml:space="preserve">。清洗、吹扫和后处理研究表明，</w:t>
      </w:r>
      <w:r>
        <w:t xml:space="preserve"> </w:t>
      </w:r>
      <w:r>
        <w:rPr>
          <w:rFonts w:hint="eastAsia"/>
        </w:rPr>
        <w:t xml:space="preserve">仅满足腔室容量并不能保证时序可行</w:t>
      </w:r>
      <w:r>
        <w:t xml:space="preserve"> </w:t>
      </w:r>
      <w:r>
        <w:t xml:space="preserve">(Qiao et al. 2022; Lee et al. 2023; Yuan et al. 2023; Zhu et al. 2023; Pan et al. 2024)</w:t>
      </w:r>
      <w:r>
        <w:t xml:space="preserve">。</w:t>
      </w:r>
    </w:p>
    <w:p>
      <w:pPr>
        <w:pStyle w:val="3"/>
      </w:pPr>
      <w:r>
        <w:rPr>
          <w:rFonts w:hint="eastAsia"/>
        </w:rPr>
        <w:t xml:space="preserve">旋转和多空间模块还引入侧面相关的装卸与共享腔室运动。</w:t>
      </w:r>
      <w:r>
        <w:t xml:space="preserve">Gu et al. (2024)</w:t>
      </w:r>
      <w:r>
        <w:t xml:space="preserve"> </w:t>
      </w:r>
      <w:r>
        <w:rPr>
          <w:rFonts w:hint="eastAsia"/>
        </w:rPr>
        <w:t xml:space="preserve">研究多指机械手和多空间加工模块，为本文的腔室结构提供直接参照，但其核心是计算</w:t>
      </w:r>
      <w:r>
        <w:t xml:space="preserve"> </w:t>
      </w:r>
      <w:r>
        <w:rPr>
          <w:rFonts w:hint="eastAsia"/>
        </w:rPr>
        <w:t xml:space="preserve">给定周期序列的时刻。本文在规范同模式配对和固定腔室槽位的明确边界内，以源接口表示单源基础配置与双源</w:t>
      </w:r>
      <w:r>
        <w:t xml:space="preserve"> </w:t>
      </w:r>
      <w:r>
        <w:rPr>
          <w:rFonts w:hint="eastAsia"/>
        </w:rPr>
        <w:t xml:space="preserve">扩展，并把产品–假片路线、混合配方激活、清洗epoch、资源次序与事件时刻统一到</w:t>
      </w:r>
      <w:r>
        <w:t xml:space="preserve"> </w:t>
      </w:r>
      <w:r>
        <w:rPr>
          <w:rFonts w:hint="eastAsia"/>
        </w:rPr>
        <w:t xml:space="preserve">有限批次模型。本文不主张内生产品重组或腔室侧面分配；其扩展在于固定物理布局下对</w:t>
      </w:r>
      <w:r>
        <w:t xml:space="preserve"> </w:t>
      </w:r>
      <w:r>
        <w:rPr>
          <w:rFonts w:hint="eastAsia"/>
        </w:rPr>
        <w:t xml:space="preserve">外部源拓扑和内部旋转腔决策进行统一建模与时序优化。</w:t>
      </w:r>
    </w:p>
    <w:bookmarkEnd w:id="25"/>
    <w:bookmarkStart w:id="26" w:name="学习增强调度与精确优化"/>
    <w:p>
      <w:pPr>
        <w:pStyle w:val="4"/>
      </w:pPr>
      <w:r>
        <w:rPr>
          <w:rStyle w:val="SectionNumber"/>
        </w:rPr>
        <w:t xml:space="preserve">2.2</w:t>
      </w:r>
      <w:r>
        <w:tab/>
      </w:r>
      <w:r>
        <w:rPr>
          <w:rFonts w:hint="eastAsia"/>
        </w:rPr>
        <w:t xml:space="preserve">学习增强调度与精确优化</w:t>
      </w:r>
    </w:p>
    <w:p>
      <w:pPr>
        <w:pStyle w:val="23"/>
      </w:pPr>
      <w:r>
        <w:rPr>
          <w:rFonts w:hint="eastAsia"/>
        </w:rPr>
        <w:t xml:space="preserve">深度强化学习已经与遗传搜索、自适应搜索和领域编码结合用于半导体调度</w:t>
      </w:r>
      <w:r>
        <w:t xml:space="preserve"> </w:t>
      </w:r>
      <w:r>
        <w:t xml:space="preserve">(Chien and Lan 2021; Liu et al. 2022; Zhang et al. 2024; Li and Chang 2022)</w:t>
      </w:r>
      <w:r>
        <w:rPr>
          <w:rFonts w:hint="eastAsia"/>
        </w:rPr>
        <w:t xml:space="preserve">。这些工作共同说明，学习策略只有与问题结构结合时才能</w:t>
      </w:r>
      <w:r>
        <w:t xml:space="preserve"> </w:t>
      </w:r>
      <w:r>
        <w:rPr>
          <w:rFonts w:hint="eastAsia"/>
        </w:rPr>
        <w:t xml:space="preserve">稳定发挥作用。精确优化则提供显式约束、原始与对偶界和可验证可行性；近年来的</w:t>
      </w:r>
      <w:r>
        <w:t xml:space="preserve"> </w:t>
      </w:r>
      <w:r>
        <w:rPr>
          <w:rFonts w:hint="eastAsia"/>
        </w:rPr>
        <w:t xml:space="preserve">学习增强MIP方法在保持这些性质的同时指导分支、原始搜索和割选择</w:t>
      </w:r>
      <w:r>
        <w:t xml:space="preserve"> </w:t>
      </w:r>
      <w:r>
        <w:t xml:space="preserve">(Bengio et al. 2021; Khalil et al. 2022; Scavuzzo et al. 2024)</w:t>
      </w:r>
      <w:r>
        <w:t xml:space="preserve">。</w:t>
      </w:r>
    </w:p>
    <w:p>
      <w:pPr>
        <w:pStyle w:val="3"/>
      </w:pPr>
      <w:r>
        <w:rPr>
          <w:rFonts w:hint="eastAsia"/>
        </w:rPr>
        <w:t xml:space="preserve">割选择尤其适合本文模型，因为不同割即使具有相近通用效率，也可能分别约束腔室</w:t>
      </w:r>
      <w:r>
        <w:t xml:space="preserve"> </w:t>
      </w:r>
      <w:r>
        <w:rPr>
          <w:rFonts w:hint="eastAsia"/>
        </w:rPr>
        <w:t xml:space="preserve">分配、连续时刻或二者耦合。已有研究采用强化学习、监督排序、前瞻模仿和自适应</w:t>
      </w:r>
      <w:r>
        <w:t xml:space="preserve"> </w:t>
      </w:r>
      <w:r>
        <w:rPr>
          <w:rFonts w:hint="eastAsia"/>
        </w:rPr>
        <w:t xml:space="preserve">打分管理割平面</w:t>
      </w:r>
      <w:r>
        <w:t xml:space="preserve">(Tang et al. 2020; Huang et al. 2022; Paulus et al. 2022; Turner et al. 2023)</w:t>
      </w:r>
      <w:r>
        <w:rPr>
          <w:rFonts w:hint="eastAsia"/>
        </w:rPr>
        <w:t xml:space="preserve">。HEM进一步把选择建模为数量与有序子集的</w:t>
      </w:r>
      <w:r>
        <w:t xml:space="preserve"> </w:t>
      </w:r>
      <w:r>
        <w:rPr>
          <w:rFonts w:hint="eastAsia"/>
        </w:rPr>
        <w:t xml:space="preserve">层次决策</w:t>
      </w:r>
      <w:r>
        <w:t xml:space="preserve">(Z. Wang et al. 2023; Wang et al. 2024)</w:t>
      </w:r>
      <w:r>
        <w:rPr>
          <w:rFonts w:hint="eastAsia"/>
        </w:rPr>
        <w:t xml:space="preserve">，但其通用特征不能区分变量的</w:t>
      </w:r>
      <w:r>
        <w:t xml:space="preserve"> </w:t>
      </w:r>
      <w:r>
        <w:rPr>
          <w:rFonts w:hint="eastAsia"/>
        </w:rPr>
        <w:t xml:space="preserve">设备角色，贪心解码也会过早丢弃替代序列。本文的创新正是把源可配置旋转腔MILP的</w:t>
      </w:r>
      <w:r>
        <w:t xml:space="preserve"> </w:t>
      </w:r>
      <w:r>
        <w:rPr>
          <w:rFonts w:hint="eastAsia"/>
        </w:rPr>
        <w:t xml:space="preserve">物理结构引入该层次决策。</w:t>
      </w:r>
    </w:p>
    <w:bookmarkEnd w:id="26"/>
    <w:bookmarkEnd w:id="27"/>
    <w:bookmarkStart w:id="62" w:name="工业问题与两阶段milp"/>
    <w:p>
      <w:pPr>
        <w:pStyle w:val="2"/>
      </w:pPr>
      <w:r>
        <w:rPr>
          <w:rStyle w:val="SectionNumber"/>
        </w:rPr>
        <w:t xml:space="preserve">3</w:t>
      </w:r>
      <w:r>
        <w:tab/>
      </w:r>
      <w:r>
        <w:rPr>
          <w:rFonts w:hint="eastAsia"/>
        </w:rPr>
        <w:t xml:space="preserve">工业问题与两阶段MILP</w:t>
      </w:r>
    </w:p>
    <w:bookmarkStart w:id="36" w:name="系统逻辑与物料接口"/>
    <w:p>
      <w:pPr>
        <w:pStyle w:val="4"/>
      </w:pPr>
      <w:r>
        <w:rPr>
          <w:rStyle w:val="SectionNumber"/>
        </w:rPr>
        <w:t xml:space="preserve">3.1</w:t>
      </w:r>
      <w:r>
        <w:tab/>
      </w:r>
      <w:r>
        <w:rPr>
          <w:rFonts w:hint="eastAsia"/>
        </w:rPr>
        <w:t xml:space="preserve">系统逻辑与物料接口</w:t>
      </w:r>
    </w:p>
    <w:p>
      <w:pPr>
        <w:pStyle w:val="23"/>
      </w:pPr>
      <w:r>
        <w:rPr>
          <w:rFonts w:hint="eastAsia"/>
        </w:rPr>
        <w:t xml:space="preserve">设</w:t>
      </w:r>
      <m:oMath>
        <m:r>
          <m:rPr>
            <m:scr m:val="script"/>
            <m:sty m:val="p"/>
          </m:rPr>
          <m:t>S</m:t>
        </m:r>
      </m:oMath>
      <w:r>
        <w:rPr>
          <w:rFonts w:hint="eastAsia"/>
        </w:rPr>
        <w:t xml:space="preserve">为已配置物料源接口集合，固定参数</w:t>
      </w:r>
      <w:r>
        <w:t xml:space="preserve"> </w:t>
      </w:r>
      <m:oMath>
        <m:sSub>
          <m:e>
            <m:r>
              <m:t>χ</m:t>
            </m:r>
          </m:e>
          <m:sub>
            <m:r>
              <m:t>i</m:t>
            </m:r>
            <m:r>
              <m:t>s</m:t>
            </m:r>
          </m:sub>
        </m:sSub>
        <m:r>
          <m:rPr>
            <m:sty m:val="p"/>
          </m:rPr>
          <m:t>∈</m:t>
        </m:r>
        <m:r>
          <m:rPr>
            <m:sty m:val="p"/>
          </m:rPr>
          <m:t>{</m:t>
        </m:r>
        <m:r>
          <m:t>0</m:t>
        </m:r>
        <m:r>
          <m:rPr>
            <m:sty m:val="p"/>
          </m:rPr>
          <m:t>,</m:t>
        </m:r>
        <m:r>
          <m:t>1</m:t>
        </m:r>
        <m:r>
          <m:rPr>
            <m:sty m:val="p"/>
          </m:rPr>
          <m:t>}</m:t>
        </m:r>
      </m:oMath>
      <w:r>
        <w:rPr>
          <w:rFonts w:hint="eastAsia"/>
        </w:rPr>
        <w:t xml:space="preserve">表示物料单元</w:t>
      </w:r>
      <m:oMath>
        <m:r>
          <m:t>i</m:t>
        </m:r>
      </m:oMath>
      <w:r>
        <w:rPr>
          <w:rFonts w:hint="eastAsia"/>
        </w:rPr>
        <w:t xml:space="preserve">是否与源</w:t>
      </w:r>
      <m:oMath>
        <m:r>
          <m:t>s</m:t>
        </m:r>
      </m:oMath>
      <w:r>
        <w:rPr>
          <w:rFonts w:hint="eastAsia"/>
        </w:rPr>
        <w:t xml:space="preserve">关联，并满足</w:t>
      </w:r>
      <w:r>
        <w:t xml:space="preserve"> </w:t>
      </w:r>
      <m:oMath>
        <m:nary>
          <m:naryPr>
            <m:chr m:val="∑"/>
            <m:limLoc m:val="undOvr"/>
            <m:subHide m:val="off"/>
            <m:supHide m:val="on"/>
          </m:naryPr>
          <m:sub>
            <m:r>
              <m:t>s</m:t>
            </m:r>
            <m:r>
              <m:rPr>
                <m:sty m:val="p"/>
              </m:rPr>
              <m:t>∈</m:t>
            </m:r>
            <m:r>
              <m:rPr>
                <m:scr m:val="script"/>
                <m:sty m:val="p"/>
              </m:rPr>
              <m:t>S</m:t>
            </m:r>
          </m:sub>
          <m:sup>
            <m:r>
              <m:t>​</m:t>
            </m:r>
          </m:sup>
          <m:e>
            <m:sSub>
              <m:e>
                <m:r>
                  <m:t>χ</m:t>
                </m:r>
              </m:e>
              <m:sub>
                <m:r>
                  <m:t>i</m:t>
                </m:r>
                <m:r>
                  <m:t>s</m:t>
                </m:r>
              </m:sub>
            </m:sSub>
          </m:e>
        </m:nary>
        <m:r>
          <m:rPr>
            <m:sty m:val="p"/>
          </m:rPr>
          <m:t>=</m:t>
        </m:r>
        <m:r>
          <m:t>1</m:t>
        </m:r>
      </m:oMath>
      <w:r>
        <w:rPr>
          <w:rFonts w:hint="eastAsia"/>
        </w:rPr>
        <w:t xml:space="preserve">。若</w:t>
      </w:r>
      <m:oMath>
        <m:sSup>
          <m:e>
            <m:r>
              <m:rPr>
                <m:scr m:val="script"/>
                <m:sty m:val="p"/>
              </m:rPr>
              <m:t>A</m:t>
            </m:r>
          </m:e>
          <m:sup>
            <m:r>
              <m:rPr>
                <m:sty m:val="p"/>
              </m:rPr>
              <m:t>i</m:t>
            </m:r>
            <m:r>
              <m:rPr>
                <m:sty m:val="p"/>
              </m:rPr>
              <m:t>n</m:t>
            </m:r>
            <m:r>
              <m:rPr>
                <m:sty m:val="p"/>
              </m:rPr>
              <m:t>t</m:t>
            </m:r>
          </m:sup>
        </m:sSup>
      </m:oMath>
      <w:r>
        <w:rPr>
          <w:rFonts w:hint="eastAsia"/>
        </w:rPr>
        <w:t xml:space="preserve">表示内部工艺与搬运弧，</w:t>
      </w:r>
      <w:r>
        <w:t xml:space="preserve"> </w:t>
      </w:r>
      <m:oMath>
        <m:sSub>
          <m:e>
            <m:r>
              <m:rPr>
                <m:scr m:val="script"/>
                <m:sty m:val="p"/>
              </m:rPr>
              <m:t>A</m:t>
            </m:r>
          </m:e>
          <m:sub>
            <m:r>
              <m:t>s</m:t>
            </m:r>
          </m:sub>
        </m:sSub>
      </m:oMath>
      <w:r>
        <w:rPr>
          <w:rFonts w:hint="eastAsia"/>
        </w:rPr>
        <w:t xml:space="preserve">表示源</w:t>
      </w:r>
      <m:oMath>
        <m:r>
          <m:t>s</m:t>
        </m:r>
      </m:oMath>
      <w:r>
        <w:rPr>
          <w:rFonts w:hint="eastAsia"/>
        </w:rPr>
        <w:t xml:space="preserve">对应的释放/返回弧，则完整路线网络为</w:t>
      </w:r>
      <w:r>
        <w:t xml:space="preserve"> </w:t>
      </w:r>
      <m:oMath>
        <m:r>
          <m:rPr>
            <m:scr m:val="script"/>
            <m:sty m:val="p"/>
          </m:rPr>
          <m:t>A</m:t>
        </m:r>
        <m:r>
          <m:rPr>
            <m:sty m:val="p"/>
          </m:rPr>
          <m:t>=</m:t>
        </m:r>
        <m:sSup>
          <m:e>
            <m:r>
              <m:rPr>
                <m:scr m:val="script"/>
                <m:sty m:val="p"/>
              </m:rPr>
              <m:t>A</m:t>
            </m:r>
          </m:e>
          <m:sup>
            <m:r>
              <m:rPr>
                <m:sty m:val="p"/>
              </m:rPr>
              <m:t>i</m:t>
            </m:r>
            <m:r>
              <m:rPr>
                <m:sty m:val="p"/>
              </m:rPr>
              <m:t>n</m:t>
            </m:r>
            <m:r>
              <m:rPr>
                <m:sty m:val="p"/>
              </m:rPr>
              <m:t>t</m:t>
            </m:r>
          </m:sup>
        </m:sSup>
        <m:r>
          <m:rPr>
            <m:sty m:val="p"/>
          </m:rPr>
          <m:t>∪</m:t>
        </m:r>
        <m:r>
          <m:rPr>
            <m:sty m:val="p"/>
          </m:rPr>
          <m:t>(</m:t>
        </m:r>
        <m:sSub>
          <m:e>
            <m:r>
              <m:rPr>
                <m:sty m:val="p"/>
              </m:rPr>
              <m:t>⋃</m:t>
            </m:r>
          </m:e>
          <m:sub>
            <m:r>
              <m:t>s</m:t>
            </m:r>
            <m:r>
              <m:rPr>
                <m:sty m:val="p"/>
              </m:rPr>
              <m:t>∈</m:t>
            </m:r>
            <m:r>
              <m:rPr>
                <m:scr m:val="script"/>
                <m:sty m:val="p"/>
              </m:rPr>
              <m:t>S</m:t>
            </m:r>
          </m:sub>
        </m:sSub>
        <m:sSub>
          <m:e>
            <m:r>
              <m:rPr>
                <m:scr m:val="script"/>
                <m:sty m:val="p"/>
              </m:rPr>
              <m:t>A</m:t>
            </m:r>
          </m:e>
          <m:sub>
            <m:r>
              <m:t>s</m:t>
            </m:r>
          </m:sub>
        </m:sSub>
        <m:r>
          <m:rPr>
            <m:sty m:val="p"/>
          </m:rPr>
          <m:t>)</m:t>
        </m:r>
      </m:oMath>
      <w:r>
        <w:t xml:space="preserve">。</w:t>
      </w:r>
      <w:r>
        <w:t xml:space="preserve"> </w:t>
      </w:r>
      <w:r>
        <w:rPr>
          <w:rFonts w:hint="eastAsia"/>
        </w:rPr>
        <w:t xml:space="preserve">由单源配置扩展为双源配置时，只改变源关联和接口弧；旋转决策、内部资源冲突和事件</w:t>
      </w:r>
      <w:r>
        <w:t xml:space="preserve"> </w:t>
      </w:r>
      <w:r>
        <w:rPr>
          <w:rFonts w:hint="eastAsia"/>
        </w:rPr>
        <w:t xml:space="preserve">时序仍使用同一组变量族与约束族。正式计算实验采用双源特化，是因为该构型能够充分</w:t>
      </w:r>
      <w:r>
        <w:t xml:space="preserve"> </w:t>
      </w:r>
      <w:r>
        <w:rPr>
          <w:rFonts w:hint="eastAsia"/>
        </w:rPr>
        <w:t xml:space="preserve">激活物料接口与共享资源之间的耦合。</w:t>
      </w:r>
    </w:p>
    <w:p>
      <w:pPr>
        <w:pStyle w:val="3"/>
      </w:pPr>
      <w:r>
        <w:rPr>
          <w:rFonts w:hint="eastAsia"/>
        </w:rPr>
        <w:t xml:space="preserve">图</w:t>
      </w:r>
      <w:r>
        <w:t xml:space="preserve"> </w:t>
      </w:r>
      <w:hyperlink w:anchor="fig:system-zh-new">
        <w:r>
          <w:rPr>
            <w:rStyle w:val="20"/>
          </w:rPr>
          <w:t xml:space="preserve">1</w:t>
        </w:r>
      </w:hyperlink>
      <w:r>
        <w:rPr>
          <w:rFonts w:hint="eastAsia"/>
        </w:rPr>
        <w:t xml:space="preserve">已经给出设备层级的双源接口与共享资源。产品晶圆经过大气域、装载锁、VTR和旋转腔后返回装载端口；辅助晶圆始终位于真空域。两条物流具有不同的释放与返回要求，却共享VTR和腔室，因此任何一条路线的局部等待都可能传播到另一条路线。</w:t>
      </w:r>
      <w:r>
        <w:t xml:space="preserve"> </w:t>
      </w:r>
      <m:oMath>
        <m:r>
          <m:t>4</m:t>
        </m:r>
        <m:r>
          <m:rPr>
            <m:sty m:val="p"/>
          </m:rPr>
          <m:t>×</m:t>
        </m:r>
        <m:r>
          <m:t>1</m:t>
        </m:r>
      </m:oMath>
      <w:r>
        <w:rPr>
          <w:rFonts w:hint="eastAsia"/>
        </w:rPr>
        <w:t xml:space="preserve">模式依次执行前侧装载、旋转、后侧装载、加工和逆序卸载，最后不足的</w:t>
      </w:r>
      <w:r>
        <w:t xml:space="preserve"> </w:t>
      </w:r>
      <w:r>
        <w:rPr>
          <w:rFonts w:hint="eastAsia"/>
        </w:rPr>
        <w:t xml:space="preserve">产品侧由假片补齐。</w:t>
      </w:r>
      <m:oMath>
        <m:r>
          <m:t>2</m:t>
        </m:r>
        <m:r>
          <m:rPr>
            <m:sty m:val="p"/>
          </m:rPr>
          <m:t>×</m:t>
        </m:r>
        <m:r>
          <m:t>2</m:t>
        </m:r>
      </m:oMath>
      <w:r>
        <w:rPr>
          <w:rFonts w:hint="eastAsia"/>
        </w:rPr>
        <w:t xml:space="preserve">模式把产品对连接成曝光链，相邻曝光共享中间产品对，</w:t>
      </w:r>
      <w:r>
        <w:t xml:space="preserve"> </w:t>
      </w:r>
      <w:r>
        <w:rPr>
          <w:rFonts w:hint="eastAsia"/>
        </w:rPr>
        <w:t xml:space="preserve">首尾位置使用假片对。清洗只能在合法曝光边界中断链，并占用一个仅含假片的加工周期。</w:t>
      </w:r>
      <w:r>
        <w:t xml:space="preserve"> </w:t>
      </w:r>
      <w:r>
        <w:rPr>
          <w:rFonts w:hint="eastAsia"/>
        </w:rPr>
        <w:t xml:space="preserve">同一物理假片的两个占用区间不得重叠。</w:t>
      </w:r>
      <w:r>
        <w:t xml:space="preserve"> </w:t>
      </w:r>
      <w:r>
        <w:rPr>
          <w:rFonts w:hint="eastAsia"/>
        </w:rPr>
        <w:t xml:space="preserve">图</w:t>
      </w:r>
      <w:r>
        <w:t xml:space="preserve"> </w:t>
      </w:r>
      <w:hyperlink w:anchor="fig:chain-zh">
        <w:r>
          <w:rPr>
            <w:rStyle w:val="20"/>
          </w:rPr>
          <w:t xml:space="preserve">2</w:t>
        </w:r>
      </w:hyperlink>
      <w:r>
        <w:rPr>
          <w:rFonts w:hint="eastAsia"/>
        </w:rPr>
        <w:t xml:space="preserve">与图</w:t>
      </w:r>
      <w:r>
        <w:t xml:space="preserve"> </w:t>
      </w:r>
      <w:hyperlink w:anchor="fig:parallel-zh">
        <w:r>
          <w:rPr>
            <w:rStyle w:val="20"/>
          </w:rPr>
          <w:t xml:space="preserve">3</w:t>
        </w:r>
      </w:hyperlink>
      <w:r>
        <w:rPr>
          <w:rFonts w:hint="eastAsia"/>
        </w:rPr>
        <w:t xml:space="preserve">将两类配方画成事件序列。图中的同色圆片表示同一产品对，D表示辅助晶圆；箭头只保留决定资源冲突和驻留时间的关键动作。</w:t>
      </w:r>
    </w:p>
    <w:bookmarkStart w:id="31" w:name="fig:chain-zh"/>
    <w:p>
      <w:pPr>
        <w:pStyle w:val="36"/>
        <w:keepNext/>
        <w:jc w:val="center"/>
      </w:pPr>
      <w:r>
        <w:drawing>
          <wp:inline>
            <wp:extent cx="3544446" cy="2363983"/>
            <wp:effectExtent b="0" l="0" r="0" t="0"/>
            <wp:docPr descr="" title="" id="29" name="Picture"/>
            <a:graphic>
              <a:graphicData uri="http://schemas.openxmlformats.org/drawingml/2006/picture">
                <pic:pic>
                  <pic:nvPicPr>
                    <pic:cNvPr descr="D:/git/git/RDMCT-A3C/.tmp/jms_cn_docx_build/assets/figure_02.png" id="30" name="Picture"/>
                    <pic:cNvPicPr>
                      <a:picLocks noChangeArrowheads="1" noChangeAspect="1"/>
                    </pic:cNvPicPr>
                  </pic:nvPicPr>
                  <pic:blipFill>
                    <a:blip r:embed="rId28"/>
                    <a:stretch>
                      <a:fillRect/>
                    </a:stretch>
                  </pic:blipFill>
                  <pic:spPr bwMode="auto">
                    <a:xfrm>
                      <a:off x="0" y="0"/>
                      <a:ext cx="3544446" cy="2363983"/>
                    </a:xfrm>
                    <a:prstGeom prst="rect">
                      <a:avLst/>
                    </a:prstGeom>
                    <a:noFill/>
                    <a:ln w="9525">
                      <a:noFill/>
                      <a:headEnd/>
                      <a:tailEnd/>
                    </a:ln>
                  </pic:spPr>
                </pic:pic>
              </a:graphicData>
            </a:graphic>
          </wp:inline>
        </w:drawing>
      </w:r>
    </w:p>
    <w:p>
      <w:pPr>
        <w:pStyle w:val="34"/>
        <w:jc w:val="center"/>
      </w:pPr>
      <m:oMath>
        <m:r>
          <m:t>2</m:t>
        </m:r>
        <m:r>
          <m:rPr>
            <m:sty m:val="p"/>
          </m:rPr>
          <m:t>×</m:t>
        </m:r>
        <m:r>
          <m:t>2</m:t>
        </m:r>
      </m:oMath>
      <w:r>
        <w:t>图 2. </w:t>
      </w:r>
      <w:r>
        <w:rPr>
          <w:rFonts w:hint="eastAsia"/>
        </w:rPr>
        <w:t xml:space="preserve">链式加工示意图。辅助晶圆补齐链首，产品对在相邻加工窗口间依次承接；最后以P3与辅助晶圆D完成链尾加工，随后将产品晶圆与辅助晶圆全部取出，使腔室回到空闲状态。加粗灰色边框标出实际加工窗口。</w:t>
      </w:r>
    </w:p>
    <w:bookmarkEnd w:id="31"/>
    <w:bookmarkStart w:id="35" w:name="fig:parallel-zh"/>
    <w:p>
      <w:pPr>
        <w:pStyle w:val="36"/>
        <w:keepNext/>
        <w:jc w:val="center"/>
      </w:pPr>
      <w:r>
        <w:drawing>
          <wp:inline>
            <wp:extent cx="4483312" cy="1706472"/>
            <wp:effectExtent b="0" l="0" r="0" t="0"/>
            <wp:docPr descr="" title="" id="33" name="Picture"/>
            <a:graphic>
              <a:graphicData uri="http://schemas.openxmlformats.org/drawingml/2006/picture">
                <pic:pic>
                  <pic:nvPicPr>
                    <pic:cNvPr descr="D:/git/git/RDMCT-A3C/.tmp/jms_cn_docx_build/assets/figure_03.png" id="34" name="Picture"/>
                    <pic:cNvPicPr>
                      <a:picLocks noChangeArrowheads="1" noChangeAspect="1"/>
                    </pic:cNvPicPr>
                  </pic:nvPicPr>
                  <pic:blipFill>
                    <a:blip r:embed="rId32"/>
                    <a:stretch>
                      <a:fillRect/>
                    </a:stretch>
                  </pic:blipFill>
                  <pic:spPr bwMode="auto">
                    <a:xfrm>
                      <a:off x="0" y="0"/>
                      <a:ext cx="4483312" cy="1706472"/>
                    </a:xfrm>
                    <a:prstGeom prst="rect">
                      <a:avLst/>
                    </a:prstGeom>
                    <a:noFill/>
                    <a:ln w="9525">
                      <a:noFill/>
                      <a:headEnd/>
                      <a:tailEnd/>
                    </a:ln>
                  </pic:spPr>
                </pic:pic>
              </a:graphicData>
            </a:graphic>
          </wp:inline>
        </w:drawing>
      </w:r>
    </w:p>
    <w:p>
      <w:pPr>
        <w:pStyle w:val="34"/>
        <w:jc w:val="center"/>
      </w:pPr>
      <m:oMath>
        <m:r>
          <m:t>4</m:t>
        </m:r>
        <m:r>
          <m:rPr>
            <m:sty m:val="p"/>
          </m:rPr>
          <m:t>×</m:t>
        </m:r>
        <m:r>
          <m:t>1</m:t>
        </m:r>
      </m:oMath>
      <w:r>
        <w:t>图 3. </w:t>
      </w:r>
      <w:r>
        <w:rPr>
          <w:rFonts w:hint="eastAsia"/>
        </w:rPr>
        <w:t xml:space="preserve">并行加工示意图。两个两片批次依次占据腔室两侧，四空间满片后并行加工，再按后入先出的物理顺序卸载。</w:t>
      </w:r>
    </w:p>
    <w:bookmarkEnd w:id="35"/>
    <w:p>
      <w:pPr>
        <w:pStyle w:val="3"/>
      </w:pPr>
      <w:r>
        <w:rPr>
          <w:rFonts w:hint="eastAsia"/>
        </w:rPr>
        <w:t xml:space="preserve">由此形成三个相互作用的表示层：布局–激活层记录规范产品对、固定腔室槽位、清洗</w:t>
      </w:r>
      <w:r>
        <w:t xml:space="preserve"> </w:t>
      </w:r>
      <w:r>
        <w:rPr>
          <w:rFonts w:hint="eastAsia"/>
        </w:rPr>
        <w:t xml:space="preserve">epoch和物理假片使用；资源层表示配置允许的机械手、装载锁选择及冲突动作次序；</w:t>
      </w:r>
      <w:r>
        <w:t xml:space="preserve"> </w:t>
      </w:r>
      <w:r>
        <w:rPr>
          <w:rFonts w:hint="eastAsia"/>
        </w:rPr>
        <w:t xml:space="preserve">时刻层决定事件时刻并满足驻留限制。活动路线与假片身份会改变资源冲突和时序网络，</w:t>
      </w:r>
      <w:r>
        <w:t xml:space="preserve"> </w:t>
      </w:r>
      <w:r>
        <w:rPr>
          <w:rFonts w:hint="eastAsia"/>
        </w:rPr>
        <w:t xml:space="preserve">因而后两层不能在忽略给定布局–激活一致性的情况下独立求解。</w:t>
      </w:r>
    </w:p>
    <w:bookmarkEnd w:id="36"/>
    <w:bookmarkStart w:id="47" w:name="决策结构和主要约束族"/>
    <w:p>
      <w:pPr>
        <w:pStyle w:val="4"/>
      </w:pPr>
      <w:r>
        <w:rPr>
          <w:rStyle w:val="SectionNumber"/>
        </w:rPr>
        <w:t xml:space="preserve">3.2</w:t>
      </w:r>
      <w:r>
        <w:tab/>
      </w:r>
      <w:r>
        <w:rPr>
          <w:rFonts w:hint="eastAsia"/>
        </w:rPr>
        <w:t xml:space="preserve">决策结构和主要约束族</w:t>
      </w:r>
    </w:p>
    <w:p>
      <w:pPr>
        <w:pStyle w:val="23"/>
      </w:pPr>
      <w:r>
        <w:rPr>
          <w:rFonts w:hint="eastAsia"/>
        </w:rPr>
        <w:t xml:space="preserve">设</w:t>
      </w:r>
      <m:oMath>
        <m:r>
          <m:rPr>
            <m:scr m:val="script"/>
            <m:sty m:val="p"/>
          </m:rPr>
          <m:t>W</m:t>
        </m:r>
      </m:oMath>
      <w:r>
        <w:rPr>
          <w:rFonts w:hint="eastAsia"/>
        </w:rPr>
        <w:t xml:space="preserve">为产品晶圆，</w:t>
      </w:r>
      <m:oMath>
        <m:r>
          <m:rPr>
            <m:scr m:val="script"/>
            <m:sty m:val="p"/>
          </m:rPr>
          <m:t>P</m:t>
        </m:r>
      </m:oMath>
      <w:r>
        <w:rPr>
          <w:rFonts w:hint="eastAsia"/>
        </w:rPr>
        <w:t xml:space="preserve">为按工艺模式和晶圆编号形成的规范产品对，</w:t>
      </w:r>
      <w:r>
        <w:t xml:space="preserve"> </w:t>
      </w:r>
      <m:oMath>
        <m:r>
          <m:rPr>
            <m:scr m:val="script"/>
            <m:sty m:val="p"/>
          </m:rPr>
          <m:t>C</m:t>
        </m:r>
      </m:oMath>
      <w:r>
        <w:rPr>
          <w:rFonts w:hint="eastAsia"/>
        </w:rPr>
        <w:t xml:space="preserve">为旋转腔室，</w:t>
      </w:r>
      <w:r>
        <w:t xml:space="preserve"> </w:t>
      </w:r>
      <m:oMath>
        <m:r>
          <m:rPr>
            <m:scr m:val="script"/>
            <m:sty m:val="p"/>
          </m:rPr>
          <m:t>K</m:t>
        </m:r>
      </m:oMath>
      <w:r>
        <w:rPr>
          <w:rFonts w:hint="eastAsia"/>
        </w:rPr>
        <w:t xml:space="preserve">为候选配方位置，</w:t>
      </w:r>
      <m:oMath>
        <m:r>
          <m:rPr>
            <m:scr m:val="script"/>
            <m:sty m:val="p"/>
          </m:rPr>
          <m:t>O</m:t>
        </m:r>
      </m:oMath>
      <w:r>
        <w:rPr>
          <w:rFonts w:hint="eastAsia"/>
        </w:rPr>
        <w:t xml:space="preserve">为操作集合，</w:t>
      </w:r>
      <m:oMath>
        <m:r>
          <m:rPr>
            <m:scr m:val="script"/>
            <m:sty m:val="p"/>
          </m:rPr>
          <m:t>R</m:t>
        </m:r>
      </m:oMath>
      <w:r>
        <w:rPr>
          <w:rFonts w:hint="eastAsia"/>
        </w:rPr>
        <w:t xml:space="preserve">为单位容量资源。</w:t>
      </w:r>
      <w:r>
        <w:t xml:space="preserve"> </w:t>
      </w:r>
      <m:oMath>
        <m:r>
          <m:rPr>
            <m:scr m:val="script"/>
            <m:sty m:val="p"/>
          </m:rPr>
          <m:t>K</m:t>
        </m:r>
        <m:r>
          <m:rPr>
            <m:sty m:val="p"/>
          </m:rPr>
          <m:t>(</m:t>
        </m:r>
        <m:r>
          <m:t>p</m:t>
        </m:r>
        <m:r>
          <m:rPr>
            <m:sty m:val="p"/>
          </m:rPr>
          <m:t>)</m:t>
        </m:r>
      </m:oMath>
      <w:r>
        <w:rPr>
          <w:rFonts w:hint="eastAsia"/>
        </w:rPr>
        <w:t xml:space="preserve">表示产品组</w:t>
      </w:r>
      <m:oMath>
        <m:r>
          <m:t>p</m:t>
        </m:r>
      </m:oMath>
      <w:r>
        <w:rPr>
          <w:rFonts w:hint="eastAsia"/>
        </w:rPr>
        <w:t xml:space="preserve">可用的位置，</w:t>
      </w:r>
      <m:oMath>
        <m:r>
          <m:rPr>
            <m:scr m:val="script"/>
            <m:sty m:val="p"/>
          </m:rPr>
          <m:t>A</m:t>
        </m:r>
      </m:oMath>
      <w:r>
        <w:rPr>
          <w:rFonts w:hint="eastAsia"/>
        </w:rPr>
        <w:t xml:space="preserve">为工艺前驱弧，</w:t>
      </w:r>
      <m:oMath>
        <m:sSub>
          <m:e>
            <m:r>
              <m:rPr>
                <m:scr m:val="script"/>
                <m:sty m:val="p"/>
              </m:rPr>
              <m:t>O</m:t>
            </m:r>
          </m:e>
          <m:sub>
            <m:r>
              <m:t>r</m:t>
            </m:r>
          </m:sub>
        </m:sSub>
      </m:oMath>
      <w:r>
        <w:t xml:space="preserve"> </w:t>
      </w:r>
      <w:r>
        <w:rPr>
          <w:rFonts w:hint="eastAsia"/>
        </w:rPr>
        <w:t xml:space="preserve">为可能使用资源</w:t>
      </w:r>
      <m:oMath>
        <m:r>
          <m:t>r</m:t>
        </m:r>
      </m:oMath>
      <w:r>
        <w:rPr>
          <w:rFonts w:hint="eastAsia"/>
        </w:rPr>
        <w:t xml:space="preserve">的操作。对腔室</w:t>
      </w:r>
      <m:oMath>
        <m:r>
          <m:t>c</m:t>
        </m:r>
      </m:oMath>
      <w:r>
        <w:rPr>
          <w:rFonts w:hint="eastAsia"/>
        </w:rPr>
        <w:t xml:space="preserve">，</w:t>
      </w:r>
      <m:oMath>
        <m:sSub>
          <m:e>
            <m:r>
              <m:rPr>
                <m:scr m:val="script"/>
                <m:sty m:val="p"/>
              </m:rPr>
              <m:t>V</m:t>
            </m:r>
          </m:e>
          <m:sub>
            <m:r>
              <m:t>c</m:t>
            </m:r>
          </m:sub>
        </m:sSub>
        <m:r>
          <m:rPr>
            <m:sty m:val="p"/>
          </m:rPr>
          <m:t>=</m:t>
        </m:r>
        <m:r>
          <m:rPr>
            <m:sty m:val="p"/>
          </m:rPr>
          <m:t>(</m:t>
        </m:r>
        <m:sSub>
          <m:e>
            <m:r>
              <m:t>v</m:t>
            </m:r>
          </m:e>
          <m:sub>
            <m:r>
              <m:t>c</m:t>
            </m:r>
            <m:r>
              <m:t>1</m:t>
            </m:r>
          </m:sub>
        </m:sSub>
        <m:r>
          <m:rPr>
            <m:sty m:val="p"/>
          </m:rPr>
          <m:t>,</m:t>
        </m:r>
        <m:r>
          <m:rPr>
            <m:sty m:val="p"/>
          </m:rPr>
          <m:t>…</m:t>
        </m:r>
        <m:r>
          <m:rPr>
            <m:sty m:val="p"/>
          </m:rPr>
          <m:t>,</m:t>
        </m:r>
        <m:sSub>
          <m:e>
            <m:r>
              <m:t>v</m:t>
            </m:r>
          </m:e>
          <m:sub>
            <m:r>
              <m:t>c</m:t>
            </m:r>
            <m:sSub>
              <m:e>
                <m:r>
                  <m:t>n</m:t>
                </m:r>
              </m:e>
              <m:sub>
                <m:r>
                  <m:t>c</m:t>
                </m:r>
              </m:sub>
            </m:sSub>
          </m:sub>
        </m:sSub>
        <m:r>
          <m:rPr>
            <m:sty m:val="p"/>
          </m:rPr>
          <m:t>)</m:t>
        </m:r>
      </m:oMath>
      <w:r>
        <w:rPr>
          <w:rFonts w:hint="eastAsia"/>
        </w:rPr>
        <w:t xml:space="preserve">和</w:t>
      </w:r>
      <w:r>
        <w:t xml:space="preserve"> </w:t>
      </w:r>
      <m:oMath>
        <m:sSub>
          <m:e>
            <m:r>
              <m:rPr>
                <m:scr m:val="script"/>
                <m:sty m:val="p"/>
              </m:rPr>
              <m:t>E</m:t>
            </m:r>
          </m:e>
          <m:sub>
            <m:r>
              <m:t>c</m:t>
            </m:r>
          </m:sub>
        </m:sSub>
        <m:r>
          <m:rPr>
            <m:sty m:val="p"/>
          </m:rPr>
          <m:t>=</m:t>
        </m:r>
        <m:r>
          <m:rPr>
            <m:sty m:val="p"/>
          </m:rPr>
          <m:t>{</m:t>
        </m:r>
        <m:r>
          <m:t>1</m:t>
        </m:r>
        <m:r>
          <m:rPr>
            <m:sty m:val="p"/>
          </m:rPr>
          <m:t>,</m:t>
        </m:r>
        <m:r>
          <m:rPr>
            <m:sty m:val="p"/>
          </m:rPr>
          <m:t>…</m:t>
        </m:r>
        <m:r>
          <m:rPr>
            <m:sty m:val="p"/>
          </m:rPr>
          <m:t>,</m:t>
        </m:r>
        <m:sSub>
          <m:e>
            <m:r>
              <m:t>E</m:t>
            </m:r>
          </m:e>
          <m:sub>
            <m:r>
              <m:t>c</m:t>
            </m:r>
          </m:sub>
        </m:sSub>
        <m:r>
          <m:rPr>
            <m:sty m:val="p"/>
          </m:rPr>
          <m:t>}</m:t>
        </m:r>
      </m:oMath>
      <w:r>
        <w:rPr>
          <w:rFonts w:hint="eastAsia"/>
        </w:rPr>
        <w:t xml:space="preserve">分别为有序候选加工周期和潜在清洗epoch，</w:t>
      </w:r>
      <w:r>
        <w:t xml:space="preserve"> </w:t>
      </w:r>
      <m:oMath>
        <m:sSubSup>
          <m:e>
            <m:r>
              <m:rPr>
                <m:scr m:val="script"/>
                <m:sty m:val="p"/>
              </m:rPr>
              <m:t>J</m:t>
            </m:r>
          </m:e>
          <m:sub>
            <m:r>
              <m:t>c</m:t>
            </m:r>
          </m:sub>
          <m:sup>
            <m:r>
              <m:rPr>
                <m:sty m:val="p"/>
              </m:rPr>
              <m:t>D</m:t>
            </m:r>
            <m:r>
              <m:rPr>
                <m:sty m:val="p"/>
              </m:rPr>
              <m:t>W</m:t>
            </m:r>
          </m:sup>
        </m:sSubSup>
      </m:oMath>
      <w:r>
        <w:rPr>
          <w:rFonts w:hint="eastAsia"/>
        </w:rPr>
        <w:t xml:space="preserve">是假片需求集合，</w:t>
      </w:r>
      <m:oMath>
        <m:sSub>
          <m:e>
            <m:r>
              <m:rPr>
                <m:scr m:val="script"/>
                <m:sty m:val="p"/>
              </m:rPr>
              <m:t>T</m:t>
            </m:r>
          </m:e>
          <m:sub>
            <m:r>
              <m:t>c</m:t>
            </m:r>
          </m:sub>
        </m:sSub>
      </m:oMath>
      <w:r>
        <w:rPr>
          <w:rFonts w:hint="eastAsia"/>
        </w:rPr>
        <w:t xml:space="preserve">为物理假片库存。</w:t>
      </w:r>
      <w:r>
        <w:t xml:space="preserve"> </w:t>
      </w:r>
      <m:oMath>
        <m:sSub>
          <m:e>
            <m:acc>
              <m:accPr>
                <m:chr m:val="‾"/>
              </m:accPr>
              <m:e>
                <m:r>
                  <m:t>x</m:t>
                </m:r>
              </m:e>
            </m:acc>
          </m:e>
          <m:sub>
            <m:r>
              <m:t>p</m:t>
            </m:r>
            <m:r>
              <m:t>k</m:t>
            </m:r>
          </m:sub>
        </m:sSub>
        <m:r>
          <m:rPr>
            <m:sty m:val="p"/>
          </m:rPr>
          <m:t>∈</m:t>
        </m:r>
        <m:r>
          <m:rPr>
            <m:sty m:val="p"/>
          </m:rPr>
          <m:t>{</m:t>
        </m:r>
        <m:r>
          <m:t>0</m:t>
        </m:r>
        <m:r>
          <m:rPr>
            <m:sty m:val="p"/>
          </m:rPr>
          <m:t>,</m:t>
        </m:r>
        <m:r>
          <m:t>1</m:t>
        </m:r>
        <m:r>
          <m:rPr>
            <m:sty m:val="p"/>
          </m:rPr>
          <m:t>}</m:t>
        </m:r>
      </m:oMath>
      <w:r>
        <w:rPr>
          <w:rFonts w:hint="eastAsia"/>
        </w:rPr>
        <w:t xml:space="preserve">给出产品对到规范腔室槽位的</w:t>
      </w:r>
      <w:r>
        <w:t xml:space="preserve"> </w:t>
      </w:r>
      <w:r>
        <w:rPr>
          <w:rFonts w:hint="eastAsia"/>
        </w:rPr>
        <w:t xml:space="preserve">固定映射，</w:t>
      </w:r>
      <m:oMath>
        <m:r>
          <m:t>x</m:t>
        </m:r>
      </m:oMath>
      <w:r>
        <w:rPr>
          <w:rFonts w:hint="eastAsia"/>
        </w:rPr>
        <w:t xml:space="preserve">保留为模型内可审计的分配指示量；</w:t>
      </w:r>
      <m:oMath>
        <m:r>
          <m:t>u</m:t>
        </m:r>
      </m:oMath>
      <w:r>
        <w:rPr>
          <w:rFonts w:hint="eastAsia"/>
        </w:rPr>
        <w:t xml:space="preserve">和</w:t>
      </w:r>
      <m:oMath>
        <m:r>
          <m:t>b</m:t>
        </m:r>
      </m:oMath>
      <w:r>
        <w:rPr>
          <w:rFonts w:hint="eastAsia"/>
        </w:rPr>
        <w:t xml:space="preserve">启用位置与操作，</w:t>
      </w:r>
      <w:r>
        <w:t xml:space="preserve"> </w:t>
      </w:r>
      <m:oMath>
        <m:r>
          <m:t>a</m:t>
        </m:r>
      </m:oMath>
      <w:r>
        <w:rPr>
          <w:rFonts w:hint="eastAsia"/>
        </w:rPr>
        <w:t xml:space="preserve">分配清洗epoch，</w:t>
      </w:r>
      <m:oMath>
        <m:r>
          <m:t>g</m:t>
        </m:r>
      </m:oMath>
      <w:r>
        <w:rPr>
          <w:rFonts w:hint="eastAsia"/>
        </w:rPr>
        <w:t xml:space="preserve">把假片需求分配给物理假片，</w:t>
      </w:r>
      <m:oMath>
        <m:r>
          <m:t>y</m:t>
        </m:r>
      </m:oMath>
      <w:r>
        <w:rPr>
          <w:rFonts w:hint="eastAsia"/>
        </w:rPr>
        <w:t xml:space="preserve">决定共享资源操作次序；</w:t>
      </w:r>
      <w:r>
        <w:t xml:space="preserve"> </w:t>
      </w:r>
      <m:oMath>
        <m:sSub>
          <m:e>
            <m:r>
              <m:t>s</m:t>
            </m:r>
          </m:e>
          <m:sub>
            <m:r>
              <m:t>o</m:t>
            </m:r>
          </m:sub>
        </m:sSub>
      </m:oMath>
      <w:r>
        <w:rPr>
          <w:rFonts w:hint="eastAsia"/>
        </w:rPr>
        <w:t xml:space="preserve">和</w:t>
      </w:r>
      <m:oMath>
        <m:sSub>
          <m:e>
            <m:r>
              <m:t>e</m:t>
            </m:r>
          </m:e>
          <m:sub>
            <m:r>
              <m:t>o</m:t>
            </m:r>
          </m:sub>
        </m:sSub>
      </m:oMath>
      <w:r>
        <w:rPr>
          <w:rFonts w:hint="eastAsia"/>
        </w:rPr>
        <w:t xml:space="preserve">为操作开始与完成时刻，</w:t>
      </w:r>
      <m:oMath>
        <m:sSub>
          <m:e>
            <m:r>
              <m:t>δ</m:t>
            </m:r>
          </m:e>
          <m:sub>
            <m:r>
              <m:t>o</m:t>
            </m:r>
            <m:sSup>
              <m:e>
                <m:r>
                  <m:t>o</m:t>
                </m:r>
              </m:e>
              <m:sup>
                <m:r>
                  <m:rPr>
                    <m:sty m:val="p"/>
                  </m:rPr>
                  <m:t>′</m:t>
                </m:r>
              </m:sup>
            </m:sSup>
          </m:sub>
        </m:sSub>
      </m:oMath>
      <w:r>
        <w:rPr>
          <w:rFonts w:hint="eastAsia"/>
        </w:rPr>
        <w:t xml:space="preserve">和</w:t>
      </w:r>
      <m:oMath>
        <m:sSubSup>
          <m:e>
            <m:r>
              <m:t>ρ</m:t>
            </m:r>
          </m:e>
          <m:sub>
            <m:r>
              <m:t>o</m:t>
            </m:r>
            <m:sSup>
              <m:e>
                <m:r>
                  <m:t>o</m:t>
                </m:r>
              </m:e>
              <m:sup>
                <m:r>
                  <m:rPr>
                    <m:sty m:val="p"/>
                  </m:rPr>
                  <m:t>′</m:t>
                </m:r>
              </m:sup>
            </m:sSup>
          </m:sub>
          <m:sup>
            <m:r>
              <m:t>r</m:t>
            </m:r>
          </m:sup>
        </m:sSubSup>
      </m:oMath>
      <w:r>
        <w:t xml:space="preserve"> </w:t>
      </w:r>
      <w:r>
        <w:rPr>
          <w:rFonts w:hint="eastAsia"/>
        </w:rPr>
        <w:t xml:space="preserve">分别表示工艺间隔和端点相关回位间隔，</w:t>
      </w:r>
      <m:oMath>
        <m:r>
          <m:t>M</m:t>
        </m:r>
      </m:oMath>
      <w:r>
        <w:rPr>
          <w:rFonts w:hint="eastAsia"/>
        </w:rPr>
        <w:t xml:space="preserve">是由排程时域确定的有效上界。为便于阅读，</w:t>
      </w:r>
      <w:r>
        <w:t xml:space="preserve"> </w:t>
      </w:r>
      <w:r>
        <w:rPr>
          <w:rFonts w:hint="eastAsia"/>
        </w:rPr>
        <w:t xml:space="preserve">以下关系概括主要约束族，而未逐行展开生成LP中的全部事件专用路线与旋转等式：</w:t>
      </w:r>
    </w:p>
    <w:p>
      <w:pPr>
        <w:pStyle w:val="3"/>
        <w:keepNext/>
        <w:jc w:val="center"/>
      </w:pPr>
      <w:r>
        <w:drawing>
          <wp:inline>
            <wp:extent cx="4483312" cy="2471020"/>
            <wp:effectExtent b="0" l="0" r="0" t="0"/>
            <wp:docPr descr="image" title="" id="38" name="Picture"/>
            <a:graphic>
              <a:graphicData uri="http://schemas.openxmlformats.org/drawingml/2006/picture">
                <pic:pic>
                  <pic:nvPicPr>
                    <pic:cNvPr descr="D:/git/git/RDMCT-A3C/.tmp/jms_cn_docx_build/assets/equation_01.png" id="39" name="Picture"/>
                    <pic:cNvPicPr>
                      <a:picLocks noChangeArrowheads="1" noChangeAspect="1"/>
                    </pic:cNvPicPr>
                  </pic:nvPicPr>
                  <pic:blipFill>
                    <a:blip r:embed="rId37"/>
                    <a:stretch>
                      <a:fillRect/>
                    </a:stretch>
                  </pic:blipFill>
                  <pic:spPr bwMode="auto">
                    <a:xfrm>
                      <a:off x="0" y="0"/>
                      <a:ext cx="4483312" cy="2471020"/>
                    </a:xfrm>
                    <a:prstGeom prst="rect">
                      <a:avLst/>
                    </a:prstGeom>
                    <a:noFill/>
                    <a:ln w="9525">
                      <a:noFill/>
                      <a:headEnd/>
                      <a:tailEnd/>
                    </a:ln>
                  </pic:spPr>
                </pic:pic>
              </a:graphicData>
            </a:graphic>
          </wp:inline>
        </w:drawing>
      </w:r>
    </w:p>
    <w:p>
      <w:pPr>
        <w:pStyle w:val="3"/>
      </w:pPr>
      <w:r>
        <w:rPr>
          <w:rFonts w:hint="eastAsia"/>
        </w:rPr>
        <w:t xml:space="preserve">第一式把每个规范产品对固定到唯一槽位，故</w:t>
      </w:r>
      <m:oMath>
        <m:r>
          <m:t>x</m:t>
        </m:r>
      </m:oMath>
      <w:r>
        <w:rPr>
          <w:rFonts w:hint="eastAsia"/>
        </w:rPr>
        <w:t xml:space="preserve">不是内生分组或侧面选择。二元仿射关联</w:t>
      </w:r>
      <w:r>
        <w:t xml:space="preserve"> </w:t>
      </w:r>
      <m:oMath>
        <m:sSub>
          <m:e>
            <m:r>
              <m:t>χ</m:t>
            </m:r>
          </m:e>
          <m:sub>
            <m:r>
              <m:t>o</m:t>
            </m:r>
          </m:sub>
        </m:sSub>
      </m:oMath>
      <w:r>
        <w:rPr>
          <w:rFonts w:hint="eastAsia"/>
        </w:rPr>
        <w:t xml:space="preserve">使且仅使所选</w:t>
      </w:r>
      <m:oMath>
        <m:r>
          <m:t>4</m:t>
        </m:r>
        <m:r>
          <m:rPr>
            <m:sty m:val="p"/>
          </m:rPr>
          <m:t>×</m:t>
        </m:r>
        <m:r>
          <m:t>1</m:t>
        </m:r>
      </m:oMath>
      <w:r>
        <w:rPr>
          <w:rFonts w:hint="eastAsia"/>
        </w:rPr>
        <w:t xml:space="preserve">侧面、</w:t>
      </w:r>
      <m:oMath>
        <m:r>
          <m:t>2</m:t>
        </m:r>
        <m:r>
          <m:rPr>
            <m:sty m:val="p"/>
          </m:rPr>
          <m:t>×</m:t>
        </m:r>
        <m:r>
          <m:t>2</m:t>
        </m:r>
      </m:oMath>
      <w:r>
        <w:rPr>
          <w:rFonts w:hint="eastAsia"/>
        </w:rPr>
        <w:t xml:space="preserve">链位置或清洗周期对应的事件激活；</w:t>
      </w:r>
      <w:r>
        <w:t xml:space="preserve"> </w:t>
      </w:r>
      <w:r>
        <w:rPr>
          <w:rFonts w:hint="eastAsia"/>
        </w:rPr>
        <w:t xml:space="preserve">前驱激活不等式保证活动后继不存在未激活的必要前驱，时间上界和持续时间等式又使</w:t>
      </w:r>
      <w:r>
        <w:t xml:space="preserve"> </w:t>
      </w:r>
      <w:r>
        <w:rPr>
          <w:rFonts w:hint="eastAsia"/>
        </w:rPr>
        <w:t xml:space="preserve">未激活操作取零、已激活操作具有持续时间</w:t>
      </w:r>
      <m:oMath>
        <m:sSub>
          <m:e>
            <m:r>
              <m:t>d</m:t>
            </m:r>
          </m:e>
          <m:sub>
            <m:r>
              <m:t>o</m:t>
            </m:r>
          </m:sub>
        </m:sSub>
      </m:oMath>
      <w:r>
        <w:rPr>
          <w:rFonts w:hint="eastAsia"/>
        </w:rPr>
        <w:t xml:space="preserve">。带相同</w:t>
      </w:r>
      <w:r>
        <w:t xml:space="preserve"> </w:t>
      </w:r>
      <w:r>
        <w:rPr>
          <w:rFonts w:hint="eastAsia"/>
        </w:rPr>
        <w:t xml:space="preserve">激活条件的工艺弧和成对析取约束统一处理ATR、对准器、装载锁槽位、VTR、腔室及每片</w:t>
      </w:r>
      <w:r>
        <w:t xml:space="preserve"> </w:t>
      </w:r>
      <w:r>
        <w:rPr>
          <w:rFonts w:hint="eastAsia"/>
        </w:rPr>
        <w:t xml:space="preserve">可复用假片的互斥占用；</w:t>
      </w:r>
      <m:oMath>
        <m:r>
          <m:t>ρ</m:t>
        </m:r>
      </m:oMath>
      <w:r>
        <w:rPr>
          <w:rFonts w:hint="eastAsia"/>
        </w:rPr>
        <w:t xml:space="preserve">包含端点相关的机械手空载回位时间。</w:t>
      </w:r>
    </w:p>
    <w:p>
      <w:pPr>
        <w:pStyle w:val="3"/>
      </w:pPr>
      <w:r>
        <w:rPr>
          <w:rFonts w:hint="eastAsia"/>
        </w:rPr>
        <w:t xml:space="preserve">表</w:t>
      </w:r>
      <w:r>
        <w:t xml:space="preserve"> </w:t>
      </w:r>
      <w:hyperlink w:anchor="tab:rule-zh-new">
        <w:r>
          <w:rPr>
            <w:rStyle w:val="20"/>
          </w:rPr>
          <w:t xml:space="preserve">1</w:t>
        </w:r>
      </w:hyperlink>
      <w:r>
        <w:rPr>
          <w:rFonts w:hint="eastAsia"/>
        </w:rPr>
        <w:t xml:space="preserve">把其余工业规则与数学机制对应起来。该映射说明，模型可行性</w:t>
      </w:r>
      <w:r>
        <w:t xml:space="preserve"> </w:t>
      </w:r>
      <w:r>
        <w:rPr>
          <w:rFonts w:hint="eastAsia"/>
        </w:rPr>
        <w:t xml:space="preserve">来自整条设备轨迹，而不仅是腔室不重叠。</w:t>
      </w:r>
    </w:p>
    <w:bookmarkStart w:id="40" w:name="tab:rule-zh-new"/>
    <w:p>
      <w:pPr>
        <w:pStyle w:val="33"/>
        <w:keepNext/>
        <w:jc w:val="center"/>
      </w:pPr>
      <w:r>
        <w:t>表 1. </w:t>
      </w:r>
      <w:r>
        <w:rPr>
          <w:rFonts w:hint="eastAsia"/>
        </w:rPr>
        <w:t xml:space="preserve">MILP表示的工业规则</w:t>
      </w:r>
    </w:p>
    <w:tbl>
      <w:tblPr>
        <w:tblStyle w:val="Table"/>
        <w:tblW w:type="pct" w:w="4500"/>
        <w:tblLayout w:type="fixed"/>
        <w:tblLook w:firstRow="1" w:lastRow="0" w:firstColumn="0" w:lastColumn="0" w:noHBand="0" w:noVBand="0" w:val="0020"/>
        <w:tblCaption w:val="MILP表示的工业规则"/>
      </w:tblPr>
      <w:tblGrid>
        <w:gridCol w:w="1821"/>
        <w:gridCol w:w="2692"/>
        <w:gridCol w:w="2613"/>
      </w:tblGrid>
      <w:tr>
        <w:trPr>
          <w:tblHeader w:val="on"/>
        </w:trPr>
        <w:tc>
          <w:tcPr/>
          <w:p>
            <w:pPr>
              <w:pStyle w:val="24"/>
              <w:jc w:val="left"/>
            </w:pPr>
            <w:r>
              <w:rPr>
                <w:rFonts w:hint="eastAsia"/>
              </w:rPr>
              <w:t xml:space="preserve">工业规则</w:t>
            </w:r>
          </w:p>
        </w:tc>
        <w:tc>
          <w:tcPr/>
          <w:p>
            <w:pPr>
              <w:pStyle w:val="24"/>
              <w:jc w:val="left"/>
            </w:pPr>
            <w:r>
              <w:rPr>
                <w:rFonts w:hint="eastAsia"/>
              </w:rPr>
              <w:t xml:space="preserve">数学机制</w:t>
            </w:r>
          </w:p>
        </w:tc>
        <w:tc>
          <w:tcPr/>
          <w:p>
            <w:pPr>
              <w:pStyle w:val="24"/>
              <w:jc w:val="left"/>
            </w:pPr>
            <w:r>
              <w:rPr>
                <w:rFonts w:hint="eastAsia"/>
              </w:rPr>
              <w:t xml:space="preserve">排程作用</w:t>
            </w:r>
          </w:p>
        </w:tc>
      </w:tr>
      <w:tr>
        <w:tc>
          <w:tcPr/>
          <w:p>
            <w:pPr>
              <w:pStyle w:val="24"/>
              <w:jc w:val="left"/>
            </w:pPr>
            <w:r>
              <w:rPr>
                <w:rFonts w:hint="eastAsia"/>
              </w:rPr>
              <w:t xml:space="preserve">旋转侧面次序</w:t>
            </w:r>
          </w:p>
        </w:tc>
        <w:tc>
          <w:tcPr/>
          <w:p>
            <w:pPr>
              <w:pStyle w:val="24"/>
              <w:jc w:val="left"/>
            </w:pPr>
            <w:r>
              <w:rPr>
                <w:rFonts w:hint="eastAsia"/>
              </w:rPr>
              <w:t xml:space="preserve">事件等式与前驱弧</w:t>
            </w:r>
          </w:p>
        </w:tc>
        <w:tc>
          <w:tcPr/>
          <w:p>
            <w:pPr>
              <w:pStyle w:val="24"/>
              <w:jc w:val="left"/>
            </w:pPr>
            <w:r>
              <w:rPr>
                <w:rFonts w:hint="eastAsia"/>
              </w:rPr>
              <w:t xml:space="preserve">保证装载–旋转–加工–卸载物理过程</w:t>
            </w:r>
          </w:p>
        </w:tc>
      </w:tr>
      <w:tr>
        <w:tc>
          <w:tcPr/>
          <w:p>
            <w:pPr>
              <w:pStyle w:val="24"/>
              <w:jc w:val="left"/>
            </w:pPr>
            <w:r>
              <w:rPr>
                <w:rFonts w:hint="eastAsia"/>
              </w:rPr>
              <w:t xml:space="preserve">混合配方</w:t>
            </w:r>
          </w:p>
        </w:tc>
        <w:tc>
          <w:tcPr/>
          <w:p>
            <w:pPr>
              <w:pStyle w:val="24"/>
              <w:jc w:val="left"/>
            </w:pPr>
            <w:r>
              <w:rPr>
                <w:rFonts w:hint="eastAsia"/>
              </w:rPr>
              <w:t xml:space="preserve">规范同模式配对、固定槽位及激活链接</w:t>
            </w:r>
          </w:p>
        </w:tc>
        <w:tc>
          <w:tcPr/>
          <w:p>
            <w:pPr>
              <w:pStyle w:val="24"/>
              <w:jc w:val="left"/>
            </w:pPr>
            <w:r>
              <w:rPr>
                <w:rFonts w:hint="eastAsia"/>
              </w:rPr>
              <w:t xml:space="preserve">消除标签对称性并强制合法共享曝光</w:t>
            </w:r>
          </w:p>
        </w:tc>
      </w:tr>
      <w:tr>
        <w:tc>
          <w:tcPr/>
          <w:p>
            <w:pPr>
              <w:pStyle w:val="24"/>
              <w:jc w:val="left"/>
            </w:pPr>
            <w:r>
              <w:rPr>
                <w:rFonts w:hint="eastAsia"/>
              </w:rPr>
              <w:t xml:space="preserve">清洗间隔</w:t>
            </w:r>
          </w:p>
        </w:tc>
        <w:tc>
          <w:tcPr/>
          <w:p>
            <w:pPr>
              <w:pStyle w:val="24"/>
              <w:jc w:val="left"/>
            </w:pPr>
            <w:r>
              <w:rPr>
                <w:rFonts w:hint="eastAsia"/>
              </w:rPr>
              <w:t xml:space="preserve">周期–epoch分配与容量</w:t>
            </w:r>
          </w:p>
        </w:tc>
        <w:tc>
          <w:tcPr/>
          <w:p>
            <w:pPr>
              <w:pStyle w:val="24"/>
              <w:jc w:val="left"/>
            </w:pPr>
            <w:r>
              <w:rPr>
                <w:rFonts w:hint="eastAsia"/>
              </w:rPr>
              <w:t xml:space="preserve">在合法边界插入假片清洗</w:t>
            </w:r>
          </w:p>
        </w:tc>
      </w:tr>
      <w:tr>
        <w:tc>
          <w:tcPr/>
          <w:p>
            <w:pPr>
              <w:pStyle w:val="24"/>
              <w:jc w:val="left"/>
            </w:pPr>
            <w:r>
              <w:rPr>
                <w:rFonts w:hint="eastAsia"/>
              </w:rPr>
              <w:t xml:space="preserve">可复用假片库存</w:t>
            </w:r>
          </w:p>
        </w:tc>
        <w:tc>
          <w:tcPr/>
          <w:p>
            <w:pPr>
              <w:pStyle w:val="24"/>
              <w:jc w:val="left"/>
            </w:pPr>
            <w:r>
              <w:rPr>
                <w:rFonts w:hint="eastAsia"/>
              </w:rPr>
              <w:t xml:space="preserve">物理假片分配与区间析取</w:t>
            </w:r>
          </w:p>
        </w:tc>
        <w:tc>
          <w:tcPr/>
          <w:p>
            <w:pPr>
              <w:pStyle w:val="24"/>
              <w:jc w:val="left"/>
            </w:pPr>
            <w:r>
              <w:rPr>
                <w:rFonts w:hint="eastAsia"/>
              </w:rPr>
              <w:t xml:space="preserve">禁止同一假片被同时使用</w:t>
            </w:r>
          </w:p>
        </w:tc>
      </w:tr>
      <w:tr>
        <w:tc>
          <w:tcPr/>
          <w:p>
            <w:pPr>
              <w:pStyle w:val="24"/>
              <w:jc w:val="left"/>
            </w:pPr>
            <w:r>
              <w:rPr>
                <w:rFonts w:hint="eastAsia"/>
              </w:rPr>
              <w:t xml:space="preserve">机械手与装载锁容量</w:t>
            </w:r>
          </w:p>
        </w:tc>
        <w:tc>
          <w:tcPr/>
          <w:p>
            <w:pPr>
              <w:pStyle w:val="24"/>
              <w:jc w:val="left"/>
            </w:pPr>
            <w:r>
              <w:rPr>
                <w:rFonts w:hint="eastAsia"/>
              </w:rPr>
              <w:t xml:space="preserve">端点相关资源排序</w:t>
            </w:r>
          </w:p>
        </w:tc>
        <w:tc>
          <w:tcPr/>
          <w:p>
            <w:pPr>
              <w:pStyle w:val="24"/>
              <w:jc w:val="left"/>
            </w:pPr>
            <w:r>
              <w:rPr>
                <w:rFonts w:hint="eastAsia"/>
              </w:rPr>
              <w:t xml:space="preserve">消除搬运冲突并计入回位</w:t>
            </w:r>
          </w:p>
        </w:tc>
      </w:tr>
      <w:tr>
        <w:tc>
          <w:tcPr/>
          <w:p>
            <w:pPr>
              <w:pStyle w:val="24"/>
              <w:jc w:val="left"/>
            </w:pPr>
            <w:r>
              <w:rPr>
                <w:rFonts w:hint="eastAsia"/>
              </w:rPr>
              <w:t xml:space="preserve">驻留限制</w:t>
            </w:r>
          </w:p>
        </w:tc>
        <w:tc>
          <w:tcPr/>
          <w:p>
            <w:pPr>
              <w:pStyle w:val="24"/>
              <w:jc w:val="left"/>
            </w:pPr>
            <w:r>
              <w:rPr>
                <w:rFonts w:hint="eastAsia"/>
              </w:rPr>
              <w:t xml:space="preserve">成对路线事件的时间上界</w:t>
            </w:r>
          </w:p>
        </w:tc>
        <w:tc>
          <w:tcPr/>
          <w:p>
            <w:pPr>
              <w:pStyle w:val="24"/>
              <w:jc w:val="left"/>
            </w:pPr>
            <w:r>
              <w:rPr>
                <w:rFonts w:hint="eastAsia"/>
              </w:rPr>
              <w:t xml:space="preserve">保护时间敏感产品和搬运</w:t>
            </w:r>
          </w:p>
        </w:tc>
      </w:tr>
      <w:tr>
        <w:tc>
          <w:tcPr/>
          <w:p>
            <w:pPr>
              <w:pStyle w:val="24"/>
              <w:jc w:val="left"/>
            </w:pPr>
            <w:r>
              <w:rPr>
                <w:rFonts w:hint="eastAsia"/>
              </w:rPr>
              <w:t xml:space="preserve">有限批次吞吐量</w:t>
            </w:r>
          </w:p>
        </w:tc>
        <w:tc>
          <w:tcPr/>
          <w:p>
            <w:pPr>
              <w:pStyle w:val="24"/>
              <w:jc w:val="left"/>
            </w:pPr>
            <w:r>
              <w:rPr>
                <w:rFonts w:hint="eastAsia"/>
              </w:rPr>
              <w:t xml:space="preserve">最晚返回装载端口时刻</w:t>
            </w:r>
          </w:p>
        </w:tc>
        <w:tc>
          <w:tcPr/>
          <w:p>
            <w:pPr>
              <w:pStyle w:val="24"/>
              <w:jc w:val="left"/>
            </w:pPr>
            <w:r>
              <w:rPr>
                <w:rFonts w:hint="eastAsia"/>
              </w:rPr>
              <w:t xml:space="preserve">度量端到端而非腔室内完工</w:t>
            </w:r>
          </w:p>
        </w:tc>
      </w:tr>
    </w:tbl>
    <w:bookmarkEnd w:id="40"/>
    <w:p>
      <w:pPr>
        <w:pStyle w:val="3"/>
      </w:pPr>
      <w:r>
        <w:rPr>
          <w:rFonts w:hint="eastAsia"/>
        </w:rPr>
        <w:t xml:space="preserve">令</w:t>
      </w:r>
      <m:oMath>
        <m:r>
          <m:t>H</m:t>
        </m:r>
      </m:oMath>
      <w:r>
        <w:rPr>
          <w:rFonts w:hint="eastAsia"/>
        </w:rPr>
        <w:t xml:space="preserve">为两次清洗间允许的最大活动加工周期数。清洗激活与epoch一致性写为</w:t>
      </w:r>
    </w:p>
    <w:p>
      <w:pPr>
        <w:pStyle w:val="3"/>
        <w:keepNext/>
        <w:jc w:val="center"/>
      </w:pPr>
      <w:r>
        <w:drawing>
          <wp:inline>
            <wp:extent cx="4483312" cy="1486282"/>
            <wp:effectExtent b="0" l="0" r="0" t="0"/>
            <wp:docPr descr="image" title="" id="42" name="Picture"/>
            <a:graphic>
              <a:graphicData uri="http://schemas.openxmlformats.org/drawingml/2006/picture">
                <pic:pic>
                  <pic:nvPicPr>
                    <pic:cNvPr descr="D:/git/git/RDMCT-A3C/.tmp/jms_cn_docx_build/assets/equation_02.png" id="43" name="Picture"/>
                    <pic:cNvPicPr>
                      <a:picLocks noChangeArrowheads="1" noChangeAspect="1"/>
                    </pic:cNvPicPr>
                  </pic:nvPicPr>
                  <pic:blipFill>
                    <a:blip r:embed="rId41"/>
                    <a:stretch>
                      <a:fillRect/>
                    </a:stretch>
                  </pic:blipFill>
                  <pic:spPr bwMode="auto">
                    <a:xfrm>
                      <a:off x="0" y="0"/>
                      <a:ext cx="4483312" cy="1486282"/>
                    </a:xfrm>
                    <a:prstGeom prst="rect">
                      <a:avLst/>
                    </a:prstGeom>
                    <a:noFill/>
                    <a:ln w="9525">
                      <a:noFill/>
                      <a:headEnd/>
                      <a:tailEnd/>
                    </a:ln>
                  </pic:spPr>
                </pic:pic>
              </a:graphicData>
            </a:graphic>
          </wp:inline>
        </w:drawing>
      </w:r>
    </w:p>
    <w:p>
      <w:pPr>
        <w:pStyle w:val="3"/>
      </w:pPr>
      <w:r>
        <w:rPr>
          <w:rFonts w:hint="eastAsia"/>
        </w:rPr>
        <w:t xml:space="preserve">这些关系使epoch只在包含活动周期时启用，强制周期和epoch采用前缀结构，并用最后一项</w:t>
      </w:r>
      <w:r>
        <w:t xml:space="preserve"> </w:t>
      </w:r>
      <w:r>
        <w:rPr>
          <w:rFonts w:hint="eastAsia"/>
        </w:rPr>
        <w:t xml:space="preserve">避免未激活后缀错误约束活动前驱。相邻epoch转换激活其间的假片清洗路线，</w:t>
      </w:r>
      <m:oMath>
        <m:r>
          <m:t>2</m:t>
        </m:r>
        <m:r>
          <m:rPr>
            <m:sty m:val="p"/>
          </m:rPr>
          <m:t>×</m:t>
        </m:r>
        <m:r>
          <m:t>2</m:t>
        </m:r>
      </m:oMath>
      <w:r>
        <w:t xml:space="preserve"> </w:t>
      </w:r>
      <w:r>
        <w:rPr>
          <w:rFonts w:hint="eastAsia"/>
        </w:rPr>
        <w:t xml:space="preserve">链只能在已激活的曝光边界分段。驻留限制统一写为</w:t>
      </w:r>
    </w:p>
    <w:p>
      <w:pPr>
        <w:pStyle w:val="3"/>
        <w:keepNext/>
        <w:jc w:val="center"/>
      </w:pPr>
      <w:r>
        <w:drawing>
          <wp:inline>
            <wp:extent cx="3119357" cy="299703"/>
            <wp:effectExtent b="0" l="0" r="0" t="0"/>
            <wp:docPr descr="image" title="" id="45" name="Picture"/>
            <a:graphic>
              <a:graphicData uri="http://schemas.openxmlformats.org/drawingml/2006/picture">
                <pic:pic>
                  <pic:nvPicPr>
                    <pic:cNvPr descr="D:/git/git/RDMCT-A3C/.tmp/jms_cn_docx_build/assets/equation_03.png" id="46" name="Picture"/>
                    <pic:cNvPicPr>
                      <a:picLocks noChangeArrowheads="1" noChangeAspect="1"/>
                    </pic:cNvPicPr>
                  </pic:nvPicPr>
                  <pic:blipFill>
                    <a:blip r:embed="rId44"/>
                    <a:stretch>
                      <a:fillRect/>
                    </a:stretch>
                  </pic:blipFill>
                  <pic:spPr bwMode="auto">
                    <a:xfrm>
                      <a:off x="0" y="0"/>
                      <a:ext cx="3119357" cy="299703"/>
                    </a:xfrm>
                    <a:prstGeom prst="rect">
                      <a:avLst/>
                    </a:prstGeom>
                    <a:noFill/>
                    <a:ln w="9525">
                      <a:noFill/>
                      <a:headEnd/>
                      <a:tailEnd/>
                    </a:ln>
                  </pic:spPr>
                </pic:pic>
              </a:graphicData>
            </a:graphic>
          </wp:inline>
        </w:drawing>
      </w:r>
    </w:p>
    <w:p>
      <w:pPr>
        <w:pStyle w:val="3"/>
      </w:pPr>
      <w:r>
        <w:rPr>
          <w:rFonts w:hint="eastAsia"/>
        </w:rPr>
        <w:t xml:space="preserve">在组合设备控制中，死锁通常指某一可达设备状态中的晶圆–资源依赖形成循环等待；</w:t>
      </w:r>
      <w:r>
        <w:t xml:space="preserve"> </w:t>
      </w:r>
      <w:r>
        <w:rPr>
          <w:rFonts w:hint="eastAsia"/>
        </w:rPr>
        <w:t xml:space="preserve">Petri网方法显式研究这种控制器层面的可达性</w:t>
      </w:r>
      <w:r>
        <w:t xml:space="preserve">(Nishi and Matsumoto 2015)</w:t>
      </w:r>
      <w:r>
        <w:rPr>
          <w:rFonts w:hint="eastAsia"/>
        </w:rPr>
        <w:t xml:space="preserve">。本文的有限时域</w:t>
      </w:r>
      <w:r>
        <w:t xml:space="preserve"> </w:t>
      </w:r>
      <w:r>
        <w:rPr>
          <w:rFonts w:hint="eastAsia"/>
        </w:rPr>
        <w:t xml:space="preserve">MILP只作更窄的离线排程声明。每条活动物料路线具有有限的来源–返回前驱链，每对</w:t>
      </w:r>
      <w:r>
        <w:t xml:space="preserve"> </w:t>
      </w:r>
      <w:r>
        <w:rPr>
          <w:rFonts w:hint="eastAsia"/>
        </w:rPr>
        <w:t xml:space="preserve">竞争同一单位容量资源的活动操作获得一个时间次序。在所有物理保持区间与搬运动作均</w:t>
      </w:r>
      <w:r>
        <w:t xml:space="preserve"> </w:t>
      </w:r>
      <w:r>
        <w:rPr>
          <w:rFonts w:hint="eastAsia"/>
        </w:rPr>
        <w:t xml:space="preserve">被模型表示且活动间隔为正的前提下，若联合路线–资源图出现有向环，环上时序不等式</w:t>
      </w:r>
      <w:r>
        <w:t xml:space="preserve"> </w:t>
      </w:r>
      <w:r>
        <w:rPr>
          <w:rFonts w:hint="eastAsia"/>
        </w:rPr>
        <w:t xml:space="preserve">相加将产生矛盾，故该次序组合不可能属于MILP可行解；终止约束还要求每片产品和已</w:t>
      </w:r>
      <w:r>
        <w:t xml:space="preserve"> </w:t>
      </w:r>
      <w:r>
        <w:rPr>
          <w:rFonts w:hint="eastAsia"/>
        </w:rPr>
        <w:t xml:space="preserve">分配假片完成建模路线。因此，可行解是在所建模条件下不含循环等待的完整离线轨迹。</w:t>
      </w:r>
      <w:r>
        <w:t xml:space="preserve"> </w:t>
      </w:r>
      <w:r>
        <w:rPr>
          <w:rFonts w:hint="eastAsia"/>
        </w:rPr>
        <w:t xml:space="preserve">该结论不是设备控制器对调度偏离、模型外缓冲、设备故障或任意可达在线状态的普适</w:t>
      </w:r>
      <w:r>
        <w:t xml:space="preserve"> </w:t>
      </w:r>
      <w:r>
        <w:rPr>
          <w:rFonts w:hint="eastAsia"/>
        </w:rPr>
        <w:t xml:space="preserve">无死锁保证。</w:t>
      </w:r>
    </w:p>
    <w:bookmarkEnd w:id="47"/>
    <w:bookmarkStart w:id="60" w:name="先优化吞吐量再优化排程质量"/>
    <w:p>
      <w:pPr>
        <w:pStyle w:val="4"/>
      </w:pPr>
      <w:r>
        <w:rPr>
          <w:rStyle w:val="SectionNumber"/>
        </w:rPr>
        <w:t xml:space="preserve">3.3</w:t>
      </w:r>
      <w:r>
        <w:tab/>
      </w:r>
      <w:r>
        <w:rPr>
          <w:rFonts w:hint="eastAsia"/>
        </w:rPr>
        <w:t xml:space="preserve">先优化吞吐量，再优化排程质量</w:t>
      </w:r>
    </w:p>
    <w:p>
      <w:pPr>
        <w:pStyle w:val="23"/>
      </w:pPr>
      <w:r>
        <w:rPr>
          <w:rFonts w:hint="eastAsia"/>
        </w:rPr>
        <w:t xml:space="preserve">第一阶段最小化最后一片产品返回装载端口的时刻：</w:t>
      </w:r>
    </w:p>
    <w:p>
      <w:pPr>
        <w:pStyle w:val="3"/>
        <w:keepNext/>
        <w:jc w:val="center"/>
      </w:pPr>
      <w:r>
        <w:drawing>
          <wp:inline>
            <wp:extent cx="3507748" cy="357808"/>
            <wp:effectExtent b="0" l="0" r="0" t="0"/>
            <wp:docPr descr="image" title="" id="49" name="Picture"/>
            <a:graphic>
              <a:graphicData uri="http://schemas.openxmlformats.org/drawingml/2006/picture">
                <pic:pic>
                  <pic:nvPicPr>
                    <pic:cNvPr descr="D:/git/git/RDMCT-A3C/.tmp/jms_cn_docx_build/assets/equation_04.png" id="50" name="Picture"/>
                    <pic:cNvPicPr>
                      <a:picLocks noChangeArrowheads="1" noChangeAspect="1"/>
                    </pic:cNvPicPr>
                  </pic:nvPicPr>
                  <pic:blipFill>
                    <a:blip r:embed="rId48"/>
                    <a:stretch>
                      <a:fillRect/>
                    </a:stretch>
                  </pic:blipFill>
                  <pic:spPr bwMode="auto">
                    <a:xfrm>
                      <a:off x="0" y="0"/>
                      <a:ext cx="3507748" cy="357808"/>
                    </a:xfrm>
                    <a:prstGeom prst="rect">
                      <a:avLst/>
                    </a:prstGeom>
                    <a:noFill/>
                    <a:ln w="9525">
                      <a:noFill/>
                      <a:headEnd/>
                      <a:tailEnd/>
                    </a:ln>
                  </pic:spPr>
                </pic:pic>
              </a:graphicData>
            </a:graphic>
          </wp:inline>
        </w:drawing>
      </w:r>
    </w:p>
    <w:p>
      <w:pPr>
        <w:pStyle w:val="3"/>
      </w:pPr>
      <w:r>
        <w:rPr>
          <w:rFonts w:hint="eastAsia"/>
        </w:rPr>
        <w:t xml:space="preserve">其中</w:t>
      </w:r>
      <m:oMath>
        <m:r>
          <m:rPr>
            <m:scr m:val="script"/>
            <m:sty m:val="p"/>
          </m:rPr>
          <m:t>F</m:t>
        </m:r>
      </m:oMath>
      <w:r>
        <w:rPr>
          <w:rFonts w:hint="eastAsia"/>
        </w:rPr>
        <w:t xml:space="preserve">包含全部物料、旋转、清洗、资源和时序约束。仅最小化</w:t>
      </w:r>
      <m:oMath>
        <m:sSub>
          <m:e>
            <m:r>
              <m:t>C</m:t>
            </m:r>
          </m:e>
          <m:sub>
            <m:r>
              <m:rPr>
                <m:sty m:val="p"/>
              </m:rPr>
              <m:t>max</m:t>
            </m:r>
          </m:sub>
        </m:sSub>
      </m:oMath>
      <w:r>
        <w:t xml:space="preserve"> </w:t>
      </w:r>
      <w:r>
        <w:rPr>
          <w:rFonts w:hint="eastAsia"/>
        </w:rPr>
        <w:t xml:space="preserve">不能保证运行质量：在最后完成时刻相同时，中间等待、极端驻留和腔室节拍仍可能</w:t>
      </w:r>
      <w:r>
        <w:t xml:space="preserve"> </w:t>
      </w:r>
      <w:r>
        <w:rPr>
          <w:rFonts w:hint="eastAsia"/>
        </w:rPr>
        <w:t xml:space="preserve">存在巨大差异，并影响工艺一致性和对小扰动的恢复能力。</w:t>
      </w:r>
    </w:p>
    <w:p>
      <w:pPr>
        <w:pStyle w:val="3"/>
      </w:pPr>
      <w:r>
        <w:rPr>
          <w:rFonts w:hint="eastAsia"/>
        </w:rPr>
        <w:t xml:space="preserve">设第一阶段保留的incumbent为</w:t>
      </w:r>
      <m:oMath>
        <m:acc>
          <m:accPr>
            <m:chr m:val="̂"/>
          </m:accPr>
          <m:e>
            <m:r>
              <m:t>z</m:t>
            </m:r>
          </m:e>
        </m:acc>
      </m:oMath>
      <w:r>
        <w:rPr>
          <w:rFonts w:hint="eastAsia"/>
        </w:rPr>
        <w:t xml:space="preserve">，最大完工时间为</w:t>
      </w:r>
      <m:oMath>
        <m:acc>
          <m:accPr>
            <m:chr m:val="̂"/>
          </m:accPr>
          <m:e>
            <m:r>
              <m:t>C</m:t>
            </m:r>
          </m:e>
        </m:acc>
      </m:oMath>
      <w:r>
        <w:rPr>
          <w:rFonts w:hint="eastAsia"/>
        </w:rPr>
        <w:t xml:space="preserve">。第二阶段</w:t>
      </w:r>
      <w:r>
        <w:t xml:space="preserve"> </w:t>
      </w:r>
      <w:r>
        <w:rPr>
          <w:rFonts w:hint="eastAsia"/>
        </w:rPr>
        <w:t xml:space="preserve">固定该incumbent中保留的路由与资源次序整数</w:t>
      </w:r>
      <m:oMath>
        <m:sSub>
          <m:e>
            <m:r>
              <m:rPr>
                <m:scr m:val="script"/>
                <m:sty m:val="p"/>
              </m:rPr>
              <m:t>D</m:t>
            </m:r>
          </m:e>
          <m:sub>
            <m:r>
              <m:rPr>
                <m:sty m:val="p"/>
              </m:rPr>
              <m:t>f</m:t>
            </m:r>
            <m:r>
              <m:rPr>
                <m:sty m:val="p"/>
              </m:rPr>
              <m:t>i</m:t>
            </m:r>
            <m:r>
              <m:rPr>
                <m:sty m:val="p"/>
              </m:rPr>
              <m:t>x</m:t>
            </m:r>
          </m:sub>
        </m:sSub>
      </m:oMath>
      <w:r>
        <w:rPr>
          <w:rFonts w:hint="eastAsia"/>
        </w:rPr>
        <w:t xml:space="preserve">，而双夹持机械手</w:t>
      </w:r>
      <w:r>
        <w:t xml:space="preserve"> </w:t>
      </w:r>
      <w:r>
        <w:rPr>
          <w:rFonts w:hint="eastAsia"/>
        </w:rPr>
        <w:t xml:space="preserve">选择保持自由：</w:t>
      </w:r>
    </w:p>
    <w:p>
      <w:pPr>
        <w:pStyle w:val="3"/>
        <w:keepNext/>
        <w:jc w:val="center"/>
      </w:pPr>
      <w:r>
        <w:drawing>
          <wp:inline>
            <wp:extent cx="3464933" cy="287470"/>
            <wp:effectExtent b="0" l="0" r="0" t="0"/>
            <wp:docPr descr="image" title="" id="52" name="Picture"/>
            <a:graphic>
              <a:graphicData uri="http://schemas.openxmlformats.org/drawingml/2006/picture">
                <pic:pic>
                  <pic:nvPicPr>
                    <pic:cNvPr descr="D:/git/git/RDMCT-A3C/.tmp/jms_cn_docx_build/assets/equation_05.png" id="53" name="Picture"/>
                    <pic:cNvPicPr>
                      <a:picLocks noChangeArrowheads="1" noChangeAspect="1"/>
                    </pic:cNvPicPr>
                  </pic:nvPicPr>
                  <pic:blipFill>
                    <a:blip r:embed="rId51"/>
                    <a:stretch>
                      <a:fillRect/>
                    </a:stretch>
                  </pic:blipFill>
                  <pic:spPr bwMode="auto">
                    <a:xfrm>
                      <a:off x="0" y="0"/>
                      <a:ext cx="3464933" cy="287470"/>
                    </a:xfrm>
                    <a:prstGeom prst="rect">
                      <a:avLst/>
                    </a:prstGeom>
                    <a:noFill/>
                    <a:ln w="9525">
                      <a:noFill/>
                      <a:headEnd/>
                      <a:tailEnd/>
                    </a:ln>
                  </pic:spPr>
                </pic:pic>
              </a:graphicData>
            </a:graphic>
          </wp:inline>
        </w:drawing>
      </w:r>
    </w:p>
    <w:p>
      <w:pPr>
        <w:pStyle w:val="3"/>
      </w:pPr>
      <w:r>
        <w:rPr>
          <w:rFonts w:hint="eastAsia"/>
        </w:rPr>
        <w:t xml:space="preserve">并最小化</w:t>
      </w:r>
    </w:p>
    <w:p>
      <w:pPr>
        <w:pStyle w:val="3"/>
        <w:keepNext/>
        <w:jc w:val="center"/>
      </w:pPr>
      <w:r>
        <w:drawing>
          <wp:inline>
            <wp:extent cx="3648425" cy="290528"/>
            <wp:effectExtent b="0" l="0" r="0" t="0"/>
            <wp:docPr descr="image" title="" id="55" name="Picture"/>
            <a:graphic>
              <a:graphicData uri="http://schemas.openxmlformats.org/drawingml/2006/picture">
                <pic:pic>
                  <pic:nvPicPr>
                    <pic:cNvPr descr="D:/git/git/RDMCT-A3C/.tmp/jms_cn_docx_build/assets/equation_06.png" id="56" name="Picture"/>
                    <pic:cNvPicPr>
                      <a:picLocks noChangeArrowheads="1" noChangeAspect="1"/>
                    </pic:cNvPicPr>
                  </pic:nvPicPr>
                  <pic:blipFill>
                    <a:blip r:embed="rId54"/>
                    <a:stretch>
                      <a:fillRect/>
                    </a:stretch>
                  </pic:blipFill>
                  <pic:spPr bwMode="auto">
                    <a:xfrm>
                      <a:off x="0" y="0"/>
                      <a:ext cx="3648425" cy="290528"/>
                    </a:xfrm>
                    <a:prstGeom prst="rect">
                      <a:avLst/>
                    </a:prstGeom>
                    <a:noFill/>
                    <a:ln w="9525">
                      <a:noFill/>
                      <a:headEnd/>
                      <a:tailEnd/>
                    </a:ln>
                  </pic:spPr>
                </pic:pic>
              </a:graphicData>
            </a:graphic>
          </wp:inline>
        </w:drawing>
      </w:r>
    </w:p>
    <w:p>
      <w:pPr>
        <w:pStyle w:val="3"/>
      </w:pPr>
      <w:r>
        <w:rPr>
          <w:rFonts w:hint="eastAsia"/>
        </w:rPr>
        <w:t xml:space="preserve">令</w:t>
      </w:r>
      <m:oMath>
        <m:r>
          <m:rPr>
            <m:scr m:val="script"/>
            <m:sty m:val="p"/>
          </m:rPr>
          <m:t>L</m:t>
        </m:r>
        <m:r>
          <m:rPr>
            <m:sty m:val="p"/>
          </m:rPr>
          <m:t>(</m:t>
        </m:r>
        <m:r>
          <m:t>z</m:t>
        </m:r>
        <m:r>
          <m:rPr>
            <m:sty m:val="p"/>
          </m:rPr>
          <m:t>)</m:t>
        </m:r>
      </m:oMath>
      <w:r>
        <w:rPr>
          <w:rFonts w:hint="eastAsia"/>
        </w:rPr>
        <w:t xml:space="preserve">为在线性目标下保持紧性的模型内等待与空闲项集合，</w:t>
      </w:r>
      <w:r>
        <w:t xml:space="preserve"> </w:t>
      </w:r>
      <m:oMath>
        <m:sSub>
          <m:e>
            <m:r>
              <m:t>h</m:t>
            </m:r>
          </m:e>
          <m:sub>
            <m:r>
              <m:t>m</m:t>
            </m:r>
            <m:r>
              <m:t>c</m:t>
            </m:r>
            <m:r>
              <m:t>e</m:t>
            </m:r>
            <m:r>
              <m:t>ℓ</m:t>
            </m:r>
          </m:sub>
        </m:sSub>
      </m:oMath>
      <w:r>
        <w:rPr>
          <w:rFonts w:hint="eastAsia"/>
        </w:rPr>
        <w:t xml:space="preserve">为配方模式</w:t>
      </w:r>
      <m:oMath>
        <m:r>
          <m:t>m</m:t>
        </m:r>
      </m:oMath>
      <w:r>
        <w:rPr>
          <w:rFonts w:hint="eastAsia"/>
        </w:rPr>
        <w:t xml:space="preserve">、腔室</w:t>
      </w:r>
      <m:oMath>
        <m:r>
          <m:t>c</m:t>
        </m:r>
      </m:oMath>
      <w:r>
        <w:rPr>
          <w:rFonts w:hint="eastAsia"/>
        </w:rPr>
        <w:t xml:space="preserve">、清洗epoch</w:t>
      </w:r>
      <w:r>
        <w:t xml:space="preserve"> </w:t>
      </w:r>
      <m:oMath>
        <m:r>
          <m:t>e</m:t>
        </m:r>
      </m:oMath>
      <w:r>
        <w:rPr>
          <w:rFonts w:hint="eastAsia"/>
        </w:rPr>
        <w:t xml:space="preserve">中的第</w:t>
      </w:r>
      <m:oMath>
        <m:r>
          <m:t>ℓ</m:t>
        </m:r>
      </m:oMath>
      <w:r>
        <w:rPr>
          <w:rFonts w:hint="eastAsia"/>
        </w:rPr>
        <w:t xml:space="preserve">个活动加工</w:t>
      </w:r>
      <w:r>
        <w:t xml:space="preserve"> </w:t>
      </w:r>
      <w:r>
        <w:rPr>
          <w:rFonts w:hint="eastAsia"/>
        </w:rPr>
        <w:t xml:space="preserve">开始时刻，则</w:t>
      </w:r>
    </w:p>
    <w:p>
      <w:pPr>
        <w:pStyle w:val="3"/>
        <w:keepNext/>
        <w:jc w:val="center"/>
      </w:pPr>
      <w:r>
        <w:drawing>
          <wp:inline>
            <wp:extent cx="4483312" cy="1483224"/>
            <wp:effectExtent b="0" l="0" r="0" t="0"/>
            <wp:docPr descr="image" title="" id="58" name="Picture"/>
            <a:graphic>
              <a:graphicData uri="http://schemas.openxmlformats.org/drawingml/2006/picture">
                <pic:pic>
                  <pic:nvPicPr>
                    <pic:cNvPr descr="D:/git/git/RDMCT-A3C/.tmp/jms_cn_docx_build/assets/equation_07.png" id="59" name="Picture"/>
                    <pic:cNvPicPr>
                      <a:picLocks noChangeArrowheads="1" noChangeAspect="1"/>
                    </pic:cNvPicPr>
                  </pic:nvPicPr>
                  <pic:blipFill>
                    <a:blip r:embed="rId57"/>
                    <a:stretch>
                      <a:fillRect/>
                    </a:stretch>
                  </pic:blipFill>
                  <pic:spPr bwMode="auto">
                    <a:xfrm>
                      <a:off x="0" y="0"/>
                      <a:ext cx="4483312" cy="1483224"/>
                    </a:xfrm>
                    <a:prstGeom prst="rect">
                      <a:avLst/>
                    </a:prstGeom>
                    <a:noFill/>
                    <a:ln w="9525">
                      <a:noFill/>
                      <a:headEnd/>
                      <a:tailEnd/>
                    </a:ln>
                  </pic:spPr>
                </pic:pic>
              </a:graphicData>
            </a:graphic>
          </wp:inline>
        </w:drawing>
      </w:r>
    </w:p>
    <w:p>
      <w:pPr>
        <w:pStyle w:val="3"/>
      </w:pPr>
      <w:r>
        <w:rPr>
          <w:rFonts w:hint="eastAsia"/>
        </w:rPr>
        <w:t xml:space="preserve">非负权重</w:t>
      </w:r>
      <m:oMath>
        <m:sSub>
          <m:e>
            <m:r>
              <m:t>λ</m:t>
            </m:r>
          </m:e>
          <m:sub>
            <m:r>
              <m:t>1</m:t>
            </m:r>
          </m:sub>
        </m:sSub>
        <m:r>
          <m:rPr>
            <m:sty m:val="p"/>
          </m:rPr>
          <m:t>,</m:t>
        </m:r>
        <m:r>
          <m:rPr>
            <m:sty m:val="p"/>
          </m:rPr>
          <m:t>…</m:t>
        </m:r>
        <m:r>
          <m:rPr>
            <m:sty m:val="p"/>
          </m:rPr>
          <m:t>,</m:t>
        </m:r>
        <m:sSub>
          <m:e>
            <m:r>
              <m:t>λ</m:t>
            </m:r>
          </m:e>
          <m:sub>
            <m:r>
              <m:t>4</m:t>
            </m:r>
          </m:sub>
        </m:sSub>
      </m:oMath>
      <w:r>
        <w:rPr>
          <w:rFonts w:hint="eastAsia"/>
        </w:rPr>
        <w:t xml:space="preserve">分别控制总等待、极端等待、节拍不规则性和软</w:t>
      </w:r>
      <w:r>
        <w:t xml:space="preserve"> </w:t>
      </w:r>
      <w:r>
        <w:rPr>
          <w:rFonts w:hint="eastAsia"/>
        </w:rPr>
        <w:t xml:space="preserve">等待上限超额；正式线性配置采用</w:t>
      </w:r>
      <m:oMath>
        <m:r>
          <m:rPr>
            <m:sty m:val="p"/>
          </m:rPr>
          <m:t>(</m:t>
        </m:r>
        <m:r>
          <m:t>1</m:t>
        </m:r>
        <m:r>
          <m:rPr>
            <m:sty m:val="p"/>
          </m:rPr>
          <m:t>,</m:t>
        </m:r>
        <m:r>
          <m:t>10</m:t>
        </m:r>
        <m:r>
          <m:rPr>
            <m:sty m:val="p"/>
          </m:rPr>
          <m:t>,</m:t>
        </m:r>
        <m:r>
          <m:t>25</m:t>
        </m:r>
        <m:r>
          <m:rPr>
            <m:sty m:val="p"/>
          </m:rPr>
          <m:t>,</m:t>
        </m:r>
        <m:r>
          <m:t>0</m:t>
        </m:r>
        <m:r>
          <m:rPr>
            <m:sty m:val="p"/>
          </m:rPr>
          <m:t>)</m:t>
        </m:r>
      </m:oMath>
      <w:r>
        <w:rPr>
          <w:rFonts w:hint="eastAsia"/>
        </w:rPr>
        <w:t xml:space="preserve">，只有设置正软上限时才启用最后一项。</w:t>
      </w:r>
      <w:r>
        <w:t xml:space="preserve"> </w:t>
      </w:r>
      <w:r>
        <w:rPr>
          <w:rFonts w:hint="eastAsia"/>
        </w:rPr>
        <w:t xml:space="preserve">论文报告的产品物理路线等待均由事件时刻按统一六段定义重构，而不直接读取这些目标</w:t>
      </w:r>
      <w:r>
        <w:t xml:space="preserve"> </w:t>
      </w:r>
      <w:r>
        <w:rPr>
          <w:rFonts w:hint="eastAsia"/>
        </w:rPr>
        <w:t xml:space="preserve">辅助变量，具体定义见补充材料。</w:t>
      </w:r>
      <m:oMath>
        <m:sSub>
          <m:e>
            <m:r>
              <m:t>ε</m:t>
            </m:r>
          </m:e>
          <m:sub>
            <m:r>
              <m:t>C</m:t>
            </m:r>
          </m:sub>
        </m:sSub>
      </m:oMath>
      <w:r>
        <w:rPr>
          <w:rFonts w:hint="eastAsia"/>
        </w:rPr>
        <w:t xml:space="preserve">仅为数值等式容差。该阶段</w:t>
      </w:r>
      <w:r>
        <w:t xml:space="preserve"> </w:t>
      </w:r>
      <w:r>
        <w:rPr>
          <w:rFonts w:hint="eastAsia"/>
        </w:rPr>
        <w:t xml:space="preserve">不能在此容差之外恶化最大完工时间，也不能改变</w:t>
      </w:r>
      <m:oMath>
        <m:sSub>
          <m:e>
            <m:r>
              <m:rPr>
                <m:scr m:val="script"/>
                <m:sty m:val="p"/>
              </m:rPr>
              <m:t>D</m:t>
            </m:r>
          </m:e>
          <m:sub>
            <m:r>
              <m:rPr>
                <m:sty m:val="p"/>
              </m:rPr>
              <m:t>f</m:t>
            </m:r>
            <m:r>
              <m:rPr>
                <m:sty m:val="p"/>
              </m:rPr>
              <m:t>i</m:t>
            </m:r>
            <m:r>
              <m:rPr>
                <m:sty m:val="p"/>
              </m:rPr>
              <m:t>x</m:t>
            </m:r>
          </m:sub>
        </m:sSub>
      </m:oMath>
      <w:r>
        <w:rPr>
          <w:rFonts w:hint="eastAsia"/>
        </w:rPr>
        <w:t xml:space="preserve">中的路由和资源</w:t>
      </w:r>
      <w:r>
        <w:t xml:space="preserve"> </w:t>
      </w:r>
      <w:r>
        <w:rPr>
          <w:rFonts w:hint="eastAsia"/>
        </w:rPr>
        <w:t xml:space="preserve">次序；双夹持选择仍可调整，规范产品配对与腔室槽位在两个阶段本来就是固定输入。若</w:t>
      </w:r>
      <w:r>
        <w:t xml:space="preserve"> </w:t>
      </w:r>
      <w:r>
        <w:rPr>
          <w:rFonts w:hint="eastAsia"/>
        </w:rPr>
        <w:t xml:space="preserve">第一阶段证明最优，精修结果在相同数值容差内保持全局最优最大完工时间；第二目标</w:t>
      </w:r>
      <w:r>
        <w:t xml:space="preserve"> </w:t>
      </w:r>
      <w:r>
        <w:rPr>
          <w:rFonts w:hint="eastAsia"/>
        </w:rPr>
        <w:t xml:space="preserve">在保留的离散结构内最优。若第一阶段仅有incumbent，则只相对该incumbent保持</w:t>
      </w:r>
      <w:r>
        <w:t xml:space="preserve"> </w:t>
      </w:r>
      <w:r>
        <w:rPr>
          <w:rFonts w:hint="eastAsia"/>
        </w:rPr>
        <w:t xml:space="preserve">最大完工时间。因此，两阶段法实现目标分层，但始终优化同一套物理排程。</w:t>
      </w:r>
    </w:p>
    <w:bookmarkEnd w:id="60"/>
    <w:bookmarkStart w:id="61" w:name="模型改进及其计算含义"/>
    <w:p>
      <w:pPr>
        <w:pStyle w:val="4"/>
      </w:pPr>
      <w:r>
        <w:rPr>
          <w:rStyle w:val="SectionNumber"/>
        </w:rPr>
        <w:t xml:space="preserve">3.4</w:t>
      </w:r>
      <w:r>
        <w:tab/>
      </w:r>
      <w:r>
        <w:rPr>
          <w:rFonts w:hint="eastAsia"/>
        </w:rPr>
        <w:t xml:space="preserve">模型改进及其计算含义</w:t>
      </w:r>
    </w:p>
    <w:p>
      <w:pPr>
        <w:pStyle w:val="23"/>
      </w:pPr>
      <w:r>
        <w:rPr>
          <w:rFonts w:hint="eastAsia"/>
        </w:rPr>
        <w:t xml:space="preserve">相比既有旋转或多空间模型，本文实现四项相互关联的扩展：由稳态周期改为有限批次；</w:t>
      </w:r>
      <w:r>
        <w:t xml:space="preserve"> </w:t>
      </w:r>
      <w:r>
        <w:rPr>
          <w:rFonts w:hint="eastAsia"/>
        </w:rPr>
        <w:t xml:space="preserve">以可配置源接口把单源基础配置扩展为双源混流特化；在规范混合配方布局上联合决定</w:t>
      </w:r>
      <w:r>
        <w:t xml:space="preserve"> </w:t>
      </w:r>
      <w:r>
        <w:rPr>
          <w:rFonts w:hint="eastAsia"/>
        </w:rPr>
        <w:t xml:space="preserve">激活、清洗、假片分配、资源次序与时序；并由单一最大完工时间改为条件式排程质量</w:t>
      </w:r>
      <w:r>
        <w:t xml:space="preserve"> </w:t>
      </w:r>
      <w:r>
        <w:rPr>
          <w:rFonts w:hint="eastAsia"/>
        </w:rPr>
        <w:t xml:space="preserve">精修。本文不把规范产品配对或腔室侧面作为内生决策。计算耦合来自源拓扑、活动旋转</w:t>
      </w:r>
      <w:r>
        <w:t xml:space="preserve"> </w:t>
      </w:r>
      <w:r>
        <w:rPr>
          <w:rFonts w:hint="eastAsia"/>
        </w:rPr>
        <w:t xml:space="preserve">路线、假片复用、清洗状态、配置允许的装载锁选择及资源次序共同改变机械手冲突图。</w:t>
      </w:r>
    </w:p>
    <w:p>
      <w:pPr>
        <w:pStyle w:val="3"/>
      </w:pPr>
      <w:r>
        <w:rPr>
          <w:rFonts w:hint="eastAsia"/>
        </w:rPr>
        <w:t xml:space="preserve">模型结构也解释了求解困难。激活、epoch、假片身份、配置允许的槽位选择和成对次序</w:t>
      </w:r>
      <w:r>
        <w:t xml:space="preserve"> </w:t>
      </w:r>
      <w:r>
        <w:rPr>
          <w:rFonts w:hint="eastAsia"/>
        </w:rPr>
        <w:t xml:space="preserve">变量与稠密事件时刻网络耦合。通用效率相近的割可能主要作用于不同的数学变量角色，</w:t>
      </w:r>
      <w:r>
        <w:t xml:space="preserve"> </w:t>
      </w:r>
      <w:r>
        <w:rPr>
          <w:rFonts w:hint="eastAsia"/>
        </w:rPr>
        <w:t xml:space="preserve">这正是下一节算法采用变量角色信息的原因。</w:t>
      </w:r>
    </w:p>
    <w:bookmarkEnd w:id="61"/>
    <w:bookmarkEnd w:id="62"/>
    <w:bookmarkStart w:id="76" w:name="结构感知学习增强精确求解"/>
    <w:p>
      <w:pPr>
        <w:pStyle w:val="2"/>
      </w:pPr>
      <w:r>
        <w:rPr>
          <w:rStyle w:val="SectionNumber"/>
        </w:rPr>
        <w:t xml:space="preserve">4</w:t>
      </w:r>
      <w:r>
        <w:tab/>
      </w:r>
      <w:r>
        <w:rPr>
          <w:rFonts w:hint="eastAsia"/>
        </w:rPr>
        <w:t xml:space="preserve">结构感知学习增强精确求解</w:t>
      </w:r>
    </w:p>
    <w:bookmarkStart w:id="63" w:name="从模型结构到求解器引导"/>
    <w:p>
      <w:pPr>
        <w:pStyle w:val="4"/>
      </w:pPr>
      <w:r>
        <w:rPr>
          <w:rStyle w:val="SectionNumber"/>
        </w:rPr>
        <w:t xml:space="preserve">4.1</w:t>
      </w:r>
      <w:r>
        <w:tab/>
      </w:r>
      <w:r>
        <w:rPr>
          <w:rFonts w:hint="eastAsia"/>
        </w:rPr>
        <w:t xml:space="preserve">从模型结构到求解器引导</w:t>
      </w:r>
    </w:p>
    <w:p>
      <w:pPr>
        <w:pStyle w:val="23"/>
      </w:pPr>
      <w:r>
        <w:rPr>
          <w:rFonts w:hint="eastAsia"/>
        </w:rPr>
        <w:t xml:space="preserve">模型具有两个主要症状：高质量可行解出现较晚，通用割分数不能说明一个割主要收紧</w:t>
      </w:r>
      <w:r>
        <w:t xml:space="preserve"> </w:t>
      </w:r>
      <w:r>
        <w:rPr>
          <w:rFonts w:hint="eastAsia"/>
        </w:rPr>
        <w:t xml:space="preserve">离散设备选择、连续时刻还是二者耦合。RDMCT-HBS在两个位置提供互补引导：结构保持</w:t>
      </w:r>
      <w:r>
        <w:t xml:space="preserve"> </w:t>
      </w:r>
      <w:r>
        <w:rPr>
          <w:rFonts w:hint="eastAsia"/>
        </w:rPr>
        <w:t xml:space="preserve">二元骨架（SPBS）在</w:t>
      </w:r>
      <w:r>
        <w:t xml:space="preserve"> </w:t>
      </w:r>
      <w:r>
        <w:rPr>
          <w:rFonts w:hint="eastAsia"/>
        </w:rPr>
        <w:t xml:space="preserve">分支割前提供原始可行解，学习选择器在分离过程中提供对偶引导。SCIP始终保留原始</w:t>
      </w:r>
      <w:r>
        <w:t xml:space="preserve"> </w:t>
      </w:r>
      <w:r>
        <w:rPr>
          <w:rFonts w:hint="eastAsia"/>
        </w:rPr>
        <w:t xml:space="preserve">可行域、有效割生成和最优性证明责任。</w:t>
      </w:r>
    </w:p>
    <w:bookmarkEnd w:id="63"/>
    <w:bookmarkStart w:id="64" w:name="结构保持二元骨架初始解"/>
    <w:p>
      <w:pPr>
        <w:pStyle w:val="4"/>
      </w:pPr>
      <w:r>
        <w:rPr>
          <w:rStyle w:val="SectionNumber"/>
        </w:rPr>
        <w:t xml:space="preserve">4.2</w:t>
      </w:r>
      <w:r>
        <w:tab/>
      </w:r>
      <w:r>
        <w:rPr>
          <w:rFonts w:hint="eastAsia"/>
        </w:rPr>
        <w:t xml:space="preserve">结构保持二元骨架初始解</w:t>
      </w:r>
    </w:p>
    <w:p>
      <w:pPr>
        <w:pStyle w:val="23"/>
      </w:pPr>
      <w:r>
        <w:rPr>
          <w:rFonts w:hint="eastAsia"/>
        </w:rPr>
        <w:t xml:space="preserve">SPBS在临时可行性MIP中固定确定性的产品分配、批次启用、清洗epoch、装载锁和</w:t>
      </w:r>
      <w:r>
        <w:t xml:space="preserve"> </w:t>
      </w:r>
      <w:r>
        <w:rPr>
          <w:rFonts w:hint="eastAsia"/>
        </w:rPr>
        <w:t xml:space="preserve">部分资源次序。若一个配置未得到incumbent，则依次释放VTR、装载锁和其他次序；</w:t>
      </w:r>
      <w:r>
        <w:t xml:space="preserve"> </w:t>
      </w:r>
      <w:r>
        <w:rPr>
          <w:rFonts w:hint="eastAsia"/>
        </w:rPr>
        <w:t xml:space="preserve">连续事件时刻始终保持自由。初始解只有在完整模型中完成重构并通过完全可行性检查后</w:t>
      </w:r>
      <w:r>
        <w:t xml:space="preserve"> </w:t>
      </w:r>
      <w:r>
        <w:rPr>
          <w:rFonts w:hint="eastAsia"/>
        </w:rPr>
        <w:t xml:space="preserve">才被接收；无限制的生产模型只接收该可行解，不接收临时固定约束。</w:t>
      </w:r>
    </w:p>
    <w:p>
      <w:pPr>
        <w:pStyle w:val="3"/>
      </w:pPr>
      <w:r>
        <w:rPr>
          <w:rFonts w:hint="eastAsia"/>
        </w:rPr>
        <w:t xml:space="preserve">该初始解不同于任意变量提示。二元骨架给出详细时序模型原本需要从零搜索的设备组合</w:t>
      </w:r>
      <w:r>
        <w:t xml:space="preserve"> </w:t>
      </w:r>
      <w:r>
        <w:rPr>
          <w:rFonts w:hint="eastAsia"/>
        </w:rPr>
        <w:t xml:space="preserve">结构，而补全求解负责修复局部时序冲突。由于原始MIP仅增加可行incumbent，SPBS</w:t>
      </w:r>
      <w:r>
        <w:t xml:space="preserve"> </w:t>
      </w:r>
      <w:r>
        <w:rPr>
          <w:rFonts w:hint="eastAsia"/>
        </w:rPr>
        <w:t xml:space="preserve">不会排除更优解，也不会削弱最优性证明。</w:t>
      </w:r>
    </w:p>
    <w:p>
      <w:pPr>
        <w:pStyle w:val="3"/>
      </w:pPr>
      <w:r>
        <w:rPr>
          <w:rFonts w:hint="eastAsia"/>
        </w:rPr>
        <w:t xml:space="preserve">正式基准把SPBS排程离线预计算，并以精确LP哈希绑定、经求解器检查后再输入SCIP。PDI与求解时间</w:t>
      </w:r>
      <w:r>
        <w:t xml:space="preserve"> </w:t>
      </w:r>
      <w:r>
        <w:rPr>
          <w:rFonts w:hint="eastAsia"/>
        </w:rPr>
        <w:t xml:space="preserve">从生产求解开始计量，不包含SPBS构造及其逐级释放配置所用时间。因此，相关实验评价</w:t>
      </w:r>
      <w:r>
        <w:t xml:space="preserve"> </w:t>
      </w:r>
      <w:r>
        <w:rPr>
          <w:rFonts w:hint="eastAsia"/>
        </w:rPr>
        <w:t xml:space="preserve">的是</w:t>
      </w:r>
      <w:r>
        <w:rPr>
          <w:rFonts w:hint="eastAsia"/>
        </w:rPr>
        <w:t xml:space="preserve">“给定一个预计算且经求解器检查的SPBS输入”</w:t>
      </w:r>
      <w:r>
        <w:rPr>
          <w:rFonts w:hint="eastAsia"/>
        </w:rPr>
        <w:t xml:space="preserve">对SCIP求解窗口的影响，不是包含初始解</w:t>
      </w:r>
      <w:r>
        <w:t xml:space="preserve"> </w:t>
      </w:r>
      <w:r>
        <w:rPr>
          <w:rFonts w:hint="eastAsia"/>
        </w:rPr>
        <w:t xml:space="preserve">构造成本的端到端加速比。</w:t>
      </w:r>
    </w:p>
    <w:bookmarkEnd w:id="64"/>
    <w:bookmarkStart w:id="74" w:name="变量角色重构与层次解码"/>
    <w:p>
      <w:pPr>
        <w:pStyle w:val="4"/>
      </w:pPr>
      <w:r>
        <w:rPr>
          <w:rStyle w:val="SectionNumber"/>
        </w:rPr>
        <w:t xml:space="preserve">4.3</w:t>
      </w:r>
      <w:r>
        <w:tab/>
      </w:r>
      <w:r>
        <w:rPr>
          <w:rFonts w:hint="eastAsia"/>
        </w:rPr>
        <w:t xml:space="preserve">变量角色重构与层次解码</w:t>
      </w:r>
    </w:p>
    <w:p>
      <w:pPr>
        <w:pStyle w:val="23"/>
      </w:pPr>
      <w:r>
        <w:rPr>
          <w:rFonts w:hint="eastAsia"/>
        </w:rPr>
        <w:t xml:space="preserve">HEM使用13维通用割特征。本文依据求解器元数据，把变量分为二元、一般整数、目标</w:t>
      </w:r>
      <w:r>
        <w:t xml:space="preserve"> </w:t>
      </w:r>
      <w:r>
        <w:rPr>
          <w:rFonts w:hint="eastAsia"/>
        </w:rPr>
        <w:t xml:space="preserve">活跃连续、连续辅助和其他五类，并为割</w:t>
      </w:r>
      <m:oMath>
        <m:r>
          <m:t>i</m:t>
        </m:r>
      </m:oMath>
      <w:r>
        <w:rPr>
          <w:rFonts w:hint="eastAsia"/>
        </w:rPr>
        <w:t xml:space="preserve">定义角色</w:t>
      </w:r>
      <m:oMath>
        <m:r>
          <m:t>g</m:t>
        </m:r>
      </m:oMath>
      <w:r>
        <w:rPr>
          <w:rFonts w:hint="eastAsia"/>
        </w:rPr>
        <w:t xml:space="preserve">上的系数质量</w:t>
      </w:r>
    </w:p>
    <w:p>
      <w:pPr>
        <w:pStyle w:val="3"/>
        <w:keepNext/>
        <w:jc w:val="center"/>
      </w:pPr>
      <w:r>
        <w:drawing>
          <wp:inline>
            <wp:extent cx="2834945" cy="464845"/>
            <wp:effectExtent b="0" l="0" r="0" t="0"/>
            <wp:docPr descr="image" title="" id="66" name="Picture"/>
            <a:graphic>
              <a:graphicData uri="http://schemas.openxmlformats.org/drawingml/2006/picture">
                <pic:pic>
                  <pic:nvPicPr>
                    <pic:cNvPr descr="D:/git/git/RDMCT-A3C/.tmp/jms_cn_docx_build/assets/equation_08.png" id="67" name="Picture"/>
                    <pic:cNvPicPr>
                      <a:picLocks noChangeArrowheads="1" noChangeAspect="1"/>
                    </pic:cNvPicPr>
                  </pic:nvPicPr>
                  <pic:blipFill>
                    <a:blip r:embed="rId65"/>
                    <a:stretch>
                      <a:fillRect/>
                    </a:stretch>
                  </pic:blipFill>
                  <pic:spPr bwMode="auto">
                    <a:xfrm>
                      <a:off x="0" y="0"/>
                      <a:ext cx="2834945" cy="464845"/>
                    </a:xfrm>
                    <a:prstGeom prst="rect">
                      <a:avLst/>
                    </a:prstGeom>
                    <a:noFill/>
                    <a:ln w="9525">
                      <a:noFill/>
                      <a:headEnd/>
                      <a:tailEnd/>
                    </a:ln>
                  </pic:spPr>
                </pic:pic>
              </a:graphicData>
            </a:graphic>
          </wp:inline>
        </w:drawing>
      </w:r>
    </w:p>
    <w:p>
      <w:pPr>
        <w:pStyle w:val="3"/>
      </w:pPr>
      <w:r>
        <w:rPr>
          <w:rFonts w:hint="eastAsia"/>
        </w:rPr>
        <w:t xml:space="preserve">新增十项特征依次为五类系数绝对质量占比、有限上下界变量的系数质量占比、正系数</w:t>
      </w:r>
      <w:r>
        <w:t xml:space="preserve"> </w:t>
      </w:r>
      <w:r>
        <w:rPr>
          <w:rFonts w:hint="eastAsia"/>
        </w:rPr>
        <w:t xml:space="preserve">绝对质量占比、离散–连续质量耦合、主导类别质量占比和归一化类别熵；它们把13维</w:t>
      </w:r>
      <w:r>
        <w:t xml:space="preserve"> </w:t>
      </w:r>
      <w:r>
        <w:rPr>
          <w:rFonts w:hint="eastAsia"/>
        </w:rPr>
        <w:t xml:space="preserve">通用表示扩展到23维。这些特征仅依赖SCIP变量类型、目标系数、上下界和割系数，不</w:t>
      </w:r>
      <w:r>
        <w:t xml:space="preserve"> </w:t>
      </w:r>
      <w:r>
        <w:rPr>
          <w:rFonts w:hint="eastAsia"/>
        </w:rPr>
        <w:t xml:space="preserve">读取变量名称或设备标签。因而它们刻画的是可迁移的数学变量角色，而不能单独识别</w:t>
      </w:r>
      <w:r>
        <w:t xml:space="preserve"> </w:t>
      </w:r>
      <w:r>
        <w:rPr>
          <w:rFonts w:hint="eastAsia"/>
        </w:rPr>
        <w:t xml:space="preserve">某个具体机械手、腔室或工序。</w:t>
      </w:r>
    </w:p>
    <w:p>
      <w:pPr>
        <w:pStyle w:val="3"/>
      </w:pPr>
      <w:r>
        <w:rPr>
          <w:rFonts w:hint="eastAsia"/>
        </w:rPr>
        <w:t xml:space="preserve">高层策略决定割预算，低层指针策略产生有序候选集</w:t>
      </w:r>
      <w:r>
        <w:t xml:space="preserve">(Vinyals et al. 2015)</w:t>
      </w:r>
      <w:r>
        <w:t xml:space="preserve">。</w:t>
      </w:r>
      <w:r>
        <w:t xml:space="preserve"> </w:t>
      </w:r>
      <w:r>
        <w:rPr>
          <w:rFonts w:hint="eastAsia"/>
        </w:rPr>
        <w:t xml:space="preserve">选取</w:t>
      </w:r>
      <m:oMath>
        <m:r>
          <m:t>k</m:t>
        </m:r>
      </m:oMath>
      <w:r>
        <w:rPr>
          <w:rFonts w:hint="eastAsia"/>
        </w:rPr>
        <w:t xml:space="preserve">个割时，联合概率为</w:t>
      </w:r>
    </w:p>
    <w:p>
      <w:pPr>
        <w:pStyle w:val="3"/>
        <w:keepNext/>
        <w:jc w:val="center"/>
      </w:pPr>
      <w:r>
        <w:drawing>
          <wp:inline>
            <wp:extent cx="3571970" cy="510718"/>
            <wp:effectExtent b="0" l="0" r="0" t="0"/>
            <wp:docPr descr="image" title="" id="69" name="Picture"/>
            <a:graphic>
              <a:graphicData uri="http://schemas.openxmlformats.org/drawingml/2006/picture">
                <pic:pic>
                  <pic:nvPicPr>
                    <pic:cNvPr descr="D:/git/git/RDMCT-A3C/.tmp/jms_cn_docx_build/assets/equation_09.png" id="70" name="Picture"/>
                    <pic:cNvPicPr>
                      <a:picLocks noChangeArrowheads="1" noChangeAspect="1"/>
                    </pic:cNvPicPr>
                  </pic:nvPicPr>
                  <pic:blipFill>
                    <a:blip r:embed="rId68"/>
                    <a:stretch>
                      <a:fillRect/>
                    </a:stretch>
                  </pic:blipFill>
                  <pic:spPr bwMode="auto">
                    <a:xfrm>
                      <a:off x="0" y="0"/>
                      <a:ext cx="3571970" cy="510718"/>
                    </a:xfrm>
                    <a:prstGeom prst="rect">
                      <a:avLst/>
                    </a:prstGeom>
                    <a:noFill/>
                    <a:ln w="9525">
                      <a:noFill/>
                      <a:headEnd/>
                      <a:tailEnd/>
                    </a:ln>
                  </pic:spPr>
                </pic:pic>
              </a:graphicData>
            </a:graphic>
          </wp:inline>
        </w:drawing>
      </w:r>
    </w:p>
    <w:p>
      <w:pPr>
        <w:pStyle w:val="3"/>
      </w:pPr>
      <w:r>
        <w:rPr>
          <w:rFonts w:hint="eastAsia"/>
        </w:rPr>
        <w:t xml:space="preserve">两个worker并行采集独立SCIP轨迹，随后由中央使用批数据同步更新共享策略网络。</w:t>
      </w:r>
      <w:r>
        <w:t xml:space="preserve"> </w:t>
      </w:r>
      <w:r>
        <w:rPr>
          <w:rFonts w:hint="eastAsia"/>
        </w:rPr>
        <w:t xml:space="preserve">以</w:t>
      </w:r>
      <m:oMath>
        <m:r>
          <m:t>R</m:t>
        </m:r>
        <m:r>
          <m:rPr>
            <m:sty m:val="p"/>
          </m:rPr>
          <m:t>=</m:t>
        </m:r>
        <m:r>
          <m:rPr>
            <m:sty m:val="p"/>
          </m:rPr>
          <m:t>−</m:t>
        </m:r>
        <m:r>
          <m:rPr>
            <m:sty m:val="p"/>
          </m:rPr>
          <m:t>P</m:t>
        </m:r>
        <m:r>
          <m:rPr>
            <m:sty m:val="p"/>
          </m:rPr>
          <m:t>D</m:t>
        </m:r>
        <m:r>
          <m:rPr>
            <m:sty m:val="p"/>
          </m:rPr>
          <m:t>I</m:t>
        </m:r>
      </m:oMath>
      <w:r>
        <w:rPr>
          <w:rFonts w:hint="eastAsia"/>
        </w:rPr>
        <w:t xml:space="preserve">为回报，并采用</w:t>
      </w:r>
    </w:p>
    <w:p>
      <w:pPr>
        <w:pStyle w:val="3"/>
        <w:keepNext/>
        <w:jc w:val="center"/>
      </w:pPr>
      <w:r>
        <w:drawing>
          <wp:inline>
            <wp:extent cx="4382391" cy="639162"/>
            <wp:effectExtent b="0" l="0" r="0" t="0"/>
            <wp:docPr descr="image" title="" id="72" name="Picture"/>
            <a:graphic>
              <a:graphicData uri="http://schemas.openxmlformats.org/drawingml/2006/picture">
                <pic:pic>
                  <pic:nvPicPr>
                    <pic:cNvPr descr="D:/git/git/RDMCT-A3C/.tmp/jms_cn_docx_build/assets/equation_10.png" id="73" name="Picture"/>
                    <pic:cNvPicPr>
                      <a:picLocks noChangeArrowheads="1" noChangeAspect="1"/>
                    </pic:cNvPicPr>
                  </pic:nvPicPr>
                  <pic:blipFill>
                    <a:blip r:embed="rId71"/>
                    <a:stretch>
                      <a:fillRect/>
                    </a:stretch>
                  </pic:blipFill>
                  <pic:spPr bwMode="auto">
                    <a:xfrm>
                      <a:off x="0" y="0"/>
                      <a:ext cx="4382391" cy="639162"/>
                    </a:xfrm>
                    <a:prstGeom prst="rect">
                      <a:avLst/>
                    </a:prstGeom>
                    <a:noFill/>
                    <a:ln w="9525">
                      <a:noFill/>
                      <a:headEnd/>
                      <a:tailEnd/>
                    </a:ln>
                  </pic:spPr>
                </pic:pic>
              </a:graphicData>
            </a:graphic>
          </wp:inline>
        </w:drawing>
      </w:r>
    </w:p>
    <w:p>
      <w:pPr>
        <w:pStyle w:val="3"/>
      </w:pPr>
      <w:r>
        <w:rPr>
          <w:rFonts w:hint="eastAsia"/>
        </w:rPr>
        <w:t xml:space="preserve">所示的指数移动平均回报基线。该骨干是层次REINFORCE</w:t>
      </w:r>
      <w:r>
        <w:t xml:space="preserve">(Williams 1992)</w:t>
      </w:r>
      <w:r>
        <w:rPr>
          <w:rFonts w:hint="eastAsia"/>
        </w:rPr>
        <w:t xml:space="preserve">，</w:t>
      </w:r>
      <w:r>
        <w:t xml:space="preserve"> </w:t>
      </w:r>
      <w:r>
        <w:rPr>
          <w:rFonts w:hint="eastAsia"/>
        </w:rPr>
        <w:t xml:space="preserve">其并行轨迹采集受A3C</w:t>
      </w:r>
      <w:r>
        <w:t xml:space="preserve">(Mnih et al. 2016)</w:t>
      </w:r>
      <w:r>
        <w:rPr>
          <w:rFonts w:hint="eastAsia"/>
        </w:rPr>
        <w:t xml:space="preserve">启发；实现既不含独立学习的critic，也不进行</w:t>
      </w:r>
      <w:r>
        <w:t xml:space="preserve"> </w:t>
      </w:r>
      <w:r>
        <w:rPr>
          <w:rFonts w:hint="eastAsia"/>
        </w:rPr>
        <w:t xml:space="preserve">异步参数更新，因而不称为异步演员–评论家算法。训练集含五个实例和五个随机种子。</w:t>
      </w:r>
      <w:r>
        <w:t xml:space="preserve"> </w:t>
      </w:r>
      <w:r>
        <w:rPr>
          <w:rFonts w:hint="eastAsia"/>
        </w:rPr>
        <w:t xml:space="preserve">每个种子使用两个worker，每个epoch收集八条30</w:t>
      </w:r>
      <w:r>
        <w:t xml:space="preserve"> s/1024 </w:t>
      </w:r>
      <w:r>
        <w:rPr>
          <w:rFonts w:hint="eastAsia"/>
        </w:rPr>
        <w:t xml:space="preserve">MB轨迹，共训练60个epoch；</w:t>
      </w:r>
      <w:r>
        <w:t xml:space="preserve"> </w:t>
      </w:r>
      <w:r>
        <w:rPr>
          <w:rFonts w:hint="eastAsia"/>
        </w:rPr>
        <w:t xml:space="preserve">低层和高层策略的Adam学习率分别为</w:t>
      </w:r>
      <m:oMath>
        <m:sSup>
          <m:e>
            <m:r>
              <m:t>10</m:t>
            </m:r>
          </m:e>
          <m:sup>
            <m:r>
              <m:rPr>
                <m:sty m:val="p"/>
              </m:rPr>
              <m:t>−</m:t>
            </m:r>
            <m:r>
              <m:t>4</m:t>
            </m:r>
          </m:sup>
        </m:sSup>
      </m:oMath>
      <w:r>
        <w:rPr>
          <w:rFonts w:hint="eastAsia"/>
        </w:rPr>
        <w:t xml:space="preserve">和</w:t>
      </w:r>
      <m:oMath>
        <m:r>
          <m:t>5</m:t>
        </m:r>
        <m:r>
          <m:rPr>
            <m:sty m:val="p"/>
          </m:rPr>
          <m:t>×</m:t>
        </m:r>
        <m:sSup>
          <m:e>
            <m:r>
              <m:t>10</m:t>
            </m:r>
          </m:e>
          <m:sup>
            <m:r>
              <m:rPr>
                <m:sty m:val="p"/>
              </m:rPr>
              <m:t>−</m:t>
            </m:r>
            <m:r>
              <m:t>4</m:t>
            </m:r>
          </m:sup>
        </m:sSup>
      </m:oMath>
      <w:r>
        <w:rPr>
          <w:rFonts w:hint="eastAsia"/>
        </w:rPr>
        <w:t xml:space="preserve">。每个模型族与种子的</w:t>
      </w:r>
      <w:r>
        <w:t xml:space="preserve"> </w:t>
      </w:r>
      <w:r>
        <w:rPr>
          <w:rFonts w:hint="eastAsia"/>
        </w:rPr>
        <w:t xml:space="preserve">评估均使用预先规定的终止epoch</w:t>
      </w:r>
      <w:r>
        <w:t xml:space="preserve"> </w:t>
      </w:r>
      <w:r>
        <w:rPr>
          <w:rFonts w:hint="eastAsia"/>
        </w:rPr>
        <w:t xml:space="preserve">60参数，每个方法–种子组合只有一个合格参数集；资格仅依据训练路径、</w:t>
      </w:r>
      <w:r>
        <w:t xml:space="preserve"> </w:t>
      </w:r>
      <w:r>
        <w:rPr>
          <w:rFonts w:hint="eastAsia"/>
        </w:rPr>
        <w:t xml:space="preserve">种子、PDI回报、特征维数和epoch检查，不使用基准集或测试集选择参数。</w:t>
      </w:r>
      <w:r>
        <w:t xml:space="preserve"> </w:t>
      </w:r>
      <w:r>
        <w:rPr>
          <w:rFonts w:hint="eastAsia"/>
        </w:rPr>
        <w:t xml:space="preserve">推理时，有限宽束搜索保留多个部分序列</w:t>
      </w:r>
      <w:r>
        <w:t xml:space="preserve">(Choo et al. 2022)</w:t>
      </w:r>
      <w:r>
        <w:rPr>
          <w:rFonts w:hint="eastAsia"/>
        </w:rPr>
        <w:t xml:space="preserve">，</w:t>
      </w:r>
      <w:r>
        <w:t xml:space="preserve"> </w:t>
      </w:r>
      <w:r>
        <w:rPr>
          <w:rFonts w:hint="eastAsia"/>
        </w:rPr>
        <w:t xml:space="preserve">角色次模补全再平衡策略分数、即时割质量、角色覆盖和候选池代表性</w:t>
      </w:r>
      <w:r>
        <w:t xml:space="preserve"> </w:t>
      </w:r>
      <w:r>
        <w:t xml:space="preserve">(Nemhauser et al. 1978)</w:t>
      </w:r>
      <w:r>
        <w:rPr>
          <w:rFonts w:hint="eastAsia"/>
        </w:rPr>
        <w:t xml:space="preserve">。三者在设计上互补：特征重构提供角色差异，束搜索</w:t>
      </w:r>
      <w:r>
        <w:t xml:space="preserve"> </w:t>
      </w:r>
      <w:r>
        <w:rPr>
          <w:rFonts w:hint="eastAsia"/>
        </w:rPr>
        <w:t xml:space="preserve">保留替代顺序，补全抑制最终集合集中于单一变量角色。次模近似性质仅适用于锚点和</w:t>
      </w:r>
      <w:r>
        <w:t xml:space="preserve"> </w:t>
      </w:r>
      <w:r>
        <w:rPr>
          <w:rFonts w:hint="eastAsia"/>
        </w:rPr>
        <w:t xml:space="preserve">候选池给定后的剩余单调次模补全问题，不是全局割选择性能保证。</w:t>
      </w:r>
    </w:p>
    <w:bookmarkEnd w:id="74"/>
    <w:bookmarkStart w:id="75" w:name="精确性"/>
    <w:p>
      <w:pPr>
        <w:pStyle w:val="4"/>
      </w:pPr>
      <w:r>
        <w:rPr>
          <w:rStyle w:val="SectionNumber"/>
        </w:rPr>
        <w:t xml:space="preserve">4.4</w:t>
      </w:r>
      <w:r>
        <w:tab/>
      </w:r>
      <w:r>
        <w:rPr>
          <w:rFonts w:hint="eastAsia"/>
        </w:rPr>
        <w:t xml:space="preserve">精确性</w:t>
      </w:r>
    </w:p>
    <w:p>
      <w:pPr>
        <w:pStyle w:val="23"/>
      </w:pPr>
      <w:r>
        <w:rPr>
          <w:rFonts w:hint="eastAsia"/>
        </w:rPr>
        <w:t xml:space="preserve">RDMCT-HBS只排序SCIP已经生成并确认有效的候选割</w:t>
      </w:r>
      <w:r>
        <w:t xml:space="preserve"> </w:t>
      </w:r>
      <w:r>
        <w:t xml:space="preserve">(Achterberg 2009; Bestuzheva et al. 2023)</w:t>
      </w:r>
      <w:r>
        <w:rPr>
          <w:rFonts w:hint="eastAsia"/>
        </w:rPr>
        <w:t xml:space="preserve">，SPBS只添加经求解器检查的可行解。</w:t>
      </w:r>
      <w:r>
        <w:t xml:space="preserve"> </w:t>
      </w:r>
      <w:r>
        <w:rPr>
          <w:rFonts w:hint="eastAsia"/>
        </w:rPr>
        <w:t xml:space="preserve">两者均不改变目标、约束、整数性或下界逻辑。因此，算法以改善限时轨迹为目标，同时保持</w:t>
      </w:r>
      <w:r>
        <w:t xml:space="preserve"> </w:t>
      </w:r>
      <w:r>
        <w:rPr>
          <w:rFonts w:hint="eastAsia"/>
        </w:rPr>
        <w:t xml:space="preserve">与默认SCIP相同的可行性和最优性含义。补充材料给出完整复现协议。</w:t>
      </w:r>
    </w:p>
    <w:bookmarkEnd w:id="75"/>
    <w:bookmarkEnd w:id="76"/>
    <w:bookmarkStart w:id="110" w:name="计算结果与分析"/>
    <w:p>
      <w:pPr>
        <w:pStyle w:val="2"/>
      </w:pPr>
      <w:r>
        <w:rPr>
          <w:rStyle w:val="SectionNumber"/>
        </w:rPr>
        <w:t xml:space="preserve">5</w:t>
      </w:r>
      <w:r>
        <w:tab/>
      </w:r>
      <w:r>
        <w:rPr>
          <w:rFonts w:hint="eastAsia"/>
        </w:rPr>
        <w:t xml:space="preserve">计算结果与分析</w:t>
      </w:r>
    </w:p>
    <w:bookmarkStart w:id="77" w:name="证据结构"/>
    <w:p>
      <w:pPr>
        <w:pStyle w:val="4"/>
      </w:pPr>
      <w:r>
        <w:rPr>
          <w:rStyle w:val="SectionNumber"/>
        </w:rPr>
        <w:t xml:space="preserve">5.1</w:t>
      </w:r>
      <w:r>
        <w:tab/>
      </w:r>
      <w:r>
        <w:rPr>
          <w:rFonts w:hint="eastAsia"/>
        </w:rPr>
        <w:t xml:space="preserve">证据结构</w:t>
      </w:r>
    </w:p>
    <w:p>
      <w:pPr>
        <w:pStyle w:val="23"/>
      </w:pPr>
      <w:r>
        <w:rPr>
          <w:rFonts w:hint="eastAsia"/>
        </w:rPr>
        <w:t xml:space="preserve">七组证据分别回答不同问题：六个同规模工艺构型比较纯</w:t>
      </w:r>
      <m:oMath>
        <m:r>
          <m:t>4</m:t>
        </m:r>
        <m:r>
          <m:rPr>
            <m:sty m:val="p"/>
          </m:rPr>
          <m:t>×</m:t>
        </m:r>
        <m:r>
          <m:t>1</m:t>
        </m:r>
      </m:oMath>
      <w:r>
        <w:rPr>
          <w:rFonts w:hint="eastAsia"/>
        </w:rPr>
        <w:t xml:space="preserve">、纯</w:t>
      </w:r>
      <m:oMath>
        <m:r>
          <m:t>2</m:t>
        </m:r>
        <m:r>
          <m:rPr>
            <m:sty m:val="p"/>
          </m:rPr>
          <m:t>×</m:t>
        </m:r>
        <m:r>
          <m:t>2</m:t>
        </m:r>
      </m:oMath>
      <w:r>
        <w:rPr>
          <w:rFonts w:hint="eastAsia"/>
        </w:rPr>
        <w:t xml:space="preserve">与</w:t>
      </w:r>
      <m:oMath>
        <m:r>
          <m:t>1</m:t>
        </m:r>
        <m:r>
          <m:rPr>
            <m:sty m:val="p"/>
          </m:rPr>
          <m:t>:</m:t>
        </m:r>
        <m:r>
          <m:t>1</m:t>
        </m:r>
      </m:oMath>
      <w:r>
        <w:rPr>
          <w:rFonts w:hint="eastAsia"/>
        </w:rPr>
        <w:t xml:space="preserve">混跑的精确效率；2700次标称矩阵</w:t>
      </w:r>
      <w:r>
        <w:t xml:space="preserve"> </w:t>
      </w:r>
      <w:r>
        <w:rPr>
          <w:rFonts w:hint="eastAsia"/>
        </w:rPr>
        <w:t xml:space="preserve">比较七种方法；960次配对实验评价预计算SPBS输入；1500次实验比较三种同总预算</w:t>
      </w:r>
      <w:r>
        <w:t xml:space="preserve"> </w:t>
      </w:r>
      <w:r>
        <w:rPr>
          <w:rFonts w:hint="eastAsia"/>
        </w:rPr>
        <w:t xml:space="preserve">工作流，而不把差异解释为纯粹的第二阶段因果效应；300次析因实验描述制造因素与</w:t>
      </w:r>
      <w:r>
        <w:t xml:space="preserve"> </w:t>
      </w:r>
      <w:r>
        <w:rPr>
          <w:rFonts w:hint="eastAsia"/>
        </w:rPr>
        <w:t xml:space="preserve">难度的关联；80次单因素实验检验参数扰动下的可运行性；729次实验在9个</w:t>
      </w:r>
      <w:r>
        <w:t xml:space="preserve"> </w:t>
      </w:r>
      <w:r>
        <w:rPr>
          <w:rFonts w:hint="eastAsia"/>
        </w:rPr>
        <w:t xml:space="preserve">40–64片分布偏移构型上检验更大规模的可行排程交付。支撑本文结论的全部</w:t>
      </w:r>
      <w:r>
        <w:t xml:space="preserve"> </w:t>
      </w:r>
      <w:r>
        <w:rPr>
          <w:rFonts w:hint="eastAsia"/>
        </w:rPr>
        <w:t xml:space="preserve">保存incumbent均通过SCIP检查以及针对同一序列化MILP的后处理可行性检查。</w:t>
      </w:r>
    </w:p>
    <w:p>
      <w:pPr>
        <w:pStyle w:val="3"/>
      </w:pPr>
      <w:r>
        <w:rPr>
          <w:rFonts w:hint="eastAsia"/>
        </w:rPr>
        <w:t xml:space="preserve">主要指标PDI是SCIP归一化原始–对偶gap在共同求解时域上的积分，数值越低越好；</w:t>
      </w:r>
      <w:r>
        <w:t xml:space="preserve"> </w:t>
      </w:r>
      <w:r>
        <w:rPr>
          <w:rFonts w:hint="eastAsia"/>
        </w:rPr>
        <w:t xml:space="preserve">终止gap是停止时的归一化界差。600</w:t>
      </w:r>
      <w:r>
        <w:t xml:space="preserve"> </w:t>
      </w:r>
      <w:r>
        <w:rPr>
          <w:rFonts w:hint="eastAsia"/>
        </w:rPr>
        <w:t xml:space="preserve">s两阶段工作流把540</w:t>
      </w:r>
      <w:r>
        <w:t xml:space="preserve"> </w:t>
      </w:r>
      <w:r>
        <w:rPr>
          <w:rFonts w:hint="eastAsia"/>
        </w:rPr>
        <w:t xml:space="preserve">s分配给主求解，并为条件式</w:t>
      </w:r>
      <w:r>
        <w:t xml:space="preserve"> </w:t>
      </w:r>
      <w:r>
        <w:rPr>
          <w:rFonts w:hint="eastAsia"/>
        </w:rPr>
        <w:t xml:space="preserve">精修保留至多60</w:t>
      </w:r>
      <w:r>
        <w:t xml:space="preserve"> </w:t>
      </w:r>
      <w:r>
        <w:rPr>
          <w:rFonts w:hint="eastAsia"/>
        </w:rPr>
        <w:t xml:space="preserve">s；单阶段对照把全部600</w:t>
      </w:r>
      <w:r>
        <w:t xml:space="preserve"> </w:t>
      </w:r>
      <w:r>
        <w:rPr>
          <w:rFonts w:hint="eastAsia"/>
        </w:rPr>
        <w:t xml:space="preserve">s用于主求解。报告的求解时间是SCIP记录的</w:t>
      </w:r>
      <w:r>
        <w:t xml:space="preserve"> </w:t>
      </w:r>
      <w:r>
        <w:rPr>
          <w:rFonts w:hint="eastAsia"/>
        </w:rPr>
        <w:t xml:space="preserve">主求解与条件式精修求解时间之和；模型装载、学习参数装载、解序列化、实例构造和离线</w:t>
      </w:r>
      <w:r>
        <w:t xml:space="preserve"> </w:t>
      </w:r>
      <w:r>
        <w:rPr>
          <w:rFonts w:hint="eastAsia"/>
        </w:rPr>
        <w:t xml:space="preserve">SPBS构造均不计入。制造实例是推断单位：先在每个</w:t>
      </w:r>
      <w:r>
        <w:t xml:space="preserve"> </w:t>
      </w:r>
      <w:r>
        <w:rPr>
          <w:rFonts w:hint="eastAsia"/>
        </w:rPr>
        <w:t xml:space="preserve">实例–方法或实例–工作流内平均求解器与训练随机重复，再对同一实例的差值计算非参数</w:t>
      </w:r>
      <w:r>
        <w:t xml:space="preserve"> </w:t>
      </w:r>
      <w:r>
        <w:t xml:space="preserve">95% </w:t>
      </w:r>
      <w:r>
        <w:rPr>
          <w:rFonts w:hint="eastAsia"/>
        </w:rPr>
        <w:t xml:space="preserve">bootstrap区间和双侧Wilcoxon符号秩检验，并在预设分析族内作Holm校正；限时运行</w:t>
      </w:r>
      <w:r>
        <w:t xml:space="preserve"> </w:t>
      </w:r>
      <w:r>
        <w:rPr>
          <w:rFonts w:hint="eastAsia"/>
        </w:rPr>
        <w:t xml:space="preserve">保留在汇总中。该流程避免把随机种子误作独立制造证据</w:t>
      </w:r>
      <w:r>
        <w:t xml:space="preserve">(Gleixner et al. 2021)</w:t>
      </w:r>
      <w:r>
        <w:t xml:space="preserve">。</w:t>
      </w:r>
      <w:r>
        <w:t xml:space="preserve"> </w:t>
      </w:r>
      <w:r>
        <w:rPr>
          <w:rFonts w:hint="eastAsia"/>
        </w:rPr>
        <w:t xml:space="preserve">完整预算、环境、超参数、矩阵定义和可行性检查容差见补充材料。</w:t>
      </w:r>
    </w:p>
    <w:bookmarkEnd w:id="77"/>
    <w:bookmarkStart w:id="82" w:name="同规模工艺对比揭示无配方约束时的模式效率"/>
    <w:p>
      <w:pPr>
        <w:pStyle w:val="4"/>
      </w:pPr>
      <w:r>
        <w:rPr>
          <w:rStyle w:val="SectionNumber"/>
        </w:rPr>
        <w:t xml:space="preserve">5.2</w:t>
      </w:r>
      <w:r>
        <w:tab/>
      </w:r>
      <w:r>
        <w:rPr>
          <w:rFonts w:hint="eastAsia"/>
        </w:rPr>
        <w:t xml:space="preserve">同规模工艺对比揭示无配方约束时的模式效率</w:t>
      </w:r>
    </w:p>
    <w:p>
      <w:pPr>
        <w:pStyle w:val="23"/>
      </w:pPr>
      <w:r>
        <w:rPr>
          <w:rFonts w:hint="eastAsia"/>
        </w:rPr>
        <w:t xml:space="preserve">为把工艺模式本身与批量规模、设备参数及求解随机性分离，图</w:t>
      </w:r>
      <w:r>
        <w:t xml:space="preserve"> </w:t>
      </w:r>
      <w:hyperlink w:anchor="fig:val-zh-new">
        <w:r>
          <w:rPr>
            <w:rStyle w:val="20"/>
          </w:rPr>
          <w:t xml:space="preserve">4</w:t>
        </w:r>
      </w:hyperlink>
      <w:r>
        <w:t xml:space="preserve"> </w:t>
      </w:r>
      <w:r>
        <w:rPr>
          <w:rFonts w:hint="eastAsia"/>
        </w:rPr>
        <w:t xml:space="preserve">在8片和16片两个相同批量上比较纯</w:t>
      </w:r>
      <m:oMath>
        <m:r>
          <m:t>4</m:t>
        </m:r>
        <m:r>
          <m:rPr>
            <m:sty m:val="p"/>
          </m:rPr>
          <m:t>×</m:t>
        </m:r>
        <m:r>
          <m:t>1</m:t>
        </m:r>
      </m:oMath>
      <w:r>
        <w:rPr>
          <w:rFonts w:hint="eastAsia"/>
        </w:rPr>
        <w:t xml:space="preserve">、纯</w:t>
      </w:r>
      <m:oMath>
        <m:r>
          <m:t>2</m:t>
        </m:r>
        <m:r>
          <m:rPr>
            <m:sty m:val="p"/>
          </m:rPr>
          <m:t>×</m:t>
        </m:r>
        <m:r>
          <m:t>2</m:t>
        </m:r>
      </m:oMath>
      <w:r>
        <w:rPr>
          <w:rFonts w:hint="eastAsia"/>
        </w:rPr>
        <w:t xml:space="preserve">与</w:t>
      </w:r>
      <m:oMath>
        <m:r>
          <m:t>1</m:t>
        </m:r>
        <m:r>
          <m:rPr>
            <m:sty m:val="p"/>
          </m:rPr>
          <m:t>:</m:t>
        </m:r>
        <m:r>
          <m:t>1</m:t>
        </m:r>
      </m:oMath>
      <w:r>
        <w:rPr>
          <w:rFonts w:hint="eastAsia"/>
        </w:rPr>
        <w:t xml:space="preserve">混跑。</w:t>
      </w:r>
      <w:r>
        <w:t xml:space="preserve"> </w:t>
      </w:r>
      <w:r>
        <w:rPr>
          <w:rFonts w:hint="eastAsia"/>
        </w:rPr>
        <w:t xml:space="preserve">六个模式–规模构型采用相同设备拓扑、搬运与清洗参数、标称加工尺度</w:t>
      </w:r>
      <w:r>
        <w:t xml:space="preserve"> </w:t>
      </w:r>
      <w:r>
        <w:rPr>
          <w:rFonts w:hint="eastAsia"/>
        </w:rPr>
        <w:t xml:space="preserve">（</w:t>
      </w:r>
      <w:r>
        <w:rPr>
          <w:rStyle w:val="37"/>
        </w:rPr>
        <w:t xml:space="preserve">proc100</w:t>
      </w:r>
      <w:r>
        <w:rPr>
          <w:rFonts w:hint="eastAsia"/>
        </w:rPr>
        <w:t xml:space="preserve">）以及600</w:t>
      </w:r>
      <w:r>
        <w:t xml:space="preserve"> </w:t>
      </w:r>
      <w:r>
        <w:rPr>
          <w:rFonts w:hint="eastAsia"/>
        </w:rPr>
        <w:t xml:space="preserve">s求解预算；除工艺模式组成外，其余实例生成参数保持一致。</w:t>
      </w:r>
      <w:r>
        <w:t xml:space="preserve"> </w:t>
      </w:r>
      <w:r>
        <w:rPr>
          <w:rFonts w:hint="eastAsia"/>
        </w:rPr>
        <w:t xml:space="preserve">每个构型包含5个求解器种子与5个训练种子的完整交叉，共25次RDMCT-HBS运行，</w:t>
      </w:r>
      <w:r>
        <w:t xml:space="preserve"> </w:t>
      </w:r>
      <w:r>
        <w:rPr>
          <w:rFonts w:hint="eastAsia"/>
        </w:rPr>
        <w:t xml:space="preserve">六个构型合计150次。全部运行的两阶段求解均达到零gap，同一构型的最优目标一致，</w:t>
      </w:r>
      <w:r>
        <w:t xml:space="preserve"> </w:t>
      </w:r>
      <w:r>
        <w:rPr>
          <w:rFonts w:hint="eastAsia"/>
        </w:rPr>
        <w:t xml:space="preserve">保存解也通过SCIP与针对同一序列化MILP的后处理可行性检查。</w:t>
      </w:r>
    </w:p>
    <w:bookmarkStart w:id="81" w:name="fig:val-zh-new"/>
    <w:p>
      <w:pPr>
        <w:pStyle w:val="36"/>
        <w:keepNext/>
        <w:jc w:val="center"/>
      </w:pPr>
      <w:r>
        <w:drawing>
          <wp:inline>
            <wp:extent cx="5334000" cy="2480930"/>
            <wp:effectExtent b="0" l="0" r="0" t="0"/>
            <wp:docPr descr="" title="" id="79" name="Picture"/>
            <a:graphic>
              <a:graphicData uri="http://schemas.openxmlformats.org/drawingml/2006/picture">
                <pic:pic>
                  <pic:nvPicPr>
                    <pic:cNvPr descr="D:/git/git/RDMCT-A3C/.tmp/jms_cn_docx_build/assets/figure_04.png" id="80" name="Picture"/>
                    <pic:cNvPicPr>
                      <a:picLocks noChangeArrowheads="1" noChangeAspect="1"/>
                    </pic:cNvPicPr>
                  </pic:nvPicPr>
                  <pic:blipFill>
                    <a:blip r:embed="rId78"/>
                    <a:stretch>
                      <a:fillRect/>
                    </a:stretch>
                  </pic:blipFill>
                  <pic:spPr bwMode="auto">
                    <a:xfrm>
                      <a:off x="0" y="0"/>
                      <a:ext cx="5334000" cy="2480930"/>
                    </a:xfrm>
                    <a:prstGeom prst="rect">
                      <a:avLst/>
                    </a:prstGeom>
                    <a:noFill/>
                    <a:ln w="9525">
                      <a:noFill/>
                      <a:headEnd/>
                      <a:tailEnd/>
                    </a:ln>
                  </pic:spPr>
                </pic:pic>
              </a:graphicData>
            </a:graphic>
          </wp:inline>
        </w:drawing>
      </w:r>
    </w:p>
    <w:p>
      <w:pPr>
        <w:pStyle w:val="34"/>
        <w:jc w:val="center"/>
      </w:pPr>
      <w:r>
        <w:t>图 4. </w:t>
      </w:r>
      <w:r>
        <w:rPr>
          <w:rFonts w:hint="eastAsia"/>
        </w:rPr>
        <w:t xml:space="preserve">实验1：同晶圆数下的工艺模式效率比较。a，精确最优最大完工时间</w:t>
      </w:r>
      <m:oMath>
        <m:sSub>
          <m:e>
            <m:r>
              <m:t>C</m:t>
            </m:r>
          </m:e>
          <m:sub>
            <m:r>
              <m:rPr>
                <m:sty m:val="p"/>
              </m:rPr>
              <m:t>max</m:t>
            </m:r>
          </m:sub>
        </m:sSub>
      </m:oMath>
      <w:r>
        <w:rPr>
          <w:rFonts w:hint="eastAsia"/>
        </w:rPr>
        <w:t xml:space="preserve">；</w:t>
      </w:r>
      <w:r>
        <w:t xml:space="preserve"> </w:t>
      </w:r>
      <w:r>
        <w:rPr>
          <w:rFonts w:hint="eastAsia"/>
        </w:rPr>
        <w:t xml:space="preserve">b，按</w:t>
      </w:r>
      <m:oMath>
        <m:r>
          <m:t>3600</m:t>
        </m:r>
        <m:r>
          <m:t>n</m:t>
        </m:r>
        <m:r>
          <m:rPr>
            <m:sty m:val="p"/>
          </m:rPr>
          <m:t>/</m:t>
        </m:r>
        <m:sSub>
          <m:e>
            <m:r>
              <m:t>C</m:t>
            </m:r>
          </m:e>
          <m:sub>
            <m:r>
              <m:rPr>
                <m:sty m:val="p"/>
              </m:rPr>
              <m:t>max</m:t>
            </m:r>
          </m:sub>
        </m:sSub>
      </m:oMath>
      <w:r>
        <w:rPr>
          <w:rFonts w:hint="eastAsia"/>
        </w:rPr>
        <w:t xml:space="preserve">计算的等效吞吐率；c，纯</w:t>
      </w:r>
      <m:oMath>
        <m:r>
          <m:t>2</m:t>
        </m:r>
        <m:r>
          <m:rPr>
            <m:sty m:val="p"/>
          </m:rPr>
          <m:t>×</m:t>
        </m:r>
        <m:r>
          <m:t>2</m:t>
        </m:r>
      </m:oMath>
      <w:r>
        <w:rPr>
          <w:rFonts w:hint="eastAsia"/>
        </w:rPr>
        <w:t xml:space="preserve">和</w:t>
      </w:r>
      <m:oMath>
        <m:r>
          <m:t>1</m:t>
        </m:r>
        <m:r>
          <m:rPr>
            <m:sty m:val="p"/>
          </m:rPr>
          <m:t>:</m:t>
        </m:r>
        <m:r>
          <m:t>1</m:t>
        </m:r>
      </m:oMath>
      <w:r>
        <w:rPr>
          <w:rFonts w:hint="eastAsia"/>
        </w:rPr>
        <w:t xml:space="preserve">混跑相对纯</w:t>
      </w:r>
      <w:r>
        <w:t xml:space="preserve"> </w:t>
      </w:r>
      <m:oMath>
        <m:r>
          <m:t>4</m:t>
        </m:r>
        <m:r>
          <m:rPr>
            <m:sty m:val="p"/>
          </m:rPr>
          <m:t>×</m:t>
        </m:r>
        <m:r>
          <m:t>1</m:t>
        </m:r>
      </m:oMath>
      <w:r>
        <w:rPr>
          <w:rFonts w:hint="eastAsia"/>
        </w:rPr>
        <w:t xml:space="preserve">的完工时间增幅。每个点对应一个模式–规模构型，并由25次精确重复确认</w:t>
      </w:r>
      <w:r>
        <w:t xml:space="preserve"> </w:t>
      </w:r>
      <w:r>
        <w:rPr>
          <w:rFonts w:hint="eastAsia"/>
        </w:rPr>
        <w:t xml:space="preserve">（5个求解器种子</w:t>
      </w:r>
      <m:oMath>
        <m:r>
          <m:rPr>
            <m:sty m:val="p"/>
          </m:rPr>
          <m:t>×</m:t>
        </m:r>
      </m:oMath>
      <w:r>
        <w:rPr>
          <w:rFonts w:hint="eastAsia"/>
        </w:rPr>
        <w:t xml:space="preserve">5个训练种子；总计150次）。黑色实线圆点、灰色虚线空心方形</w:t>
      </w:r>
      <w:r>
        <w:t xml:space="preserve"> </w:t>
      </w:r>
      <w:r>
        <w:rPr>
          <w:rFonts w:hint="eastAsia"/>
        </w:rPr>
        <w:t xml:space="preserve">和点线空心三角分别表示纯</w:t>
      </w:r>
      <m:oMath>
        <m:r>
          <m:t>4</m:t>
        </m:r>
        <m:r>
          <m:rPr>
            <m:sty m:val="p"/>
          </m:rPr>
          <m:t>×</m:t>
        </m:r>
        <m:r>
          <m:t>1</m:t>
        </m:r>
      </m:oMath>
      <w:r>
        <w:rPr>
          <w:rFonts w:hint="eastAsia"/>
        </w:rPr>
        <w:t xml:space="preserve">、纯</w:t>
      </w:r>
      <m:oMath>
        <m:r>
          <m:t>2</m:t>
        </m:r>
        <m:r>
          <m:rPr>
            <m:sty m:val="p"/>
          </m:rPr>
          <m:t>×</m:t>
        </m:r>
        <m:r>
          <m:t>2</m:t>
        </m:r>
      </m:oMath>
      <w:r>
        <w:rPr>
          <w:rFonts w:hint="eastAsia"/>
        </w:rPr>
        <w:t xml:space="preserve">和</w:t>
      </w:r>
      <m:oMath>
        <m:r>
          <m:t>1</m:t>
        </m:r>
        <m:r>
          <m:rPr>
            <m:sty m:val="p"/>
          </m:rPr>
          <m:t>:</m:t>
        </m:r>
        <m:r>
          <m:t>1</m:t>
        </m:r>
      </m:oMath>
      <w:r>
        <w:rPr>
          <w:rFonts w:hint="eastAsia"/>
        </w:rPr>
        <w:t xml:space="preserve">混跑；柱纹用于在黑白印刷中</w:t>
      </w:r>
      <w:r>
        <w:t xml:space="preserve"> </w:t>
      </w:r>
      <w:r>
        <w:rPr>
          <w:rFonts w:hint="eastAsia"/>
        </w:rPr>
        <w:t xml:space="preserve">区分后两种构型，图中标注具体数值。</w:t>
      </w:r>
    </w:p>
    <w:bookmarkEnd w:id="81"/>
    <w:p>
      <w:pPr>
        <w:pStyle w:val="3"/>
      </w:pPr>
      <w:r>
        <w:rPr>
          <w:rFonts w:hint="eastAsia"/>
        </w:rPr>
        <w:t xml:space="preserve">在8片批次中，纯</w:t>
      </w:r>
      <m:oMath>
        <m:r>
          <m:t>4</m:t>
        </m:r>
        <m:r>
          <m:rPr>
            <m:sty m:val="p"/>
          </m:rPr>
          <m:t>×</m:t>
        </m:r>
        <m:r>
          <m:t>1</m:t>
        </m:r>
      </m:oMath>
      <w:r>
        <w:rPr>
          <w:rFonts w:hint="eastAsia"/>
        </w:rPr>
        <w:t xml:space="preserve">、纯</w:t>
      </w:r>
      <m:oMath>
        <m:r>
          <m:t>2</m:t>
        </m:r>
        <m:r>
          <m:rPr>
            <m:sty m:val="p"/>
          </m:rPr>
          <m:t>×</m:t>
        </m:r>
        <m:r>
          <m:t>2</m:t>
        </m:r>
      </m:oMath>
      <w:r>
        <w:rPr>
          <w:rFonts w:hint="eastAsia"/>
        </w:rPr>
        <w:t xml:space="preserve">和</w:t>
      </w:r>
      <m:oMath>
        <m:r>
          <m:t>1</m:t>
        </m:r>
        <m:r>
          <m:rPr>
            <m:sty m:val="p"/>
          </m:rPr>
          <m:t>:</m:t>
        </m:r>
        <m:r>
          <m:t>1</m:t>
        </m:r>
      </m:oMath>
      <w:r>
        <w:rPr>
          <w:rFonts w:hint="eastAsia"/>
        </w:rPr>
        <w:t xml:space="preserve">混跑的最优</w:t>
      </w:r>
      <m:oMath>
        <m:sSub>
          <m:e>
            <m:r>
              <m:t>C</m:t>
            </m:r>
          </m:e>
          <m:sub>
            <m:r>
              <m:rPr>
                <m:sty m:val="p"/>
              </m:rPr>
              <m:t>max</m:t>
            </m:r>
          </m:sub>
        </m:sSub>
      </m:oMath>
      <w:r>
        <w:rPr>
          <w:rFonts w:hint="eastAsia"/>
        </w:rPr>
        <w:t xml:space="preserve">分别为</w:t>
      </w:r>
      <w:r>
        <w:t xml:space="preserve"> </w:t>
      </w:r>
      <w:r>
        <w:rPr>
          <w:rFonts w:hint="eastAsia"/>
        </w:rPr>
        <w:t xml:space="preserve">610、768和834</w:t>
      </w:r>
      <w:r>
        <w:t xml:space="preserve"> </w:t>
      </w:r>
      <w:r>
        <w:rPr>
          <w:rFonts w:hint="eastAsia"/>
        </w:rPr>
        <w:t xml:space="preserve">s，对应等效吞吐率47.21、37.50和34.53片/h；后两者相对纯</w:t>
      </w:r>
      <m:oMath>
        <m:r>
          <m:t>4</m:t>
        </m:r>
        <m:r>
          <m:rPr>
            <m:sty m:val="p"/>
          </m:rPr>
          <m:t>×</m:t>
        </m:r>
        <m:r>
          <m:t>1</m:t>
        </m:r>
      </m:oMath>
      <w:r>
        <w:t xml:space="preserve"> </w:t>
      </w:r>
      <w:r>
        <w:rPr>
          <w:rFonts w:hint="eastAsia"/>
        </w:rPr>
        <w:t xml:space="preserve">分别增加25.90%和36.72%的完工时间。在16片批次中，三者的最优</w:t>
      </w:r>
      <m:oMath>
        <m:sSub>
          <m:e>
            <m:r>
              <m:t>C</m:t>
            </m:r>
          </m:e>
          <m:sub>
            <m:r>
              <m:rPr>
                <m:sty m:val="p"/>
              </m:rPr>
              <m:t>max</m:t>
            </m:r>
          </m:sub>
        </m:sSub>
      </m:oMath>
      <w:r>
        <w:rPr>
          <w:rFonts w:hint="eastAsia"/>
        </w:rPr>
        <w:t xml:space="preserve">分别为</w:t>
      </w:r>
      <w:r>
        <w:t xml:space="preserve"> </w:t>
      </w:r>
      <w:r>
        <w:rPr>
          <w:rFonts w:hint="eastAsia"/>
        </w:rPr>
        <w:t xml:space="preserve">944、1136和1170</w:t>
      </w:r>
      <w:r>
        <w:t xml:space="preserve"> </w:t>
      </w:r>
      <w:r>
        <w:rPr>
          <w:rFonts w:hint="eastAsia"/>
        </w:rPr>
        <w:t xml:space="preserve">s，对应吞吐率61.02、50.70和49.23片/h，完工时间增幅分别为</w:t>
      </w:r>
      <w:r>
        <w:t xml:space="preserve"> </w:t>
      </w:r>
      <w:r>
        <w:rPr>
          <w:rFonts w:hint="eastAsia"/>
        </w:rPr>
        <w:t xml:space="preserve">20.34%和23.94%。混跑还需要协调两种旋转逻辑、产品–辅助晶圆占位与共享机械手次序，</w:t>
      </w:r>
      <w:r>
        <w:t xml:space="preserve"> </w:t>
      </w:r>
      <w:r>
        <w:rPr>
          <w:rFonts w:hint="eastAsia"/>
        </w:rPr>
        <w:t xml:space="preserve">因此在这两个精确规模上未抵消纯模式的节拍优势。由此可得一个有边界的工艺结论：当产品</w:t>
      </w:r>
      <w:r>
        <w:t xml:space="preserve"> </w:t>
      </w:r>
      <w:r>
        <w:rPr>
          <w:rFonts w:hint="eastAsia"/>
        </w:rPr>
        <w:t xml:space="preserve">没有必须采用</w:t>
      </w:r>
      <m:oMath>
        <m:r>
          <m:t>2</m:t>
        </m:r>
        <m:r>
          <m:rPr>
            <m:sty m:val="p"/>
          </m:rPr>
          <m:t>×</m:t>
        </m:r>
        <m:r>
          <m:t>2</m:t>
        </m:r>
      </m:oMath>
      <w:r>
        <w:rPr>
          <w:rFonts w:hint="eastAsia"/>
        </w:rPr>
        <w:t xml:space="preserve">的配方要求、且各次加工时间及设备条件相同时，纯</w:t>
      </w:r>
      <m:oMath>
        <m:r>
          <m:t>4</m:t>
        </m:r>
        <m:r>
          <m:rPr>
            <m:sty m:val="p"/>
          </m:rPr>
          <m:t>×</m:t>
        </m:r>
        <m:r>
          <m:t>1</m:t>
        </m:r>
      </m:oMath>
      <w:r>
        <w:rPr>
          <w:rFonts w:hint="eastAsia"/>
        </w:rPr>
        <w:t xml:space="preserve">在所测</w:t>
      </w:r>
      <w:r>
        <w:t xml:space="preserve"> </w:t>
      </w:r>
      <w:r>
        <w:rPr>
          <w:rFonts w:hint="eastAsia"/>
        </w:rPr>
        <w:t xml:space="preserve">8片和16片批次中效率最高。该结论不适用于薄膜堆栈、驻留或质量规范强制采用</w:t>
      </w:r>
      <m:oMath>
        <m:r>
          <m:t>2</m:t>
        </m:r>
        <m:r>
          <m:rPr>
            <m:sty m:val="p"/>
          </m:rPr>
          <m:t>×</m:t>
        </m:r>
        <m:r>
          <m:t>2</m:t>
        </m:r>
      </m:oMath>
      <w:r>
        <w:t xml:space="preserve"> </w:t>
      </w:r>
      <w:r>
        <w:rPr>
          <w:rFonts w:hint="eastAsia"/>
        </w:rPr>
        <w:t xml:space="preserve">的情形，也不外推到尚未精确求解的更大批次。</w:t>
      </w:r>
    </w:p>
    <w:bookmarkEnd w:id="82"/>
    <w:bookmarkStart w:id="87" w:name="rdmct-hbs取得最低观察标称平均pdi与时间"/>
    <w:p>
      <w:pPr>
        <w:pStyle w:val="4"/>
      </w:pPr>
      <w:r>
        <w:rPr>
          <w:rStyle w:val="SectionNumber"/>
        </w:rPr>
        <w:t xml:space="preserve">5.3</w:t>
      </w:r>
      <w:r>
        <w:tab/>
      </w:r>
      <w:r>
        <w:rPr>
          <w:rFonts w:hint="eastAsia"/>
        </w:rPr>
        <w:t xml:space="preserve">RDMCT-HBS取得最低观察标称平均PDI与时间</w:t>
      </w:r>
    </w:p>
    <w:p>
      <w:pPr>
        <w:pStyle w:val="23"/>
      </w:pPr>
      <w:r>
        <w:rPr>
          <w:rFonts w:hint="eastAsia"/>
        </w:rPr>
        <w:t xml:space="preserve">图</w:t>
      </w:r>
      <w:r>
        <w:t xml:space="preserve"> </w:t>
      </w:r>
      <w:hyperlink w:anchor="fig:main-zh-new">
        <w:r>
          <w:rPr>
            <w:rStyle w:val="20"/>
          </w:rPr>
          <w:t xml:space="preserve">5</w:t>
        </w:r>
      </w:hyperlink>
      <w:r>
        <w:rPr>
          <w:rFonts w:hint="eastAsia"/>
        </w:rPr>
        <w:t xml:space="preserve">给出完整标称比较。RDMCT-HBS在七种方法中同时取得最低</w:t>
      </w:r>
      <w:r>
        <w:t xml:space="preserve"> </w:t>
      </w:r>
      <w:r>
        <w:rPr>
          <w:rFonts w:hint="eastAsia"/>
        </w:rPr>
        <w:t xml:space="preserve">平均PDI和最短平均求解时间，平均PDI较适配HEM和默认SCIP分别降低1.41%和</w:t>
      </w:r>
      <w:r>
        <w:t xml:space="preserve"> </w:t>
      </w:r>
      <w:r>
        <w:rPr>
          <w:rFonts w:hint="eastAsia"/>
        </w:rPr>
        <w:t xml:space="preserve">1.97%，500次运行全部得到可行解。</w:t>
      </w:r>
    </w:p>
    <w:p>
      <w:pPr>
        <w:pStyle w:val="3"/>
      </w:pPr>
      <w:r>
        <w:rPr>
          <w:rFonts w:hint="eastAsia"/>
        </w:rPr>
        <w:t xml:space="preserve">七种条件使用相同且已经求解器检查的预计算SPBS初始解、时间与内存限制及求解器种子；</w:t>
      </w:r>
      <w:r>
        <w:t xml:space="preserve"> </w:t>
      </w:r>
      <w:r>
        <w:rPr>
          <w:rFonts w:hint="eastAsia"/>
        </w:rPr>
        <w:t xml:space="preserve">报告时间不含SPBS构造。因此，该表在共同原始引导下比较割选择与解码配置，不估计</w:t>
      </w:r>
      <w:r>
        <w:t xml:space="preserve"> </w:t>
      </w:r>
      <w:r>
        <w:rPr>
          <w:rFonts w:hint="eastAsia"/>
        </w:rPr>
        <w:t xml:space="preserve">SPBS总效应或SPBS–策略交互；下一节另行评价预计算SPBS输入。SCIP</w:t>
      </w:r>
      <w:r>
        <w:t xml:space="preserve"> </w:t>
      </w:r>
      <w:r>
        <w:rPr>
          <w:rFonts w:hint="eastAsia"/>
        </w:rPr>
        <w:t xml:space="preserve">表示共同初始解下的默认割选择器；自适应割选择（ACS）为调优后的四分数SCIP规则。</w:t>
      </w:r>
      <w:r>
        <w:t xml:space="preserve"> </w:t>
      </w:r>
      <w:r>
        <w:rPr>
          <w:rFonts w:hint="eastAsia"/>
        </w:rPr>
        <w:t xml:space="preserve">HEM-13D与HEM-13D+Beam共享13维策略，仅解码方式不同；仅23维特征配置采用重构</w:t>
      </w:r>
      <w:r>
        <w:t xml:space="preserve"> </w:t>
      </w:r>
      <w:r>
        <w:rPr>
          <w:rFonts w:hint="eastAsia"/>
        </w:rPr>
        <w:t xml:space="preserve">特征但不进行结构重排，结构+贪心加入角色补全，RDMCT-HBS再结合束解码。</w:t>
      </w:r>
    </w:p>
    <w:bookmarkStart w:id="86" w:name="fig:main-zh-new"/>
    <w:p>
      <w:pPr>
        <w:pStyle w:val="36"/>
        <w:keepNext/>
        <w:jc w:val="center"/>
      </w:pPr>
      <w:r>
        <w:drawing>
          <wp:inline>
            <wp:extent cx="5334000" cy="4993305"/>
            <wp:effectExtent b="0" l="0" r="0" t="0"/>
            <wp:docPr descr="" title="" id="84" name="Picture"/>
            <a:graphic>
              <a:graphicData uri="http://schemas.openxmlformats.org/drawingml/2006/picture">
                <pic:pic>
                  <pic:nvPicPr>
                    <pic:cNvPr descr="D:/git/git/RDMCT-A3C/.tmp/jms_cn_docx_build/assets/figure_05.png" id="85" name="Picture"/>
                    <pic:cNvPicPr>
                      <a:picLocks noChangeArrowheads="1" noChangeAspect="1"/>
                    </pic:cNvPicPr>
                  </pic:nvPicPr>
                  <pic:blipFill>
                    <a:blip r:embed="rId83"/>
                    <a:stretch>
                      <a:fillRect/>
                    </a:stretch>
                  </pic:blipFill>
                  <pic:spPr bwMode="auto">
                    <a:xfrm>
                      <a:off x="0" y="0"/>
                      <a:ext cx="5334000" cy="4993305"/>
                    </a:xfrm>
                    <a:prstGeom prst="rect">
                      <a:avLst/>
                    </a:prstGeom>
                    <a:noFill/>
                    <a:ln w="9525">
                      <a:noFill/>
                      <a:headEnd/>
                      <a:tailEnd/>
                    </a:ln>
                  </pic:spPr>
                </pic:pic>
              </a:graphicData>
            </a:graphic>
          </wp:inline>
        </w:drawing>
      </w:r>
    </w:p>
    <w:p>
      <w:pPr>
        <w:pStyle w:val="34"/>
        <w:jc w:val="center"/>
      </w:pPr>
      <w:r>
        <w:t>图 5. </w:t>
      </w:r>
      <w:r>
        <w:rPr>
          <w:rFonts w:hint="eastAsia"/>
        </w:rPr>
        <w:t xml:space="preserve">共同SPBS初始解下的完整标称比较。四个分面依次报告平均PDI、平均求解时间、</w:t>
      </w:r>
      <w:r>
        <w:t xml:space="preserve"> </w:t>
      </w:r>
      <w:r>
        <w:rPr>
          <w:rFonts w:hint="eastAsia"/>
        </w:rPr>
        <w:t xml:space="preserve">平均终止gap和证明最优率；共2700次运行，统计量先在20个制造实例内聚合。黑色菱形及浅灰带突出</w:t>
      </w:r>
      <w:r>
        <w:t xml:space="preserve"> </w:t>
      </w:r>
      <w:r>
        <w:rPr>
          <w:rFonts w:hint="eastAsia"/>
        </w:rPr>
        <w:t xml:space="preserve">RDMCT-HBS，灰色圆点表示其余配置；空心方形仅标识由其他配置取得的最佳证明指标。点旁为</w:t>
      </w:r>
      <w:r>
        <w:t xml:space="preserve"> </w:t>
      </w:r>
      <w:r>
        <w:rPr>
          <w:rFonts w:hint="eastAsia"/>
        </w:rPr>
        <w:t xml:space="preserve">具体报告值，黑白框给出相对默认SCIP的核心指标改善；配对区间与校正检验在正文报告。</w:t>
      </w:r>
    </w:p>
    <w:bookmarkEnd w:id="86"/>
    <w:p>
      <w:pPr>
        <w:pStyle w:val="3"/>
      </w:pPr>
      <w:r>
        <w:rPr>
          <w:rFonts w:hint="eastAsia"/>
        </w:rPr>
        <w:t xml:space="preserve">方法间的观察均值呈现递进模式：从13维表示到23维变量角色表示对应最大的均值差，</w:t>
      </w:r>
      <w:r>
        <w:t xml:space="preserve"> </w:t>
      </w:r>
      <w:r>
        <w:rPr>
          <w:rFonts w:hint="eastAsia"/>
        </w:rPr>
        <w:t xml:space="preserve">加入结构补全后均值继续下降；束解码在结构感知表示与补全上略降PDI，但单独用于</w:t>
      </w:r>
      <w:r>
        <w:t xml:space="preserve"> </w:t>
      </w:r>
      <w:r>
        <w:rPr>
          <w:rFonts w:hint="eastAsia"/>
        </w:rPr>
        <w:t xml:space="preserve">13维HEM时略升PDI。这些消融均值说明更宽解码本身不足以解释完整方法的排名，并与</w:t>
      </w:r>
      <w:r>
        <w:t xml:space="preserve"> </w:t>
      </w:r>
      <w:r>
        <w:rPr>
          <w:rFonts w:hint="eastAsia"/>
        </w:rPr>
        <w:t xml:space="preserve">“在区分数学变量角色的表示上探索替代割序列”</w:t>
      </w:r>
      <w:r>
        <w:rPr>
          <w:rFonts w:hint="eastAsia"/>
        </w:rPr>
        <w:t xml:space="preserve">这一设计动机一致；它们不构成各组件</w:t>
      </w:r>
      <w:r>
        <w:t xml:space="preserve"> </w:t>
      </w:r>
      <w:r>
        <w:rPr>
          <w:rFonts w:hint="eastAsia"/>
        </w:rPr>
        <w:t xml:space="preserve">独立因果效应或组件交互显著性的证据。</w:t>
      </w:r>
    </w:p>
    <w:p>
      <w:pPr>
        <w:pStyle w:val="3"/>
      </w:pPr>
      <w:r>
        <w:rPr>
          <w:rFonts w:hint="eastAsia"/>
        </w:rPr>
        <w:t xml:space="preserve">SCIP的最终gap和最优率略好，RDMCT-HBS则在PDI和耗时均值领先。这与两种目标侧重</w:t>
      </w:r>
      <w:r>
        <w:t xml:space="preserve"> </w:t>
      </w:r>
      <w:r>
        <w:rPr>
          <w:rFonts w:hint="eastAsia"/>
        </w:rPr>
        <w:t xml:space="preserve">相一致：默认选择对最终证明仍然强健，RDMCT-HBS面向整个限时轨迹。对于有固定计算</w:t>
      </w:r>
      <w:r>
        <w:t xml:space="preserve"> </w:t>
      </w:r>
      <w:r>
        <w:rPr>
          <w:rFonts w:hint="eastAsia"/>
        </w:rPr>
        <w:t xml:space="preserve">窗口、需要尽快得到高质量排程的工业场景，</w:t>
      </w:r>
      <w:r>
        <w:t xml:space="preserve"> </w:t>
      </w:r>
      <w:r>
        <w:rPr>
          <w:rFonts w:hint="eastAsia"/>
        </w:rPr>
        <w:t xml:space="preserve">RDMCT-HBS取得最低的标称观察平均PDI和时间。相对HEM和SCIP的实例优先平均PDI</w:t>
      </w:r>
      <w:r>
        <w:t xml:space="preserve"> </w:t>
      </w:r>
      <w:r>
        <w:rPr>
          <w:rFonts w:hint="eastAsia"/>
        </w:rPr>
        <w:t xml:space="preserve">改善分别为237.49（95%</w:t>
      </w:r>
      <w:r>
        <w:t xml:space="preserve"> </w:t>
      </w:r>
      <w:r>
        <w:rPr>
          <w:rFonts w:hint="eastAsia"/>
        </w:rPr>
        <w:t xml:space="preserve">bootstrap区间</w:t>
      </w:r>
      <m:oMath>
        <m:r>
          <m:rPr>
            <m:sty m:val="p"/>
          </m:rPr>
          <m:t>[</m:t>
        </m:r>
        <m:r>
          <m:rPr>
            <m:sty m:val="p"/>
          </m:rPr>
          <m:t>−</m:t>
        </m:r>
        <m:r>
          <m:t>446.71</m:t>
        </m:r>
        <m:r>
          <m:rPr>
            <m:sty m:val="p"/>
          </m:rPr>
          <m:t>,</m:t>
        </m:r>
        <m:r>
          <m:t>846.26</m:t>
        </m:r>
        <m:r>
          <m:rPr>
            <m:sty m:val="p"/>
          </m:rPr>
          <m:t>]</m:t>
        </m:r>
      </m:oMath>
      <w:r>
        <w:rPr>
          <w:rFonts w:hint="eastAsia"/>
        </w:rPr>
        <w:t xml:space="preserve">）和333.31</w:t>
      </w:r>
      <w:r>
        <w:t xml:space="preserve"> </w:t>
      </w:r>
      <w:r>
        <w:rPr>
          <w:rFonts w:hint="eastAsia"/>
        </w:rPr>
        <w:t xml:space="preserve">（区间</w:t>
      </w:r>
      <m:oMath>
        <m:r>
          <m:rPr>
            <m:sty m:val="p"/>
          </m:rPr>
          <m:t>[</m:t>
        </m:r>
        <m:r>
          <m:rPr>
            <m:sty m:val="p"/>
          </m:rPr>
          <m:t>−</m:t>
        </m:r>
        <m:r>
          <m:t>382.16</m:t>
        </m:r>
        <m:r>
          <m:rPr>
            <m:sty m:val="p"/>
          </m:rPr>
          <m:t>,</m:t>
        </m:r>
        <m:r>
          <m:t>999.70</m:t>
        </m:r>
        <m:r>
          <m:rPr>
            <m:sty m:val="p"/>
          </m:rPr>
          <m:t>]</m:t>
        </m:r>
      </m:oMath>
      <w:r>
        <w:rPr>
          <w:rFonts w:hint="eastAsia"/>
        </w:rPr>
        <w:t xml:space="preserve">），两项Holm校正</w:t>
      </w:r>
      <m:oMath>
        <m:r>
          <m:t>p</m:t>
        </m:r>
      </m:oMath>
      <w:r>
        <w:rPr>
          <w:rFonts w:hint="eastAsia"/>
        </w:rPr>
        <w:t xml:space="preserve">均为1。因此，标称排名明确反映</w:t>
      </w:r>
      <w:r>
        <w:t xml:space="preserve"> </w:t>
      </w:r>
      <w:r>
        <w:rPr>
          <w:rFonts w:hint="eastAsia"/>
        </w:rPr>
        <w:t xml:space="preserve">该矩阵上的平均观察优势，而非统计显著的总体优越性。下述SPBS输入和同预算工作流</w:t>
      </w:r>
      <w:r>
        <w:t xml:space="preserve"> </w:t>
      </w:r>
      <w:r>
        <w:rPr>
          <w:rFonts w:hint="eastAsia"/>
        </w:rPr>
        <w:t xml:space="preserve">比较分别提供统计显著的配对差异，但其解释边界并不相同。</w:t>
      </w:r>
    </w:p>
    <w:bookmarkEnd w:id="87"/>
    <w:bookmarkStart w:id="92" w:name="预计算spbs输入改善求解窗口内的原始搜索"/>
    <w:p>
      <w:pPr>
        <w:pStyle w:val="4"/>
      </w:pPr>
      <w:r>
        <w:rPr>
          <w:rStyle w:val="SectionNumber"/>
        </w:rPr>
        <w:t xml:space="preserve">5.4</w:t>
      </w:r>
      <w:r>
        <w:tab/>
      </w:r>
      <w:r>
        <w:rPr>
          <w:rFonts w:hint="eastAsia"/>
        </w:rPr>
        <w:t xml:space="preserve">预计算SPBS输入改善求解窗口内的原始搜索</w:t>
      </w:r>
    </w:p>
    <w:p>
      <w:pPr>
        <w:pStyle w:val="23"/>
      </w:pPr>
      <w:r>
        <w:rPr>
          <w:rFonts w:hint="eastAsia"/>
        </w:rPr>
        <w:t xml:space="preserve">配对SPBS实验评价向SCIP注入预计算且经求解器检查的初始排程。图</w:t>
      </w:r>
      <w:r>
        <w:t xml:space="preserve"> </w:t>
      </w:r>
      <w:hyperlink w:anchor="fig:spbs-zh-new">
        <w:r>
          <w:rPr>
            <w:rStyle w:val="20"/>
          </w:rPr>
          <w:t xml:space="preserve">6</w:t>
        </w:r>
      </w:hyperlink>
      <w:r>
        <w:t xml:space="preserve"> </w:t>
      </w:r>
      <w:r>
        <w:rPr>
          <w:rFonts w:hint="eastAsia"/>
        </w:rPr>
        <w:t xml:space="preserve">显示，相对无初始解条件，可行解获得率由51.67%升至100%，平均PDI低26.19%；</w:t>
      </w:r>
      <w:r>
        <w:t xml:space="preserve"> </w:t>
      </w:r>
      <w:r>
        <w:rPr>
          <w:rFonts w:hint="eastAsia"/>
        </w:rPr>
        <w:t xml:space="preserve">两项实例级配对差异经Holm校正后仍显著（</w:t>
      </w:r>
      <m:oMath>
        <m:r>
          <m:t>p</m:t>
        </m:r>
        <m:r>
          <m:rPr>
            <m:sty m:val="p"/>
          </m:rPr>
          <m:t>=</m:t>
        </m:r>
        <m:r>
          <m:t>2.55</m:t>
        </m:r>
        <m:r>
          <m:rPr>
            <m:sty m:val="p"/>
          </m:rPr>
          <m:t>×</m:t>
        </m:r>
        <m:sSup>
          <m:e>
            <m:r>
              <m:t>10</m:t>
            </m:r>
          </m:e>
          <m:sup>
            <m:r>
              <m:rPr>
                <m:sty m:val="p"/>
              </m:rPr>
              <m:t>−</m:t>
            </m:r>
            <m:r>
              <m:t>5</m:t>
            </m:r>
          </m:sup>
        </m:sSup>
      </m:oMath>
      <w:r>
        <w:rPr>
          <w:rFonts w:hint="eastAsia"/>
        </w:rPr>
        <w:t xml:space="preserve">和</w:t>
      </w:r>
      <w:r>
        <w:t xml:space="preserve"> </w:t>
      </w:r>
      <m:oMath>
        <m:r>
          <m:t>p</m:t>
        </m:r>
        <m:r>
          <m:rPr>
            <m:sty m:val="p"/>
          </m:rPr>
          <m:t>=</m:t>
        </m:r>
        <m:r>
          <m:t>3.46</m:t>
        </m:r>
        <m:r>
          <m:rPr>
            <m:sty m:val="p"/>
          </m:rPr>
          <m:t>×</m:t>
        </m:r>
        <m:sSup>
          <m:e>
            <m:r>
              <m:t>10</m:t>
            </m:r>
          </m:e>
          <m:sup>
            <m:r>
              <m:rPr>
                <m:sty m:val="p"/>
              </m:rPr>
              <m:t>−</m:t>
            </m:r>
            <m:r>
              <m:t>8</m:t>
            </m:r>
          </m:sup>
        </m:sSup>
      </m:oMath>
      <w:r>
        <w:rPr>
          <w:rFonts w:hint="eastAsia"/>
        </w:rPr>
        <w:t xml:space="preserve">）。</w:t>
      </w:r>
    </w:p>
    <w:bookmarkStart w:id="91" w:name="fig:spbs-zh-new"/>
    <w:p>
      <w:pPr>
        <w:pStyle w:val="36"/>
        <w:keepNext/>
        <w:jc w:val="center"/>
      </w:pPr>
      <w:r>
        <w:drawing>
          <wp:inline>
            <wp:extent cx="5334000" cy="2006575"/>
            <wp:effectExtent b="0" l="0" r="0" t="0"/>
            <wp:docPr descr="" title="" id="89" name="Picture"/>
            <a:graphic>
              <a:graphicData uri="http://schemas.openxmlformats.org/drawingml/2006/picture">
                <pic:pic>
                  <pic:nvPicPr>
                    <pic:cNvPr descr="D:/git/git/RDMCT-A3C/.tmp/jms_cn_docx_build/assets/figure_06.png" id="90" name="Picture"/>
                    <pic:cNvPicPr>
                      <a:picLocks noChangeArrowheads="1" noChangeAspect="1"/>
                    </pic:cNvPicPr>
                  </pic:nvPicPr>
                  <pic:blipFill>
                    <a:blip r:embed="rId88"/>
                    <a:stretch>
                      <a:fillRect/>
                    </a:stretch>
                  </pic:blipFill>
                  <pic:spPr bwMode="auto">
                    <a:xfrm>
                      <a:off x="0" y="0"/>
                      <a:ext cx="5334000" cy="2006575"/>
                    </a:xfrm>
                    <a:prstGeom prst="rect">
                      <a:avLst/>
                    </a:prstGeom>
                    <a:noFill/>
                    <a:ln w="9525">
                      <a:noFill/>
                      <a:headEnd/>
                      <a:tailEnd/>
                    </a:ln>
                  </pic:spPr>
                </pic:pic>
              </a:graphicData>
            </a:graphic>
          </wp:inline>
        </w:drawing>
      </w:r>
    </w:p>
    <w:p>
      <w:pPr>
        <w:pStyle w:val="34"/>
        <w:jc w:val="center"/>
      </w:pPr>
      <w:r>
        <w:t>图 6. </w:t>
      </w:r>
      <w:r>
        <w:rPr>
          <w:rFonts w:hint="eastAsia"/>
        </w:rPr>
        <w:t xml:space="preserve">预计算SPBS输入对求解窗口内原始搜索的影响。a为可行incumbent获得率，</w:t>
      </w:r>
      <w:r>
        <w:t xml:space="preserve"> </w:t>
      </w:r>
      <w:r>
        <w:rPr>
          <w:rFonts w:hint="eastAsia"/>
        </w:rPr>
        <w:t xml:space="preserve">b为平均PDI；48个实例分别使用10个配对种子，每个条件</w:t>
      </w:r>
      <m:oMath>
        <m:r>
          <m:t>n</m:t>
        </m:r>
        <m:r>
          <m:rPr>
            <m:sty m:val="p"/>
          </m:rPr>
          <m:t>=</m:t>
        </m:r>
        <m:r>
          <m:t>480</m:t>
        </m:r>
      </m:oMath>
      <w:r>
        <w:rPr>
          <w:rFonts w:hint="eastAsia"/>
        </w:rPr>
        <w:t xml:space="preserve">。数值标注为观察值，</w:t>
      </w:r>
      <w:r>
        <w:t xml:space="preserve"> </w:t>
      </w:r>
      <w:r>
        <w:rPr>
          <w:rFonts w:hint="eastAsia"/>
        </w:rPr>
        <w:t xml:space="preserve">SPBS离线构造时间不计入比较。</w:t>
      </w:r>
    </w:p>
    <w:bookmarkEnd w:id="91"/>
    <w:p>
      <w:pPr>
        <w:pStyle w:val="3"/>
      </w:pPr>
      <w:r>
        <w:rPr>
          <w:rFonts w:hint="eastAsia"/>
        </w:rPr>
        <w:t xml:space="preserve">工业含义十分直接：无初始解条件下，近一半运行在限时内未形成完整排程；输入SPBS</w:t>
      </w:r>
      <w:r>
        <w:t xml:space="preserve"> </w:t>
      </w:r>
      <w:r>
        <w:rPr>
          <w:rFonts w:hint="eastAsia"/>
        </w:rPr>
        <w:t xml:space="preserve">使SCIP从已验证incumbent开始，并可继续改进和利用该解剪枝。观察到的PDI差异与更早</w:t>
      </w:r>
      <w:r>
        <w:t xml:space="preserve"> </w:t>
      </w:r>
      <w:r>
        <w:rPr>
          <w:rFonts w:hint="eastAsia"/>
        </w:rPr>
        <w:t xml:space="preserve">的原始可行性及其和后续精确搜索的交互一致，但实验没有分解二者贡献。由于计时明确</w:t>
      </w:r>
      <w:r>
        <w:t xml:space="preserve"> </w:t>
      </w:r>
      <w:r>
        <w:rPr>
          <w:rFonts w:hint="eastAsia"/>
        </w:rPr>
        <w:t xml:space="preserve">排除SPBS构造，该结果支持把预计算初始解作为求解架构输入，不能解释为包含构造成本</w:t>
      </w:r>
      <w:r>
        <w:t xml:space="preserve"> </w:t>
      </w:r>
      <w:r>
        <w:rPr>
          <w:rFonts w:hint="eastAsia"/>
        </w:rPr>
        <w:t xml:space="preserve">的端到端26.19%加速。</w:t>
      </w:r>
    </w:p>
    <w:bookmarkEnd w:id="92"/>
    <w:bookmarkStart w:id="97" w:name="同总预算两阶段工作流获得更低的运行指标"/>
    <w:p>
      <w:pPr>
        <w:pStyle w:val="4"/>
      </w:pPr>
      <w:r>
        <w:rPr>
          <w:rStyle w:val="SectionNumber"/>
        </w:rPr>
        <w:t xml:space="preserve">5.5</w:t>
      </w:r>
      <w:r>
        <w:tab/>
      </w:r>
      <w:r>
        <w:rPr>
          <w:rFonts w:hint="eastAsia"/>
        </w:rPr>
        <w:t xml:space="preserve">同总预算两阶段工作流获得更低的运行指标</w:t>
      </w:r>
    </w:p>
    <w:p>
      <w:pPr>
        <w:pStyle w:val="23"/>
      </w:pPr>
      <w:r>
        <w:rPr>
          <w:rFonts w:hint="eastAsia"/>
        </w:rPr>
        <w:t xml:space="preserve">两阶段内部约束保持其540</w:t>
      </w:r>
      <w:r>
        <w:t xml:space="preserve"> </w:t>
      </w:r>
      <w:r>
        <w:rPr>
          <w:rFonts w:hint="eastAsia"/>
        </w:rPr>
        <w:t xml:space="preserve">s主求解所得离散排程和最大完工时间，但同预算对照把全部</w:t>
      </w:r>
      <w:r>
        <w:t xml:space="preserve"> </w:t>
      </w:r>
      <w:r>
        <w:t xml:space="preserve">600 </w:t>
      </w:r>
      <w:r>
        <w:rPr>
          <w:rFonts w:hint="eastAsia"/>
        </w:rPr>
        <w:t xml:space="preserve">s用于单阶段主求解。因此，本节比较的是完整工作流：完整线性精修和二次目标流程</w:t>
      </w:r>
      <w:r>
        <w:t xml:space="preserve"> </w:t>
      </w:r>
      <w:r>
        <w:rPr>
          <w:rFonts w:hint="eastAsia"/>
        </w:rPr>
        <w:t xml:space="preserve">均采用540</w:t>
      </w:r>
      <w:r>
        <w:t xml:space="preserve"> </w:t>
      </w:r>
      <w:r>
        <w:rPr>
          <w:rFonts w:hint="eastAsia"/>
        </w:rPr>
        <w:t xml:space="preserve">s主求解加至多60</w:t>
      </w:r>
      <w:r>
        <w:t xml:space="preserve"> </w:t>
      </w:r>
      <w:r>
        <w:rPr>
          <w:rFonts w:hint="eastAsia"/>
        </w:rPr>
        <w:t xml:space="preserve">s精修，单阶段流程采用600</w:t>
      </w:r>
      <w:r>
        <w:t xml:space="preserve"> </w:t>
      </w:r>
      <w:r>
        <w:rPr>
          <w:rFonts w:hint="eastAsia"/>
        </w:rPr>
        <w:t xml:space="preserve">s主求解。三者的路线等待均</w:t>
      </w:r>
      <w:r>
        <w:t xml:space="preserve"> </w:t>
      </w:r>
      <w:r>
        <w:rPr>
          <w:rFonts w:hint="eastAsia"/>
        </w:rPr>
        <w:t xml:space="preserve">由产品事件时刻重构，节拍均由活动腔室加工开始时刻重构，从而避免把目标辅助slack</w:t>
      </w:r>
      <w:r>
        <w:t xml:space="preserve"> </w:t>
      </w:r>
      <w:r>
        <w:rPr>
          <w:rFonts w:hint="eastAsia"/>
        </w:rPr>
        <w:t xml:space="preserve">当作绩效指标，并保持指标定义一致。由于主求解时域不同，PDI与用时不用于第二阶段</w:t>
      </w:r>
      <w:r>
        <w:t xml:space="preserve"> </w:t>
      </w:r>
      <w:r>
        <w:rPr>
          <w:rFonts w:hint="eastAsia"/>
        </w:rPr>
        <w:t xml:space="preserve">因果论证，保存排程指标的差值也不应全部归因于</w:t>
      </w:r>
      <w:r>
        <w:rPr>
          <w:rFonts w:hint="eastAsia"/>
        </w:rPr>
        <w:t xml:space="preserve">“仅增加第二阶段”</w:t>
      </w:r>
      <w:r>
        <w:rPr>
          <w:rFonts w:hint="eastAsia"/>
        </w:rPr>
        <w:t xml:space="preserve">。图</w:t>
      </w:r>
      <w:r>
        <w:t xml:space="preserve"> </w:t>
      </w:r>
      <w:hyperlink w:anchor="fig:stability-zh-new">
        <w:r>
          <w:rPr>
            <w:rStyle w:val="20"/>
          </w:rPr>
          <w:t xml:space="preserve">7</w:t>
        </w:r>
      </w:hyperlink>
      <w:r>
        <w:t xml:space="preserve"> </w:t>
      </w:r>
      <w:r>
        <w:rPr>
          <w:rFonts w:hint="eastAsia"/>
        </w:rPr>
        <w:t xml:space="preserve">报告三个工作流在制造实例内先聚合后的均值。</w:t>
      </w:r>
    </w:p>
    <w:bookmarkStart w:id="96" w:name="fig:stability-zh-new"/>
    <w:p>
      <w:pPr>
        <w:pStyle w:val="36"/>
        <w:keepNext/>
        <w:jc w:val="center"/>
      </w:pPr>
      <w:r>
        <w:drawing>
          <wp:inline>
            <wp:extent cx="5334000" cy="3729751"/>
            <wp:effectExtent b="0" l="0" r="0" t="0"/>
            <wp:docPr descr="" title="" id="94" name="Picture"/>
            <a:graphic>
              <a:graphicData uri="http://schemas.openxmlformats.org/drawingml/2006/picture">
                <pic:pic>
                  <pic:nvPicPr>
                    <pic:cNvPr descr="D:/git/git/RDMCT-A3C/.tmp/jms_cn_docx_build/assets/figure_07.png" id="95" name="Picture"/>
                    <pic:cNvPicPr>
                      <a:picLocks noChangeArrowheads="1" noChangeAspect="1"/>
                    </pic:cNvPicPr>
                  </pic:nvPicPr>
                  <pic:blipFill>
                    <a:blip r:embed="rId93"/>
                    <a:stretch>
                      <a:fillRect/>
                    </a:stretch>
                  </pic:blipFill>
                  <pic:spPr bwMode="auto">
                    <a:xfrm>
                      <a:off x="0" y="0"/>
                      <a:ext cx="5334000" cy="3729751"/>
                    </a:xfrm>
                    <a:prstGeom prst="rect">
                      <a:avLst/>
                    </a:prstGeom>
                    <a:noFill/>
                    <a:ln w="9525">
                      <a:noFill/>
                      <a:headEnd/>
                      <a:tailEnd/>
                    </a:ln>
                  </pic:spPr>
                </pic:pic>
              </a:graphicData>
            </a:graphic>
          </wp:inline>
        </w:drawing>
      </w:r>
    </w:p>
    <w:p>
      <w:pPr>
        <w:pStyle w:val="34"/>
        <w:jc w:val="center"/>
      </w:pPr>
      <w:r>
        <w:t>图 7. </w:t>
      </w:r>
      <w:r>
        <w:rPr>
          <w:rFonts w:hint="eastAsia"/>
        </w:rPr>
        <w:t xml:space="preserve">相同600</w:t>
      </w:r>
      <w:r>
        <w:t xml:space="preserve"> </w:t>
      </w:r>
      <w:r>
        <w:rPr>
          <w:rFonts w:hint="eastAsia"/>
        </w:rPr>
        <w:t xml:space="preserve">s总预算下三种完整工作流的保存排程指标。a–d依次为路线总等待、</w:t>
      </w:r>
      <w:r>
        <w:t xml:space="preserve"> </w:t>
      </w:r>
      <w:r>
        <w:rPr>
          <w:rFonts w:hint="eastAsia"/>
        </w:rPr>
        <w:t xml:space="preserve">路线最大等待、节拍变异系数和节拍偏差；总计1500次运行，统计量先在制造实例内聚合。</w:t>
      </w:r>
      <w:r>
        <w:t xml:space="preserve"> </w:t>
      </w:r>
      <w:r>
        <w:rPr>
          <w:rFonts w:hint="eastAsia"/>
        </w:rPr>
        <w:t xml:space="preserve">完整两阶段和二次目标流程采用540</w:t>
      </w:r>
      <w:r>
        <w:t xml:space="preserve"> </w:t>
      </w:r>
      <w:r>
        <w:rPr>
          <w:rFonts w:hint="eastAsia"/>
        </w:rPr>
        <w:t xml:space="preserve">s主求解加至多60</w:t>
      </w:r>
      <w:r>
        <w:t xml:space="preserve"> </w:t>
      </w:r>
      <w:r>
        <w:rPr>
          <w:rFonts w:hint="eastAsia"/>
        </w:rPr>
        <w:t xml:space="preserve">s精修，单阶段采用600</w:t>
      </w:r>
      <w:r>
        <w:t xml:space="preserve"> </w:t>
      </w:r>
      <w:r>
        <w:rPr>
          <w:rFonts w:hint="eastAsia"/>
        </w:rPr>
        <w:t xml:space="preserve">s主求解。</w:t>
      </w:r>
      <w:r>
        <w:t xml:space="preserve"> </w:t>
      </w:r>
      <w:r>
        <w:rPr>
          <w:rFonts w:hint="eastAsia"/>
        </w:rPr>
        <w:t xml:space="preserve">柱顶为观察均值；显著性检验与解释边界见正文。</w:t>
      </w:r>
    </w:p>
    <w:bookmarkEnd w:id="96"/>
    <w:p>
      <w:pPr>
        <w:pStyle w:val="3"/>
      </w:pPr>
      <w:r>
        <w:rPr>
          <w:rFonts w:hint="eastAsia"/>
        </w:rPr>
        <w:t xml:space="preserve">相对单阶段工作流，完整两阶段工作流保存排程的路线总等待、最大单段等待、节拍CV和</w:t>
      </w:r>
      <w:r>
        <w:t xml:space="preserve"> </w:t>
      </w:r>
      <w:r>
        <w:rPr>
          <w:rFonts w:hint="eastAsia"/>
        </w:rPr>
        <w:t xml:space="preserve">节拍偏差分别低51.91%、68.89%、39.70%和94.05%，四项实例级配对差异经Holm</w:t>
      </w:r>
      <w:r>
        <w:t xml:space="preserve"> </w:t>
      </w:r>
      <w:r>
        <w:rPr>
          <w:rFonts w:hint="eastAsia"/>
        </w:rPr>
        <w:t xml:space="preserve">校正后均显著。这些结果表明，在相同总墙钟预算下采用该两阶段分配能够得到等待更短、</w:t>
      </w:r>
      <w:r>
        <w:t xml:space="preserve"> </w:t>
      </w:r>
      <w:r>
        <w:rPr>
          <w:rFonts w:hint="eastAsia"/>
        </w:rPr>
        <w:t xml:space="preserve">节拍更规则的最终排程；它们支持工作流层面的运行价值，但不识别纯第二阶段效应。</w:t>
      </w:r>
    </w:p>
    <w:p>
      <w:pPr>
        <w:pStyle w:val="3"/>
      </w:pPr>
      <w:r>
        <w:rPr>
          <w:rFonts w:hint="eastAsia"/>
        </w:rPr>
        <w:t xml:space="preserve">与同样采用540+至多60</w:t>
      </w:r>
      <w:r>
        <w:t xml:space="preserve"> </w:t>
      </w:r>
      <w:r>
        <w:rPr>
          <w:rFonts w:hint="eastAsia"/>
        </w:rPr>
        <w:t xml:space="preserve">s预算的二次目标流程相比，线性精修流程的节拍偏差低63.38%，</w:t>
      </w:r>
      <w:r>
        <w:t xml:space="preserve"> </w:t>
      </w:r>
      <w:r>
        <w:rPr>
          <w:rFonts w:hint="eastAsia"/>
        </w:rPr>
        <w:t xml:space="preserve">且该差异经Holm校正后显著；路线总等待、路线最大等待和节拍CV差异则未通过Holm校正。</w:t>
      </w:r>
      <w:r>
        <w:t xml:space="preserve"> </w:t>
      </w:r>
      <w:r>
        <w:rPr>
          <w:rFonts w:hint="eastAsia"/>
        </w:rPr>
        <w:t xml:space="preserve">因此，证据支持线性目标在该预算下取得更规则的节拍，而不支持其在全部运行指标上</w:t>
      </w:r>
      <w:r>
        <w:t xml:space="preserve"> </w:t>
      </w:r>
      <w:r>
        <w:rPr>
          <w:rFonts w:hint="eastAsia"/>
        </w:rPr>
        <w:t xml:space="preserve">优于二次目标。每次精修均在数值容差内保持其自身主求解incumbent的最大完工时间。</w:t>
      </w:r>
    </w:p>
    <w:bookmarkEnd w:id="97"/>
    <w:bookmarkStart w:id="102" w:name="测试网格中规模配方构成交互与难度关联最强"/>
    <w:p>
      <w:pPr>
        <w:pStyle w:val="4"/>
      </w:pPr>
      <w:r>
        <w:rPr>
          <w:rStyle w:val="SectionNumber"/>
        </w:rPr>
        <w:t xml:space="preserve">5.6</w:t>
      </w:r>
      <w:r>
        <w:tab/>
      </w:r>
      <w:r>
        <w:rPr>
          <w:rFonts w:hint="eastAsia"/>
        </w:rPr>
        <w:t xml:space="preserve">测试网格中规模–配方构成交互与难度关联最强</w:t>
      </w:r>
    </w:p>
    <w:p>
      <w:pPr>
        <w:pStyle w:val="23"/>
      </w:pPr>
      <w:r>
        <w:rPr>
          <w:rFonts w:hint="eastAsia"/>
        </w:rPr>
        <w:t xml:space="preserve">图</w:t>
      </w:r>
      <w:r>
        <w:t xml:space="preserve"> </w:t>
      </w:r>
      <w:hyperlink w:anchor="fig:doe-zh-new">
        <w:r>
          <w:rPr>
            <w:rStyle w:val="20"/>
          </w:rPr>
          <w:t xml:space="preserve">8</w:t>
        </w:r>
      </w:hyperlink>
      <w:r>
        <w:rPr>
          <w:rFonts w:hint="eastAsia"/>
        </w:rPr>
        <w:t xml:space="preserve">显示明显的复杂度转折：8和16晶圆的运行全部证明最优，</w:t>
      </w:r>
      <w:r>
        <w:t xml:space="preserve"> </w:t>
      </w:r>
      <w:r>
        <w:rPr>
          <w:rFonts w:hint="eastAsia"/>
        </w:rPr>
        <w:t xml:space="preserve">24和32晶圆的最优率降到36%和20%；平均PDI则由28.13和1876.54升至</w:t>
      </w:r>
      <w:r>
        <w:t xml:space="preserve"> </w:t>
      </w:r>
      <w:r>
        <w:rPr>
          <w:rFonts w:hint="eastAsia"/>
        </w:rPr>
        <w:t xml:space="preserve">31155.94和32959.89。</w:t>
      </w:r>
    </w:p>
    <w:bookmarkStart w:id="101" w:name="fig:doe-zh-new"/>
    <w:p>
      <w:pPr>
        <w:pStyle w:val="36"/>
        <w:keepNext/>
        <w:jc w:val="center"/>
      </w:pPr>
      <w:r>
        <w:drawing>
          <wp:inline>
            <wp:extent cx="5334000" cy="1798062"/>
            <wp:effectExtent b="0" l="0" r="0" t="0"/>
            <wp:docPr descr="" title="" id="99" name="Picture"/>
            <a:graphic>
              <a:graphicData uri="http://schemas.openxmlformats.org/drawingml/2006/picture">
                <pic:pic>
                  <pic:nvPicPr>
                    <pic:cNvPr descr="D:/git/git/RDMCT-A3C/.tmp/jms_cn_docx_build/assets/figure_08.png" id="100" name="Picture"/>
                    <pic:cNvPicPr>
                      <a:picLocks noChangeArrowheads="1" noChangeAspect="1"/>
                    </pic:cNvPicPr>
                  </pic:nvPicPr>
                  <pic:blipFill>
                    <a:blip r:embed="rId98"/>
                    <a:stretch>
                      <a:fillRect/>
                    </a:stretch>
                  </pic:blipFill>
                  <pic:spPr bwMode="auto">
                    <a:xfrm>
                      <a:off x="0" y="0"/>
                      <a:ext cx="5334000" cy="1798062"/>
                    </a:xfrm>
                    <a:prstGeom prst="rect">
                      <a:avLst/>
                    </a:prstGeom>
                    <a:noFill/>
                    <a:ln w="9525">
                      <a:noFill/>
                      <a:headEnd/>
                      <a:tailEnd/>
                    </a:ln>
                  </pic:spPr>
                </pic:pic>
              </a:graphicData>
            </a:graphic>
          </wp:inline>
        </w:drawing>
      </w:r>
    </w:p>
    <w:p>
      <w:pPr>
        <w:pStyle w:val="34"/>
        <w:jc w:val="center"/>
      </w:pPr>
      <w:r>
        <w:t>图 8. </w:t>
      </w:r>
      <w:r>
        <w:rPr>
          <w:rFonts w:hint="eastAsia"/>
        </w:rPr>
        <w:t xml:space="preserve">晶圆规模引起的计算转折。a–c依次为平均PDI、证明最优率和平均求解时间；</w:t>
      </w:r>
      <w:r>
        <w:t xml:space="preserve"> </w:t>
      </w:r>
      <w:r>
        <w:rPr>
          <w:rFonts w:hint="eastAsia"/>
        </w:rPr>
        <w:t xml:space="preserve">每个晶圆规模</w:t>
      </w:r>
      <m:oMath>
        <m:r>
          <m:t>n</m:t>
        </m:r>
        <m:r>
          <m:rPr>
            <m:sty m:val="p"/>
          </m:rPr>
          <m:t>=</m:t>
        </m:r>
        <m:r>
          <m:t>75</m:t>
        </m:r>
      </m:oMath>
      <w:r>
        <w:rPr>
          <w:rFonts w:hint="eastAsia"/>
        </w:rPr>
        <w:t xml:space="preserve">，总计300次运行。连线仅用于引导阅读，点旁直接标注观察均值。</w:t>
      </w:r>
    </w:p>
    <w:bookmarkEnd w:id="101"/>
    <w:p>
      <w:pPr>
        <w:pStyle w:val="3"/>
      </w:pPr>
      <w:r>
        <w:rPr>
          <w:rFonts w:hint="eastAsia"/>
        </w:rPr>
        <w:t xml:space="preserve">析因设计包含</w:t>
      </w:r>
      <m:oMath>
        <m:r>
          <m:t>4</m:t>
        </m:r>
        <m:r>
          <m:rPr>
            <m:sty m:val="p"/>
          </m:rPr>
          <m:t>×</m:t>
        </m:r>
        <m:r>
          <m:t>5</m:t>
        </m:r>
        <m:r>
          <m:rPr>
            <m:sty m:val="p"/>
          </m:rPr>
          <m:t>×</m:t>
        </m:r>
        <m:r>
          <m:t>3</m:t>
        </m:r>
        <m:r>
          <m:rPr>
            <m:sty m:val="p"/>
          </m:rPr>
          <m:t>=</m:t>
        </m:r>
        <m:r>
          <m:t>60</m:t>
        </m:r>
      </m:oMath>
      <w:r>
        <w:rPr>
          <w:rFonts w:hint="eastAsia"/>
        </w:rPr>
        <w:t xml:space="preserve">个完整的晶圆数–配方构成–加工尺度单元，每个</w:t>
      </w:r>
      <w:r>
        <w:t xml:space="preserve"> </w:t>
      </w:r>
      <w:r>
        <w:rPr>
          <w:rFonts w:hint="eastAsia"/>
        </w:rPr>
        <w:t xml:space="preserve">单元使用5个求解器种子。预设PDI</w:t>
      </w:r>
      <w:r>
        <w:t xml:space="preserve"> </w:t>
      </w:r>
      <w:r>
        <w:rPr>
          <w:rFonts w:hint="eastAsia"/>
        </w:rPr>
        <w:t xml:space="preserve">OLS模型在该300次设计上有</w:t>
      </w:r>
      <m:oMath>
        <m:sSup>
          <m:e>
            <m:r>
              <m:t>R</m:t>
            </m:r>
          </m:e>
          <m:sup>
            <m:r>
              <m:t>2</m:t>
            </m:r>
          </m:sup>
        </m:sSup>
        <m:r>
          <m:rPr>
            <m:sty m:val="p"/>
          </m:rPr>
          <m:t>=</m:t>
        </m:r>
        <m:r>
          <m:t>0.998</m:t>
        </m:r>
      </m:oMath>
      <w:r>
        <w:rPr>
          <w:rFonts w:hint="eastAsia"/>
        </w:rPr>
        <w:t xml:space="preserve">。在模型编码</w:t>
      </w:r>
      <w:r>
        <w:t xml:space="preserve"> </w:t>
      </w:r>
      <w:r>
        <w:rPr>
          <w:rFonts w:hint="eastAsia"/>
        </w:rPr>
        <w:t xml:space="preserve">下，</w:t>
      </w:r>
      <m:oMath>
        <m:r>
          <m:t>1</m:t>
        </m:r>
        <m:r>
          <m:rPr>
            <m:sty m:val="p"/>
          </m:rPr>
          <m:t>:</m:t>
        </m:r>
        <m:r>
          <m:t>1</m:t>
        </m:r>
      </m:oMath>
      <w:r>
        <w:rPr>
          <w:rFonts w:hint="eastAsia"/>
        </w:rPr>
        <w:t xml:space="preserve">混流中24和32晶圆的附加交互系数分别为37729.48和40788.63；所有预设</w:t>
      </w:r>
      <w:r>
        <w:t xml:space="preserve"> </w:t>
      </w:r>
      <w:r>
        <w:rPr>
          <w:rFonts w:hint="eastAsia"/>
        </w:rPr>
        <w:t xml:space="preserve">加工尺度主效应和交互效应的95%区间均包含零。结果表明，在所测试网格与线性模型内，</w:t>
      </w:r>
      <w:r>
        <w:t xml:space="preserve"> </w:t>
      </w:r>
      <w:r>
        <w:rPr>
          <w:rFonts w:hint="eastAsia"/>
        </w:rPr>
        <w:t xml:space="preserve">观察到的PDI变化主要与晶圆数和混流构成的交互相关，而没有检测到统一加工尺度效应；</w:t>
      </w:r>
      <w:r>
        <w:t xml:space="preserve"> </w:t>
      </w:r>
      <w:r>
        <w:rPr>
          <w:rFonts w:hint="eastAsia"/>
        </w:rPr>
        <w:t xml:space="preserve">它不是对网格外难度成因的普适因果证明。这一模式与算法采用离散激活–连续时序角色</w:t>
      </w:r>
      <w:r>
        <w:t xml:space="preserve"> </w:t>
      </w:r>
      <w:r>
        <w:rPr>
          <w:rFonts w:hint="eastAsia"/>
        </w:rPr>
        <w:t xml:space="preserve">的设计动机一致。完整系数表与置信区间保留在可复现性产物中。</w:t>
      </w:r>
    </w:p>
    <w:bookmarkEnd w:id="102"/>
    <w:bookmarkStart w:id="103" w:name="敏感性验证预设扰动下的可运行性"/>
    <w:p>
      <w:pPr>
        <w:pStyle w:val="4"/>
      </w:pPr>
      <w:r>
        <w:rPr>
          <w:rStyle w:val="SectionNumber"/>
        </w:rPr>
        <w:t xml:space="preserve">5.7</w:t>
      </w:r>
      <w:r>
        <w:tab/>
      </w:r>
      <w:r>
        <w:rPr>
          <w:rFonts w:hint="eastAsia"/>
        </w:rPr>
        <w:t xml:space="preserve">敏感性验证预设扰动下的可运行性</w:t>
      </w:r>
    </w:p>
    <w:p>
      <w:pPr>
        <w:pStyle w:val="23"/>
      </w:pPr>
      <w:r>
        <w:rPr>
          <w:rFonts w:hint="eastAsia"/>
        </w:rPr>
        <w:t xml:space="preserve">80次单因素敏感性运行全部返回经求解器检查的incumbent。较长清洗间隔对应最低平均</w:t>
      </w:r>
      <w:r>
        <w:t xml:space="preserve"> </w:t>
      </w:r>
      <w:r>
        <w:rPr>
          <w:rFonts w:hint="eastAsia"/>
        </w:rPr>
        <w:t xml:space="preserve">PDI（28899.41），较慢搬运对应最高平均PDI（42478.32）。该模式与较长清洗间隔减少</w:t>
      </w:r>
      <w:r>
        <w:t xml:space="preserve"> </w:t>
      </w:r>
      <w:r>
        <w:rPr>
          <w:rFonts w:hint="eastAsia"/>
        </w:rPr>
        <w:t xml:space="preserve">假片专用中断、较慢搬运收紧共享机械手时序相容，但单因素实验不能识别这两种机制的</w:t>
      </w:r>
      <w:r>
        <w:t xml:space="preserve"> </w:t>
      </w:r>
      <w:r>
        <w:rPr>
          <w:rFonts w:hint="eastAsia"/>
        </w:rPr>
        <w:t xml:space="preserve">因果作用。全部预设扰动下均保持可行排程交付；由于实验只包含默认SCIP一种方法，</w:t>
      </w:r>
      <w:r>
        <w:t xml:space="preserve"> </w:t>
      </w:r>
      <w:r>
        <w:rPr>
          <w:rFonts w:hint="eastAsia"/>
        </w:rPr>
        <w:t xml:space="preserve">它不支持跨方法稳健性排名。</w:t>
      </w:r>
    </w:p>
    <w:bookmarkEnd w:id="103"/>
    <w:bookmarkStart w:id="108" w:name="分布外压力实验验证规模扩展可行性"/>
    <w:p>
      <w:pPr>
        <w:pStyle w:val="4"/>
      </w:pPr>
      <w:r>
        <w:rPr>
          <w:rStyle w:val="SectionNumber"/>
        </w:rPr>
        <w:t xml:space="preserve">5.8</w:t>
      </w:r>
      <w:r>
        <w:tab/>
      </w:r>
      <w:r>
        <w:rPr>
          <w:rFonts w:hint="eastAsia"/>
        </w:rPr>
        <w:t xml:space="preserve">分布外压力实验验证规模扩展可行性</w:t>
      </w:r>
    </w:p>
    <w:p>
      <w:pPr>
        <w:pStyle w:val="23"/>
      </w:pPr>
      <w:r>
        <w:rPr>
          <w:rFonts w:hint="eastAsia"/>
        </w:rPr>
        <w:t xml:space="preserve">分布外测试把批次扩大到40–64片并改变产品混流组成。729次运行全部获得保存解，</w:t>
      </w:r>
      <w:r>
        <w:t xml:space="preserve"> </w:t>
      </w:r>
      <w:r>
        <w:rPr>
          <w:rFonts w:hint="eastAsia"/>
        </w:rPr>
        <w:t xml:space="preserve">且均通过SCIP及针对同一MILP的后处理检查。由于全部运行均使用完整搜索窗口，图</w:t>
      </w:r>
      <w:r>
        <w:t xml:space="preserve"> </w:t>
      </w:r>
      <w:hyperlink w:anchor="fig:ood-zh-new">
        <w:r>
          <w:rPr>
            <w:rStyle w:val="20"/>
          </w:rPr>
          <w:t xml:space="preserve">9</w:t>
        </w:r>
      </w:hyperlink>
      <w:r>
        <w:rPr>
          <w:rFonts w:hint="eastAsia"/>
        </w:rPr>
        <w:t xml:space="preserve">采用</w:t>
      </w:r>
      <w:r>
        <w:t xml:space="preserve"> </w:t>
      </w:r>
      <w:r>
        <w:rPr>
          <w:rFonts w:hint="eastAsia"/>
        </w:rPr>
        <w:t xml:space="preserve">PDI和终止gap区分求解轨迹。</w:t>
      </w:r>
    </w:p>
    <w:bookmarkStart w:id="107" w:name="fig:ood-zh-new"/>
    <w:p>
      <w:pPr>
        <w:pStyle w:val="36"/>
        <w:keepNext/>
        <w:jc w:val="center"/>
      </w:pPr>
      <w:r>
        <w:drawing>
          <wp:inline>
            <wp:extent cx="5334000" cy="2955218"/>
            <wp:effectExtent b="0" l="0" r="0" t="0"/>
            <wp:docPr descr="" title="" id="105" name="Picture"/>
            <a:graphic>
              <a:graphicData uri="http://schemas.openxmlformats.org/drawingml/2006/picture">
                <pic:pic>
                  <pic:nvPicPr>
                    <pic:cNvPr descr="D:/git/git/RDMCT-A3C/.tmp/jms_cn_docx_build/assets/figure_09.png" id="106" name="Picture"/>
                    <pic:cNvPicPr>
                      <a:picLocks noChangeArrowheads="1" noChangeAspect="1"/>
                    </pic:cNvPicPr>
                  </pic:nvPicPr>
                  <pic:blipFill>
                    <a:blip r:embed="rId104"/>
                    <a:stretch>
                      <a:fillRect/>
                    </a:stretch>
                  </pic:blipFill>
                  <pic:spPr bwMode="auto">
                    <a:xfrm>
                      <a:off x="0" y="0"/>
                      <a:ext cx="5334000" cy="2955218"/>
                    </a:xfrm>
                    <a:prstGeom prst="rect">
                      <a:avLst/>
                    </a:prstGeom>
                    <a:noFill/>
                    <a:ln w="9525">
                      <a:noFill/>
                      <a:headEnd/>
                      <a:tailEnd/>
                    </a:ln>
                  </pic:spPr>
                </pic:pic>
              </a:graphicData>
            </a:graphic>
          </wp:inline>
        </w:drawing>
      </w:r>
    </w:p>
    <w:p>
      <w:pPr>
        <w:pStyle w:val="34"/>
        <w:jc w:val="center"/>
      </w:pPr>
      <w:r>
        <w:t>图 9. </w:t>
      </w:r>
      <w:r>
        <w:rPr>
          <w:rFonts w:hint="eastAsia"/>
        </w:rPr>
        <w:t xml:space="preserve">分布外压力实验。a和b分别报告平均PDI与平均终止gap；统计量先在9个制造</w:t>
      </w:r>
      <w:r>
        <w:t xml:space="preserve"> </w:t>
      </w:r>
      <w:r>
        <w:rPr>
          <w:rFonts w:hint="eastAsia"/>
        </w:rPr>
        <w:t xml:space="preserve">实例内聚合。SCIP与ACS各</w:t>
      </w:r>
      <m:oMath>
        <m:r>
          <m:t>n</m:t>
        </m:r>
        <m:r>
          <m:rPr>
            <m:sty m:val="p"/>
          </m:rPr>
          <m:t>=</m:t>
        </m:r>
        <m:r>
          <m:t>27</m:t>
        </m:r>
      </m:oMath>
      <w:r>
        <w:rPr>
          <w:rFonts w:hint="eastAsia"/>
        </w:rPr>
        <w:t xml:space="preserve">，其余每种方法</w:t>
      </w:r>
      <m:oMath>
        <m:r>
          <m:t>n</m:t>
        </m:r>
        <m:r>
          <m:rPr>
            <m:sty m:val="p"/>
          </m:rPr>
          <m:t>=</m:t>
        </m:r>
        <m:r>
          <m:t>135</m:t>
        </m:r>
      </m:oMath>
      <w:r>
        <w:rPr>
          <w:rFonts w:hint="eastAsia"/>
        </w:rPr>
        <w:t xml:space="preserve">，合计729次运行；所有运行</w:t>
      </w:r>
      <w:r>
        <w:t xml:space="preserve"> </w:t>
      </w:r>
      <w:r>
        <w:rPr>
          <w:rFonts w:hint="eastAsia"/>
        </w:rPr>
        <w:t xml:space="preserve">均获得经检查的可行解。黑色菱形突出RDMCT-HBS，空心方形标出最低观察均值，灰色圆点表示其余配置，点旁为具体数值；</w:t>
      </w:r>
      <w:r>
        <w:t xml:space="preserve"> </w:t>
      </w:r>
      <w:r>
        <w:rPr>
          <w:rFonts w:hint="eastAsia"/>
        </w:rPr>
        <w:t xml:space="preserve">顶部文字概括全部运行的可行排程交付结果。</w:t>
      </w:r>
    </w:p>
    <w:bookmarkEnd w:id="107"/>
    <w:p>
      <w:pPr>
        <w:pStyle w:val="3"/>
      </w:pPr>
      <w:r>
        <w:rPr>
          <w:rFonts w:hint="eastAsia"/>
        </w:rPr>
        <w:t xml:space="preserve">自适应割选择取得最低分布外PDI，RDMCT-HBS的观察平均终止gap比默认SCIP低0.78%。</w:t>
      </w:r>
      <w:r>
        <w:t xml:space="preserve"> </w:t>
      </w:r>
      <w:r>
        <w:rPr>
          <w:rFonts w:hint="eastAsia"/>
        </w:rPr>
        <w:t xml:space="preserve">全部分布外方法对比经全局Holm校正后均未达到显著。</w:t>
      </w:r>
      <w:r>
        <w:t xml:space="preserve"> </w:t>
      </w:r>
      <w:r>
        <w:rPr>
          <w:rFonts w:hint="eastAsia"/>
        </w:rPr>
        <w:t xml:space="preserve">完整结果区分出两类证据：RDMCT-HBS在标称生产范围取得最低观察平均PDI，共享的</w:t>
      </w:r>
      <w:r>
        <w:t xml:space="preserve"> </w:t>
      </w:r>
      <w:r>
        <w:rPr>
          <w:rFonts w:hint="eastAsia"/>
        </w:rPr>
        <w:t xml:space="preserve">SPBS–MILP–SCIP求解链则在每次更大分布偏移运行中都交付了经求解器检查的可行排程。</w:t>
      </w:r>
      <w:r>
        <w:t xml:space="preserve"> </w:t>
      </w:r>
      <w:r>
        <w:rPr>
          <w:rFonts w:hint="eastAsia"/>
        </w:rPr>
        <w:t xml:space="preserve">七种方法均使用完整搜索窗口且没有证明分布外最优性，表明全局界闭合是极端规模下</w:t>
      </w:r>
      <w:r>
        <w:t xml:space="preserve"> </w:t>
      </w:r>
      <w:r>
        <w:rPr>
          <w:rFonts w:hint="eastAsia"/>
        </w:rPr>
        <w:t xml:space="preserve">仍需攻克的核心难点。</w:t>
      </w:r>
    </w:p>
    <w:bookmarkEnd w:id="108"/>
    <w:bookmarkStart w:id="109" w:name="工业启示"/>
    <w:p>
      <w:pPr>
        <w:pStyle w:val="4"/>
      </w:pPr>
      <w:r>
        <w:rPr>
          <w:rStyle w:val="SectionNumber"/>
        </w:rPr>
        <w:t xml:space="preserve">5.9</w:t>
      </w:r>
      <w:r>
        <w:tab/>
      </w:r>
      <w:r>
        <w:rPr>
          <w:rFonts w:hint="eastAsia"/>
        </w:rPr>
        <w:t xml:space="preserve">工业启示</w:t>
      </w:r>
    </w:p>
    <w:p>
      <w:pPr>
        <w:pStyle w:val="23"/>
      </w:pPr>
      <w:r>
        <w:rPr>
          <w:rFonts w:hint="eastAsia"/>
        </w:rPr>
        <w:t xml:space="preserve">完整证据给出三点工业启示。第一，在同一总预算内分层处理吞吐量和排程质量，与仅解</w:t>
      </w:r>
      <w:r>
        <w:t xml:space="preserve"> </w:t>
      </w:r>
      <w:r>
        <w:rPr>
          <w:rFonts w:hint="eastAsia"/>
        </w:rPr>
        <w:t xml:space="preserve">单阶段相比得到等待和节拍指标更低的保存排程；由于主求解预算分配不同，该差异属于</w:t>
      </w:r>
      <w:r>
        <w:t xml:space="preserve"> </w:t>
      </w:r>
      <w:r>
        <w:rPr>
          <w:rFonts w:hint="eastAsia"/>
        </w:rPr>
        <w:t xml:space="preserve">工作流证据。第二，预计算且经求解器检查的SPBS输入带来本文最大的显著求解窗口内PDI差异，</w:t>
      </w:r>
      <w:r>
        <w:t xml:space="preserve"> </w:t>
      </w:r>
      <w:r>
        <w:rPr>
          <w:rFonts w:hint="eastAsia"/>
        </w:rPr>
        <w:t xml:space="preserve">但端到端部署还应另计SPBS构造成本。第三，观察消融结果支持让学习表示对应可迁移的</w:t>
      </w:r>
      <w:r>
        <w:t xml:space="preserve"> </w:t>
      </w:r>
      <w:r>
        <w:rPr>
          <w:rFonts w:hint="eastAsia"/>
        </w:rPr>
        <w:t xml:space="preserve">MIP数学角色。束搜索效应的符号反转与其和角色表示之间的耦合一致，但该组件比较本身</w:t>
      </w:r>
      <w:r>
        <w:t xml:space="preserve"> </w:t>
      </w:r>
      <w:r>
        <w:rPr>
          <w:rFonts w:hint="eastAsia"/>
        </w:rPr>
        <w:t xml:space="preserve">既未检验统计交互，也未证明单个组件的因果贡献。</w:t>
      </w:r>
    </w:p>
    <w:p>
      <w:pPr>
        <w:pStyle w:val="3"/>
      </w:pPr>
      <w:r>
        <w:rPr>
          <w:rFonts w:hint="eastAsia"/>
        </w:rPr>
        <w:t xml:space="preserve">本文显式分离的状态、资源和时序层为在线到达、随机加工及模块故障追索提供后续扩展</w:t>
      </w:r>
      <w:r>
        <w:t xml:space="preserve"> </w:t>
      </w:r>
      <w:r>
        <w:rPr>
          <w:rFonts w:hint="eastAsia"/>
        </w:rPr>
        <w:t xml:space="preserve">接口，但当前结论限于离线有限批次和所测试构型。在此范围内，同预算两阶段工作流的</w:t>
      </w:r>
      <w:r>
        <w:t xml:space="preserve"> </w:t>
      </w:r>
      <w:r>
        <w:rPr>
          <w:rFonts w:hint="eastAsia"/>
        </w:rPr>
        <w:t xml:space="preserve">保存排程具有显著更低的配对等待与节拍指标，RDMCT-HBS在比较方法中取得最低观察标称</w:t>
      </w:r>
      <w:r>
        <w:t xml:space="preserve"> </w:t>
      </w:r>
      <w:r>
        <w:rPr>
          <w:rFonts w:hint="eastAsia"/>
        </w:rPr>
        <w:t xml:space="preserve">平均PDI和时间。</w:t>
      </w:r>
    </w:p>
    <w:bookmarkEnd w:id="109"/>
    <w:bookmarkEnd w:id="110"/>
    <w:bookmarkStart w:id="111" w:name="结论"/>
    <w:p>
      <w:pPr>
        <w:pStyle w:val="2"/>
      </w:pPr>
      <w:r>
        <w:rPr>
          <w:rStyle w:val="SectionNumber"/>
        </w:rPr>
        <w:t xml:space="preserve">6</w:t>
      </w:r>
      <w:r>
        <w:tab/>
      </w:r>
      <w:r>
        <w:rPr>
          <w:rFonts w:hint="eastAsia"/>
        </w:rPr>
        <w:t xml:space="preserve">结论</w:t>
      </w:r>
    </w:p>
    <w:p>
      <w:pPr>
        <w:pStyle w:val="23"/>
      </w:pPr>
      <w:r>
        <w:rPr>
          <w:rFonts w:hint="eastAsia"/>
        </w:rPr>
        <w:t xml:space="preserve">本文面向一类旋转腔半导体组合设备建立模型与算法一体化框架。源接口将外部物料拓扑</w:t>
      </w:r>
      <w:r>
        <w:t xml:space="preserve"> </w:t>
      </w:r>
      <w:r>
        <w:rPr>
          <w:rFonts w:hint="eastAsia"/>
        </w:rPr>
        <w:t xml:space="preserve">与统一的内部</w:t>
      </w:r>
      <w:r>
        <w:rPr>
          <w:rFonts w:hint="eastAsia"/>
        </w:rPr>
        <w:t xml:space="preserve">“配置–资源–时序”</w:t>
      </w:r>
      <w:r>
        <w:rPr>
          <w:rFonts w:hint="eastAsia"/>
        </w:rPr>
        <w:t xml:space="preserve">模型分离：单源运行是基础特化，双源混流构型是本文</w:t>
      </w:r>
      <w:r>
        <w:t xml:space="preserve"> </w:t>
      </w:r>
      <w:r>
        <w:rPr>
          <w:rFonts w:hint="eastAsia"/>
        </w:rPr>
        <w:t xml:space="preserve">评估的强耦合压力场景。两阶段MILP统一表示产品晶圆、可复用真空区假片、混合旋转</w:t>
      </w:r>
      <w:r>
        <w:t xml:space="preserve"> </w:t>
      </w:r>
      <w:r>
        <w:rPr>
          <w:rFonts w:hint="eastAsia"/>
        </w:rPr>
        <w:t xml:space="preserve">配方、清洗、共享机械手、装载锁和驻留约束。同模式产品采用规范配对并固定到规范</w:t>
      </w:r>
      <w:r>
        <w:t xml:space="preserve"> </w:t>
      </w:r>
      <w:r>
        <w:rPr>
          <w:rFonts w:hint="eastAsia"/>
        </w:rPr>
        <w:t xml:space="preserve">腔室槽位，本文不主张内生优化产品分组或腔室侧面；第一阶段优化端到端最大完工时间，</w:t>
      </w:r>
      <w:r>
        <w:t xml:space="preserve"> </w:t>
      </w:r>
      <w:r>
        <w:rPr>
          <w:rFonts w:hint="eastAsia"/>
        </w:rPr>
        <w:t xml:space="preserve">第二阶段保持其离散排程和最大完工时间并优化时序质量。</w:t>
      </w:r>
    </w:p>
    <w:p>
      <w:pPr>
        <w:pStyle w:val="3"/>
      </w:pPr>
      <w:r>
        <w:rPr>
          <w:rFonts w:hint="eastAsia"/>
        </w:rPr>
        <w:t xml:space="preserve">在相同晶圆数、时间参数和设备条件下，六个精确模式–规模构型显示：当配方不强制指定模式时，纯</w:t>
      </w:r>
      <m:oMath>
        <m:r>
          <m:t>4</m:t>
        </m:r>
        <m:r>
          <m:rPr>
            <m:sty m:val="p"/>
          </m:rPr>
          <m:t>×</m:t>
        </m:r>
        <m:r>
          <m:t>1</m:t>
        </m:r>
      </m:oMath>
      <w:r>
        <w:rPr>
          <w:rFonts w:hint="eastAsia"/>
        </w:rPr>
        <w:t xml:space="preserve">在所测8片和16片批次中取得最短最大完工时间和最高等效吞吐率；该结论不外推到配方强制</w:t>
      </w:r>
      <m:oMath>
        <m:r>
          <m:t>2</m:t>
        </m:r>
        <m:r>
          <m:rPr>
            <m:sty m:val="p"/>
          </m:rPr>
          <m:t>×</m:t>
        </m:r>
        <m:r>
          <m:t>2</m:t>
        </m:r>
      </m:oMath>
      <w:r>
        <w:rPr>
          <w:rFonts w:hint="eastAsia"/>
        </w:rPr>
        <w:t xml:space="preserve">或尚未精确求解的更大批次。相对采用600</w:t>
      </w:r>
      <w:r>
        <w:t xml:space="preserve"> </w:t>
      </w:r>
      <w:r>
        <w:rPr>
          <w:rFonts w:hint="eastAsia"/>
        </w:rPr>
        <w:t xml:space="preserve">s主求解的单阶段流程，采用540</w:t>
      </w:r>
      <w:r>
        <w:t xml:space="preserve"> </w:t>
      </w:r>
      <w:r>
        <w:rPr>
          <w:rFonts w:hint="eastAsia"/>
        </w:rPr>
        <w:t xml:space="preserve">s主求解加至多60</w:t>
      </w:r>
      <w:r>
        <w:t xml:space="preserve"> </w:t>
      </w:r>
      <w:r>
        <w:rPr>
          <w:rFonts w:hint="eastAsia"/>
        </w:rPr>
        <w:t xml:space="preserve">s精修的完整两阶段</w:t>
      </w:r>
      <w:r>
        <w:t xml:space="preserve"> </w:t>
      </w:r>
      <w:r>
        <w:rPr>
          <w:rFonts w:hint="eastAsia"/>
        </w:rPr>
        <w:t xml:space="preserve">流程，其保存排程的路线总等待、最大等待、节拍变异和节拍偏差分别低51.91%、</w:t>
      </w:r>
      <w:r>
        <w:t xml:space="preserve"> </w:t>
      </w:r>
      <w:r>
        <w:rPr>
          <w:rFonts w:hint="eastAsia"/>
        </w:rPr>
        <w:t xml:space="preserve">68.89%、39.70%和94.05%；这些是同总预算工作流差异，不是纯第二阶段因果量。</w:t>
      </w:r>
      <w:r>
        <w:t xml:space="preserve"> </w:t>
      </w:r>
      <w:r>
        <w:rPr>
          <w:rFonts w:hint="eastAsia"/>
        </w:rPr>
        <w:t xml:space="preserve">RDMCT-HBS在完整2700次七方法比较中取得最低观察平均PDI和求解时间，但相对HEM和</w:t>
      </w:r>
      <w:r>
        <w:t xml:space="preserve"> </w:t>
      </w:r>
      <w:r>
        <w:rPr>
          <w:rFonts w:hint="eastAsia"/>
        </w:rPr>
        <w:t xml:space="preserve">SCIP的差异未达显著。把预计算SPBS输入SCIP后，求解窗口内PDI低26.19%，可行解率</w:t>
      </w:r>
      <w:r>
        <w:t xml:space="preserve"> </w:t>
      </w:r>
      <w:r>
        <w:rPr>
          <w:rFonts w:hint="eastAsia"/>
        </w:rPr>
        <w:t xml:space="preserve">达到100%；SPBS构造时间不在该比较内。析因实验在预设网格内显示规模与混流构成的</w:t>
      </w:r>
      <w:r>
        <w:t xml:space="preserve"> </w:t>
      </w:r>
      <w:r>
        <w:rPr>
          <w:rFonts w:hint="eastAsia"/>
        </w:rPr>
        <w:t xml:space="preserve">强交互关联。9个更大分布偏移构型的729次运行全部产生经求解器检查与后处理核查的可行解，但未</w:t>
      </w:r>
      <w:r>
        <w:t xml:space="preserve"> </w:t>
      </w:r>
      <w:r>
        <w:rPr>
          <w:rFonts w:hint="eastAsia"/>
        </w:rPr>
        <w:t xml:space="preserve">证明分布外最优性。</w:t>
      </w:r>
    </w:p>
    <w:p>
      <w:pPr>
        <w:pStyle w:val="3"/>
      </w:pPr>
      <w:r>
        <w:rPr>
          <w:rFonts w:hint="eastAsia"/>
        </w:rPr>
        <w:t xml:space="preserve">因此，在本文离线有限批次、规范配对和固定槽位的建模边界内，两阶段MILP提供吞吐量–</w:t>
      </w:r>
      <w:r>
        <w:t xml:space="preserve"> </w:t>
      </w:r>
      <w:r>
        <w:rPr>
          <w:rFonts w:hint="eastAsia"/>
        </w:rPr>
        <w:t xml:space="preserve">运行质量的分层优化机制，同预算两阶段工作流得到更低的保存排程运行指标；结构感知</w:t>
      </w:r>
      <w:r>
        <w:t xml:space="preserve"> </w:t>
      </w:r>
      <w:r>
        <w:rPr>
          <w:rFonts w:hint="eastAsia"/>
        </w:rPr>
        <w:t xml:space="preserve">学习增强分支割在本次标称比较中取得最低观察平均anytime性能。二者共同覆盖了可配置</w:t>
      </w:r>
      <w:r>
        <w:t xml:space="preserve"> </w:t>
      </w:r>
      <w:r>
        <w:rPr>
          <w:rFonts w:hint="eastAsia"/>
        </w:rPr>
        <w:t xml:space="preserve">源旋转腔组合设备的一类集成调度情形，结论范围限定为所测试的实例、预算与分布。</w:t>
      </w:r>
    </w:p>
    <w:bookmarkEnd w:id="111"/>
    <w:bookmarkStart w:id="112" w:name="credit作者贡献声明"/>
    <w:p>
      <w:pPr>
        <w:pStyle w:val="2"/>
      </w:pPr>
      <w:r>
        <w:rPr>
          <w:rFonts w:hint="eastAsia"/>
        </w:rPr>
        <w:t xml:space="preserve">CRediT作者贡献声明</w:t>
      </w:r>
    </w:p>
    <w:p>
      <w:pPr>
        <w:pStyle w:val="23"/>
      </w:pPr>
      <w:r>
        <w:rPr>
          <w:rFonts w:hint="eastAsia"/>
        </w:rPr>
        <w:t xml:space="preserve">邵立珍与魏林聪共同参与概念设计、方法、软件、验证、形式分析、研究、可视化和论文撰写。</w:t>
      </w:r>
    </w:p>
    <w:bookmarkEnd w:id="112"/>
    <w:bookmarkStart w:id="113" w:name="利益冲突声明"/>
    <w:p>
      <w:pPr>
        <w:pStyle w:val="2"/>
      </w:pPr>
      <w:r>
        <w:rPr>
          <w:rFonts w:hint="eastAsia"/>
        </w:rPr>
        <w:t xml:space="preserve">利益冲突声明</w:t>
      </w:r>
    </w:p>
    <w:p>
      <w:pPr>
        <w:pStyle w:val="23"/>
      </w:pPr>
      <w:r>
        <w:rPr>
          <w:rFonts w:hint="eastAsia"/>
        </w:rPr>
        <w:t xml:space="preserve">作者声明不存在可能影响本文工作的已知财务利益或个人关系。</w:t>
      </w:r>
    </w:p>
    <w:bookmarkEnd w:id="113"/>
    <w:bookmarkStart w:id="114" w:name="数据与代码可用性"/>
    <w:p>
      <w:pPr>
        <w:pStyle w:val="2"/>
      </w:pPr>
      <w:r>
        <w:rPr>
          <w:rFonts w:hint="eastAsia"/>
        </w:rPr>
        <w:t xml:space="preserve">数据与代码可用性</w:t>
      </w:r>
    </w:p>
    <w:p>
      <w:pPr>
        <w:pStyle w:val="23"/>
      </w:pPr>
      <w:r>
        <w:rPr>
          <w:rFonts w:hint="eastAsia"/>
        </w:rPr>
        <w:t xml:space="preserve">支撑本文结果的数据、数学实例、训练模型和源代码可向通信作者合理申请。正式发表版</w:t>
      </w:r>
      <w:r>
        <w:t xml:space="preserve"> </w:t>
      </w:r>
      <w:r>
        <w:rPr>
          <w:rFonts w:hint="eastAsia"/>
        </w:rPr>
        <w:t xml:space="preserve">将给出永久公共归档地址。</w:t>
      </w:r>
    </w:p>
    <w:bookmarkEnd w:id="114"/>
    <w:bookmarkStart w:id="115" w:name="稿件准备过程中生成式ai和ai辅助技术的声明"/>
    <w:p>
      <w:pPr>
        <w:pStyle w:val="2"/>
      </w:pPr>
      <w:r>
        <w:rPr>
          <w:rFonts w:hint="eastAsia"/>
        </w:rPr>
        <w:t xml:space="preserve">稿件准备过程中生成式AI和AI辅助技术的声明</w:t>
      </w:r>
    </w:p>
    <w:p>
      <w:pPr>
        <w:pStyle w:val="23"/>
      </w:pPr>
      <w:r>
        <w:rPr>
          <w:rFonts w:hint="eastAsia"/>
        </w:rPr>
        <w:t xml:space="preserve">在本文准备及相关软件开发过程中，作者使用OpenAI</w:t>
      </w:r>
      <w:r>
        <w:t xml:space="preserve"> </w:t>
      </w:r>
      <w:r>
        <w:rPr>
          <w:rFonts w:hint="eastAsia"/>
        </w:rPr>
        <w:t xml:space="preserve">ChatGPT和Codex辅助稿件结构组织与语言润色、</w:t>
      </w:r>
      <w:r>
        <w:t xml:space="preserve"> </w:t>
      </w:r>
      <w:r>
        <w:rPr>
          <w:rFonts w:hint="eastAsia"/>
        </w:rPr>
        <w:t xml:space="preserve">LaTeX一致性与文献元数据核查、软件实现与调试、实验流程和验证脚本编制，以及代码审查</w:t>
      </w:r>
      <w:r>
        <w:t xml:space="preserve"> </w:t>
      </w:r>
      <w:r>
        <w:rPr>
          <w:rFonts w:hint="eastAsia"/>
        </w:rPr>
        <w:t xml:space="preserve">与分析文字完善。该工具未用于生成实验观测、改动求解器输出、选择有利运行或决定署名。</w:t>
      </w:r>
      <w:r>
        <w:t xml:space="preserve"> </w:t>
      </w:r>
      <w:r>
        <w:rPr>
          <w:rFonts w:hint="eastAsia"/>
        </w:rPr>
        <w:t xml:space="preserve">研究问题、模型假设、实验设计、结果解释和投稿决定均由作者作出；作者逐项复核并按需</w:t>
      </w:r>
      <w:r>
        <w:t xml:space="preserve"> </w:t>
      </w:r>
      <w:r>
        <w:rPr>
          <w:rFonts w:hint="eastAsia"/>
        </w:rPr>
        <w:t xml:space="preserve">修改全部AI辅助输出，核验文献、公式、代码、数据、统计解释与最终文本，并对论文及</w:t>
      </w:r>
      <w:r>
        <w:t xml:space="preserve"> </w:t>
      </w:r>
      <w:r>
        <w:rPr>
          <w:rFonts w:hint="eastAsia"/>
        </w:rPr>
        <w:t xml:space="preserve">相关研究产物承担全部责任。</w:t>
      </w:r>
    </w:p>
    <w:bookmarkEnd w:id="115"/>
    <w:bookmarkStart w:id="194" w:name="bibliography"/>
    <w:p>
      <w:pPr>
        <w:pStyle w:val="2"/>
      </w:pPr>
      <w:r>
        <w:rPr>
          <w:rFonts w:hint="eastAsia"/>
        </w:rPr>
        <w:t xml:space="preserve">参考文献</w:t>
      </w:r>
    </w:p>
    <w:bookmarkStart w:id="193" w:name="refs"/>
    <w:bookmarkStart w:id="117" w:name="ref-achterberg2009scip"/>
    <w:p>
      <w:pPr>
        <w:pStyle w:val="28"/>
      </w:pPr>
      <w:r>
        <w:t xml:space="preserve">Achterberg, Tobias. 2009.</w:t>
      </w:r>
      <w:r>
        <w:t xml:space="preserve"> </w:t>
      </w:r>
      <w:r>
        <w:t xml:space="preserve">“</w:t>
      </w:r>
      <w:r>
        <w:t xml:space="preserve">SCIP</w:t>
      </w:r>
      <w:r>
        <w:t xml:space="preserve">: Solving Constraint Integer Programs.”</w:t>
      </w:r>
      <w:r>
        <w:t xml:space="preserve"> </w:t>
      </w:r>
      <w:r>
        <w:rPr>
          <w:i/>
          <w:iCs/>
        </w:rPr>
        <w:t xml:space="preserve">Mathematical Programming Computation</w:t>
      </w:r>
      <w:r>
        <w:t xml:space="preserve"> </w:t>
      </w:r>
      <w:r>
        <w:t xml:space="preserve">1 (1): 1–41.</w:t>
      </w:r>
      <w:r>
        <w:t xml:space="preserve"> </w:t>
      </w:r>
      <w:hyperlink r:id="rId116">
        <w:r>
          <w:rPr>
            <w:rStyle w:val="20"/>
          </w:rPr>
          <w:t xml:space="preserve">https://doi.org/10.1007/s12532-008-0001-1</w:t>
        </w:r>
      </w:hyperlink>
      <w:r>
        <w:t xml:space="preserve">.</w:t>
      </w:r>
    </w:p>
    <w:bookmarkEnd w:id="117"/>
    <w:bookmarkStart w:id="119" w:name="ref-bengio2021machine"/>
    <w:p>
      <w:pPr>
        <w:pStyle w:val="28"/>
      </w:pPr>
      <w:r>
        <w:t xml:space="preserve">Bengio, Yoshua, Andrea Lodi, and Antoine Prouvost. 2021.</w:t>
      </w:r>
      <w:r>
        <w:t xml:space="preserve"> </w:t>
      </w:r>
      <w:r>
        <w:t xml:space="preserve">“Machine Learning for Combinatorial Optimization: A Methodological Tour d’horizon.”</w:t>
      </w:r>
      <w:r>
        <w:t xml:space="preserve"> </w:t>
      </w:r>
      <w:r>
        <w:rPr>
          <w:i/>
          <w:iCs/>
        </w:rPr>
        <w:t xml:space="preserve">European Journal of Operational Research</w:t>
      </w:r>
      <w:r>
        <w:t xml:space="preserve"> </w:t>
      </w:r>
      <w:r>
        <w:t xml:space="preserve">290 (2): 405–21.</w:t>
      </w:r>
      <w:r>
        <w:t xml:space="preserve"> </w:t>
      </w:r>
      <w:hyperlink r:id="rId118">
        <w:r>
          <w:rPr>
            <w:rStyle w:val="20"/>
          </w:rPr>
          <w:t xml:space="preserve">https://doi.org/10.1016/j.ejor.2020.07.063</w:t>
        </w:r>
      </w:hyperlink>
      <w:r>
        <w:t xml:space="preserve">.</w:t>
      </w:r>
    </w:p>
    <w:bookmarkEnd w:id="119"/>
    <w:bookmarkStart w:id="121" w:name="ref-bestuzheva2023scip"/>
    <w:p>
      <w:pPr>
        <w:pStyle w:val="28"/>
      </w:pPr>
      <w:r>
        <w:t xml:space="preserve">Bestuzheva, Ksenia, Mathieu Besançon, Wei-Kun Chen, et al. 2023.</w:t>
      </w:r>
      <w:r>
        <w:t xml:space="preserve"> </w:t>
      </w:r>
      <w:r>
        <w:t xml:space="preserve">“Enabling Research Through the</w:t>
      </w:r>
      <w:r>
        <w:t xml:space="preserve"> </w:t>
      </w:r>
      <w:r>
        <w:t xml:space="preserve">SCIP</w:t>
      </w:r>
      <w:r>
        <w:t xml:space="preserve"> </w:t>
      </w:r>
      <w:r>
        <w:t xml:space="preserve">Optimization Suite 8.0.”</w:t>
      </w:r>
      <w:r>
        <w:t xml:space="preserve"> </w:t>
      </w:r>
      <w:r>
        <w:rPr>
          <w:i/>
          <w:iCs/>
        </w:rPr>
        <w:t xml:space="preserve">ACM Transactions on Mathematical Software</w:t>
      </w:r>
      <w:r>
        <w:t xml:space="preserve"> </w:t>
      </w:r>
      <w:r>
        <w:t xml:space="preserve">49 (2): 22:1–21.</w:t>
      </w:r>
      <w:r>
        <w:t xml:space="preserve"> </w:t>
      </w:r>
      <w:hyperlink r:id="rId120">
        <w:r>
          <w:rPr>
            <w:rStyle w:val="20"/>
          </w:rPr>
          <w:t xml:space="preserve">https://doi.org/10.1145/3585516</w:t>
        </w:r>
      </w:hyperlink>
      <w:r>
        <w:t xml:space="preserve">.</w:t>
      </w:r>
    </w:p>
    <w:bookmarkEnd w:id="121"/>
    <w:bookmarkStart w:id="123" w:name="ref-chien2021drlhga"/>
    <w:p>
      <w:pPr>
        <w:pStyle w:val="28"/>
      </w:pPr>
      <w:r>
        <w:t xml:space="preserve">Chien, Chen-Fu, and Yu-Bin Lan. 2021.</w:t>
      </w:r>
      <w:r>
        <w:t xml:space="preserve"> </w:t>
      </w:r>
      <w:r>
        <w:t xml:space="preserve">“Agent-Based Approach Integrating Deep Reinforcement Learning and Hybrid Genetic Algorithm for Dynamic Scheduling for</w:t>
      </w:r>
      <w:r>
        <w:t xml:space="preserve"> </w:t>
      </w:r>
      <w:r>
        <w:t xml:space="preserve">Industry 3.5</w:t>
      </w:r>
      <w:r>
        <w:t xml:space="preserve"> </w:t>
      </w:r>
      <w:r>
        <w:t xml:space="preserve">Smart Production.”</w:t>
      </w:r>
      <w:r>
        <w:t xml:space="preserve"> </w:t>
      </w:r>
      <w:r>
        <w:rPr>
          <w:i/>
          <w:iCs/>
        </w:rPr>
        <w:t xml:space="preserve">Computers &amp; Industrial Engineering</w:t>
      </w:r>
      <w:r>
        <w:t xml:space="preserve"> </w:t>
      </w:r>
      <w:r>
        <w:t xml:space="preserve">162: 107782.</w:t>
      </w:r>
      <w:r>
        <w:t xml:space="preserve"> </w:t>
      </w:r>
      <w:hyperlink r:id="rId122">
        <w:r>
          <w:rPr>
            <w:rStyle w:val="20"/>
          </w:rPr>
          <w:t xml:space="preserve">https://doi.org/10.1016/j.cie.2021.107782</w:t>
        </w:r>
      </w:hyperlink>
      <w:r>
        <w:t xml:space="preserve">.</w:t>
      </w:r>
    </w:p>
    <w:bookmarkEnd w:id="123"/>
    <w:bookmarkStart w:id="125" w:name="ref-choo2022beam"/>
    <w:p>
      <w:pPr>
        <w:pStyle w:val="28"/>
      </w:pPr>
      <w:r>
        <w:t xml:space="preserve">Choo, Jinho, Yeong-Dae Kwon, Jihoon Kim, et al. 2022.</w:t>
      </w:r>
      <w:r>
        <w:t xml:space="preserve"> </w:t>
      </w:r>
      <w:r>
        <w:t xml:space="preserve">“Simulation-Guided Beam Search for Neural Combinatorial Optimization.”</w:t>
      </w:r>
      <w:r>
        <w:t xml:space="preserve"> </w:t>
      </w:r>
      <w:r>
        <w:rPr>
          <w:i/>
          <w:iCs/>
        </w:rPr>
        <w:t xml:space="preserve">Advances in Neural Information Processing Systems</w:t>
      </w:r>
      <w:r>
        <w:t xml:space="preserve"> </w:t>
      </w:r>
      <w:r>
        <w:t xml:space="preserve">35.</w:t>
      </w:r>
      <w:r>
        <w:t xml:space="preserve"> </w:t>
      </w:r>
      <w:hyperlink r:id="rId124">
        <w:r>
          <w:rPr>
            <w:rStyle w:val="20"/>
          </w:rPr>
          <w:t xml:space="preserve">https://doi.org/10.52202/068431-0637</w:t>
        </w:r>
      </w:hyperlink>
      <w:r>
        <w:t xml:space="preserve">.</w:t>
      </w:r>
    </w:p>
    <w:bookmarkEnd w:id="125"/>
    <w:bookmarkStart w:id="127" w:name="ref-gleixner2021miplib"/>
    <w:p>
      <w:pPr>
        <w:pStyle w:val="28"/>
      </w:pPr>
      <w:r>
        <w:t xml:space="preserve">Gleixner, Ambros, Gregor Hendel, Gerald Gamrath, et al. 2021.</w:t>
      </w:r>
      <w:r>
        <w:t xml:space="preserve"> </w:t>
      </w:r>
      <w:r>
        <w:t xml:space="preserve">“</w:t>
      </w:r>
      <w:r>
        <w:t xml:space="preserve">MIPLIB</w:t>
      </w:r>
      <w:r>
        <w:t xml:space="preserve"> </w:t>
      </w:r>
      <w:r>
        <w:t xml:space="preserve">2017: Data-Driven Compilation of the 6th Mixed-Integer Programming Library.”</w:t>
      </w:r>
      <w:r>
        <w:t xml:space="preserve"> </w:t>
      </w:r>
      <w:r>
        <w:rPr>
          <w:i/>
          <w:iCs/>
        </w:rPr>
        <w:t xml:space="preserve">Mathematical Programming Computation</w:t>
      </w:r>
      <w:r>
        <w:t xml:space="preserve"> </w:t>
      </w:r>
      <w:r>
        <w:t xml:space="preserve">13 (3): 443–90.</w:t>
      </w:r>
      <w:r>
        <w:t xml:space="preserve"> </w:t>
      </w:r>
      <w:hyperlink r:id="rId126">
        <w:r>
          <w:rPr>
            <w:rStyle w:val="20"/>
          </w:rPr>
          <w:t xml:space="preserve">https://doi.org/10.1007/s12532-020-00194-3</w:t>
        </w:r>
      </w:hyperlink>
      <w:r>
        <w:t xml:space="preserve">.</w:t>
      </w:r>
    </w:p>
    <w:bookmarkEnd w:id="127"/>
    <w:bookmarkStart w:id="129" w:name="ref-gu2024multifinger"/>
    <w:p>
      <w:pPr>
        <w:pStyle w:val="28"/>
      </w:pPr>
      <w:r>
        <w:t xml:space="preserve">Gu, Lei, NaiQi Wu, Yan Qiao, and SiWei Zhang. 2024.</w:t>
      </w:r>
      <w:r>
        <w:t xml:space="preserve"> </w:t>
      </w:r>
      <w:r>
        <w:t xml:space="preserve">“Scheduling of</w:t>
      </w:r>
      <w:r>
        <w:t xml:space="preserve"> </w:t>
      </w:r>
      <w:r>
        <w:t xml:space="preserve">Multi-finger-robotic Cluster Tools</w:t>
      </w:r>
      <w:r>
        <w:t xml:space="preserve"> </w:t>
      </w:r>
      <w:r>
        <w:t xml:space="preserve">with</w:t>
      </w:r>
      <w:r>
        <w:t xml:space="preserve"> </w:t>
      </w:r>
      <w:r>
        <w:t xml:space="preserve">Multi-space Process Modules</w:t>
      </w:r>
      <w:r>
        <w:t xml:space="preserve">.”</w:t>
      </w:r>
      <w:r>
        <w:t xml:space="preserve"> </w:t>
      </w:r>
      <w:r>
        <w:rPr>
          <w:i/>
          <w:iCs/>
        </w:rPr>
        <w:t xml:space="preserve">2024 International Conference on Networking, Sensing and Control (</w:t>
      </w:r>
      <w:r>
        <w:rPr>
          <w:i/>
          <w:iCs/>
        </w:rPr>
        <w:t xml:space="preserve">ICNSC</w:t>
      </w:r>
      <w:r>
        <w:rPr>
          <w:i/>
          <w:iCs/>
        </w:rPr>
        <w:t xml:space="preserve">)</w:t>
      </w:r>
      <w:r>
        <w:t xml:space="preserve">.</w:t>
      </w:r>
      <w:r>
        <w:t xml:space="preserve"> </w:t>
      </w:r>
      <w:hyperlink r:id="rId128">
        <w:r>
          <w:rPr>
            <w:rStyle w:val="20"/>
          </w:rPr>
          <w:t xml:space="preserve">https://doi.org/10.1109/ICNSC62968.2024.10760109</w:t>
        </w:r>
      </w:hyperlink>
      <w:r>
        <w:t xml:space="preserve">.</w:t>
      </w:r>
    </w:p>
    <w:bookmarkEnd w:id="129"/>
    <w:bookmarkStart w:id="131" w:name="ref-hong2026ddpgct"/>
    <w:p>
      <w:pPr>
        <w:pStyle w:val="28"/>
      </w:pPr>
      <w:r>
        <w:t xml:space="preserve">Hong, Tzu-Yen, Chia-Yu Hsu, and Chia-Ling Chen. 2026.</w:t>
      </w:r>
      <w:r>
        <w:t xml:space="preserve"> </w:t>
      </w:r>
      <w:r>
        <w:t xml:space="preserve">“Simulation-Based Deep Reinforcement Learning for Process Time Optimization in Semiconductor Cluster Tool and an Empirical Study.”</w:t>
      </w:r>
      <w:r>
        <w:t xml:space="preserve"> </w:t>
      </w:r>
      <w:r>
        <w:rPr>
          <w:i/>
          <w:iCs/>
        </w:rPr>
        <w:t xml:space="preserve">Computers &amp; Industrial Engineering</w:t>
      </w:r>
      <w:r>
        <w:t xml:space="preserve"> </w:t>
      </w:r>
      <w:r>
        <w:t xml:space="preserve">211: 111698.</w:t>
      </w:r>
      <w:r>
        <w:t xml:space="preserve"> </w:t>
      </w:r>
      <w:hyperlink r:id="rId130">
        <w:r>
          <w:rPr>
            <w:rStyle w:val="20"/>
          </w:rPr>
          <w:t xml:space="preserve">https://doi.org/10.1016/j.cie.2025.111698</w:t>
        </w:r>
      </w:hyperlink>
      <w:r>
        <w:t xml:space="preserve">.</w:t>
      </w:r>
    </w:p>
    <w:bookmarkEnd w:id="131"/>
    <w:bookmarkStart w:id="133" w:name="ref-huang2022cutranking"/>
    <w:p>
      <w:pPr>
        <w:pStyle w:val="28"/>
      </w:pPr>
      <w:r>
        <w:t xml:space="preserve">Huang, Zeren, Kerong Wang, Furui Liu, et al. 2022.</w:t>
      </w:r>
      <w:r>
        <w:t xml:space="preserve"> </w:t>
      </w:r>
      <w:r>
        <w:t xml:space="preserve">“Learning to Select Cuts for Efficient Mixed-Integer Programming.”</w:t>
      </w:r>
      <w:r>
        <w:t xml:space="preserve"> </w:t>
      </w:r>
      <w:r>
        <w:rPr>
          <w:i/>
          <w:iCs/>
        </w:rPr>
        <w:t xml:space="preserve">Pattern Recognition</w:t>
      </w:r>
      <w:r>
        <w:t xml:space="preserve"> </w:t>
      </w:r>
      <w:r>
        <w:t xml:space="preserve">123: 108353.</w:t>
      </w:r>
      <w:r>
        <w:t xml:space="preserve"> </w:t>
      </w:r>
      <w:hyperlink r:id="rId132">
        <w:r>
          <w:rPr>
            <w:rStyle w:val="20"/>
          </w:rPr>
          <w:t xml:space="preserve">https://doi.org/10.1016/j.patcog.2021.108353</w:t>
        </w:r>
      </w:hyperlink>
      <w:r>
        <w:t xml:space="preserve">.</w:t>
      </w:r>
    </w:p>
    <w:bookmarkEnd w:id="133"/>
    <w:bookmarkStart w:id="135" w:name="ref-khalil2022mipgnn"/>
    <w:p>
      <w:pPr>
        <w:pStyle w:val="28"/>
      </w:pPr>
      <w:r>
        <w:t xml:space="preserve">Khalil, Elias B., Christopher Morris, and Andrea Lodi. 2022.</w:t>
      </w:r>
      <w:r>
        <w:t xml:space="preserve"> </w:t>
      </w:r>
      <w:r>
        <w:t xml:space="preserve">“</w:t>
      </w:r>
      <w:r>
        <w:t xml:space="preserve">MIP-GNN</w:t>
      </w:r>
      <w:r>
        <w:t xml:space="preserve">: A Data-Driven Framework for Guiding Combinatorial Solvers.”</w:t>
      </w:r>
      <w:r>
        <w:t xml:space="preserve"> </w:t>
      </w:r>
      <w:r>
        <w:rPr>
          <w:i/>
          <w:iCs/>
        </w:rPr>
        <w:t xml:space="preserve">Proceedings of the AAAI Conference on Artificial Intelligence</w:t>
      </w:r>
      <w:r>
        <w:t xml:space="preserve"> </w:t>
      </w:r>
      <w:r>
        <w:t xml:space="preserve">36: 10219–27.</w:t>
      </w:r>
      <w:r>
        <w:t xml:space="preserve"> </w:t>
      </w:r>
      <w:hyperlink r:id="rId134">
        <w:r>
          <w:rPr>
            <w:rStyle w:val="20"/>
          </w:rPr>
          <w:t xml:space="preserve">https://doi.org/10.1609/aaai.v36i9.21262</w:t>
        </w:r>
      </w:hyperlink>
      <w:r>
        <w:t xml:space="preserve">.</w:t>
      </w:r>
    </w:p>
    <w:bookmarkEnd w:id="135"/>
    <w:bookmarkStart w:id="137" w:name="ref-kim2025noncyclic"/>
    <w:p>
      <w:pPr>
        <w:pStyle w:val="28"/>
      </w:pPr>
      <w:r>
        <w:t xml:space="preserve">Kim, Duyeon, and Hyun Jung Kim. 2025.</w:t>
      </w:r>
      <w:r>
        <w:t xml:space="preserve"> </w:t>
      </w:r>
      <w:r>
        <w:t xml:space="preserve">“Noncyclic Scheduling of Cluster Tools Using Deep Reinforcement Learning.”</w:t>
      </w:r>
      <w:r>
        <w:t xml:space="preserve"> </w:t>
      </w:r>
      <w:r>
        <w:rPr>
          <w:i/>
          <w:iCs/>
        </w:rPr>
        <w:t xml:space="preserve">IEEE Transactions on Automation Science and Engineering</w:t>
      </w:r>
      <w:r>
        <w:t xml:space="preserve"> </w:t>
      </w:r>
      <w:r>
        <w:t xml:space="preserve">22: 24009–23.</w:t>
      </w:r>
      <w:r>
        <w:t xml:space="preserve"> </w:t>
      </w:r>
      <w:hyperlink r:id="rId136">
        <w:r>
          <w:rPr>
            <w:rStyle w:val="20"/>
          </w:rPr>
          <w:t xml:space="preserve">https://doi.org/10.1109/TASE.2025.3632534</w:t>
        </w:r>
      </w:hyperlink>
      <w:r>
        <w:t xml:space="preserve">.</w:t>
      </w:r>
    </w:p>
    <w:bookmarkEnd w:id="137"/>
    <w:bookmarkStart w:id="139" w:name="ref-kim2025adaptivecluster"/>
    <w:p>
      <w:pPr>
        <w:pStyle w:val="28"/>
      </w:pPr>
      <w:r>
        <w:t xml:space="preserve">Kim, Hyun-Jung, and Jun-Ho Lee. 2025.</w:t>
      </w:r>
      <w:r>
        <w:t xml:space="preserve"> </w:t>
      </w:r>
      <w:r>
        <w:t xml:space="preserve">“Scheduling Cluster Tools for Concurrent Processing: Deep Reinforcement Learning with Adaptive Search.”</w:t>
      </w:r>
      <w:r>
        <w:t xml:space="preserve"> </w:t>
      </w:r>
      <w:r>
        <w:rPr>
          <w:i/>
          <w:iCs/>
        </w:rPr>
        <w:t xml:space="preserve">IEEE Transactions on Automation Science and Engineering</w:t>
      </w:r>
      <w:r>
        <w:t xml:space="preserve"> </w:t>
      </w:r>
      <w:r>
        <w:t xml:space="preserve">22: 3783–96.</w:t>
      </w:r>
      <w:r>
        <w:t xml:space="preserve"> </w:t>
      </w:r>
      <w:hyperlink r:id="rId138">
        <w:r>
          <w:rPr>
            <w:rStyle w:val="20"/>
          </w:rPr>
          <w:t xml:space="preserve">https://doi.org/10.1109/TASE.2024.3399818</w:t>
        </w:r>
      </w:hyperlink>
      <w:r>
        <w:t xml:space="preserve">.</w:t>
      </w:r>
    </w:p>
    <w:bookmarkEnd w:id="139"/>
    <w:bookmarkStart w:id="141" w:name="ref-kim2021integrated"/>
    <w:p>
      <w:pPr>
        <w:pStyle w:val="28"/>
      </w:pPr>
      <w:r>
        <w:t xml:space="preserve">Kim, Woojin, Tae-Sun Yu, and Tae-Eog Lee. 2021.</w:t>
      </w:r>
      <w:r>
        <w:t xml:space="preserve"> </w:t>
      </w:r>
      <w:r>
        <w:t xml:space="preserve">“Integrated Scheduling of a Dual-Armed Cluster Tool for Maximizing Steady Schedule Patterns.”</w:t>
      </w:r>
      <w:r>
        <w:t xml:space="preserve"> </w:t>
      </w:r>
      <w:r>
        <w:rPr>
          <w:i/>
          <w:iCs/>
        </w:rPr>
        <w:t xml:space="preserve">IEEE Transactions on Systems, Man, and Cybernetics: Systems</w:t>
      </w:r>
      <w:r>
        <w:t xml:space="preserve"> </w:t>
      </w:r>
      <w:r>
        <w:t xml:space="preserve">51 (12): 7282–94.</w:t>
      </w:r>
      <w:r>
        <w:t xml:space="preserve"> </w:t>
      </w:r>
      <w:hyperlink r:id="rId140">
        <w:r>
          <w:rPr>
            <w:rStyle w:val="20"/>
          </w:rPr>
          <w:t xml:space="preserve">https://doi.org/10.1109/TSMC.2020.2978486</w:t>
        </w:r>
      </w:hyperlink>
      <w:r>
        <w:t xml:space="preserve">.</w:t>
      </w:r>
    </w:p>
    <w:bookmarkEnd w:id="141"/>
    <w:bookmarkStart w:id="143" w:name="ref-ko2021wafer"/>
    <w:p>
      <w:pPr>
        <w:pStyle w:val="28"/>
      </w:pPr>
      <w:r>
        <w:t xml:space="preserve">Ko, Sung-Gil, Tae-Sun Yu, and Tae-Eog Lee. 2021.</w:t>
      </w:r>
      <w:r>
        <w:t xml:space="preserve"> </w:t>
      </w:r>
      <w:r>
        <w:t xml:space="preserve">“Wafer Delay Analysis and Workload Balancing of Parallel Chambers for Dual-Armed Cluster Tools with Multiple Wafer Types.”</w:t>
      </w:r>
      <w:r>
        <w:t xml:space="preserve"> </w:t>
      </w:r>
      <w:r>
        <w:rPr>
          <w:i/>
          <w:iCs/>
        </w:rPr>
        <w:t xml:space="preserve">IEEE Transactions on Automation Science and Engineering</w:t>
      </w:r>
      <w:r>
        <w:t xml:space="preserve"> </w:t>
      </w:r>
      <w:r>
        <w:t xml:space="preserve">18 (3): 1516–26.</w:t>
      </w:r>
      <w:r>
        <w:t xml:space="preserve"> </w:t>
      </w:r>
      <w:hyperlink r:id="rId142">
        <w:r>
          <w:rPr>
            <w:rStyle w:val="20"/>
          </w:rPr>
          <w:t xml:space="preserve">https://doi.org/10.1109/TASE.2021.3061140</w:t>
        </w:r>
      </w:hyperlink>
      <w:r>
        <w:t xml:space="preserve">.</w:t>
      </w:r>
    </w:p>
    <w:bookmarkEnd w:id="143"/>
    <w:bookmarkStart w:id="145" w:name="ref-lee2023cleaningplan"/>
    <w:p>
      <w:pPr>
        <w:pStyle w:val="28"/>
      </w:pPr>
      <w:r>
        <w:t xml:space="preserve">Lee, Tae-Gyung, Tae-Sun Yu, and Tae-Eog Lee. 2023.</w:t>
      </w:r>
      <w:r>
        <w:t xml:space="preserve"> </w:t>
      </w:r>
      <w:r>
        <w:t xml:space="preserve">“Cleaning Plan Optimization for Dual-Armed Cluster Tools with General Chamber Cleaning Periods.”</w:t>
      </w:r>
      <w:r>
        <w:t xml:space="preserve"> </w:t>
      </w:r>
      <w:r>
        <w:rPr>
          <w:i/>
          <w:iCs/>
        </w:rPr>
        <w:t xml:space="preserve">IEEE Transactions on Automation Science and Engineering</w:t>
      </w:r>
      <w:r>
        <w:t xml:space="preserve"> </w:t>
      </w:r>
      <w:r>
        <w:t xml:space="preserve">20 (3): 1890–906.</w:t>
      </w:r>
      <w:r>
        <w:t xml:space="preserve"> </w:t>
      </w:r>
      <w:hyperlink r:id="rId144">
        <w:r>
          <w:rPr>
            <w:rStyle w:val="20"/>
          </w:rPr>
          <w:t xml:space="preserve">https://doi.org/10.1109/TASE.2022.3188858</w:t>
        </w:r>
      </w:hyperlink>
      <w:r>
        <w:t xml:space="preserve">.</w:t>
      </w:r>
    </w:p>
    <w:bookmarkEnd w:id="145"/>
    <w:bookmarkStart w:id="147" w:name="ref-li2022conditioncleaning"/>
    <w:p>
      <w:pPr>
        <w:pStyle w:val="28"/>
      </w:pPr>
      <w:r>
        <w:t xml:space="preserve">Li, Chao, Fajun Yang, and Lu Zhen. 2022.</w:t>
      </w:r>
      <w:r>
        <w:t xml:space="preserve"> </w:t>
      </w:r>
      <w:r>
        <w:t xml:space="preserve">“Efficient Scheduling Approaches to Time-Constrained Single-Armed Cluster Tools with Condition-Based Chamber Cleaning Operations.”</w:t>
      </w:r>
      <w:r>
        <w:t xml:space="preserve"> </w:t>
      </w:r>
      <w:r>
        <w:rPr>
          <w:i/>
          <w:iCs/>
        </w:rPr>
        <w:t xml:space="preserve">International Journal of Production Research</w:t>
      </w:r>
      <w:r>
        <w:t xml:space="preserve"> </w:t>
      </w:r>
      <w:r>
        <w:t xml:space="preserve">60 (11): 3555–68.</w:t>
      </w:r>
      <w:r>
        <w:t xml:space="preserve"> </w:t>
      </w:r>
      <w:hyperlink r:id="rId146">
        <w:r>
          <w:rPr>
            <w:rStyle w:val="20"/>
          </w:rPr>
          <w:t xml:space="preserve">https://doi.org/10.1080/00207543.2021.1926568</w:t>
        </w:r>
      </w:hyperlink>
      <w:r>
        <w:t xml:space="preserve">.</w:t>
      </w:r>
    </w:p>
    <w:bookmarkEnd w:id="147"/>
    <w:bookmarkStart w:id="149" w:name="ref-li2022hybridfeedback"/>
    <w:p>
      <w:pPr>
        <w:pStyle w:val="28"/>
      </w:pPr>
      <w:r>
        <w:t xml:space="preserve">Li, Chen, and Qing Chang. 2022.</w:t>
      </w:r>
      <w:r>
        <w:t xml:space="preserve"> </w:t>
      </w:r>
      <w:r>
        <w:t xml:space="preserve">“Hybrid Feedback and Reinforcement Learning-Based Control of Machine Cycle Time for a Multi-Stage Production System.”</w:t>
      </w:r>
      <w:r>
        <w:t xml:space="preserve"> </w:t>
      </w:r>
      <w:r>
        <w:rPr>
          <w:i/>
          <w:iCs/>
        </w:rPr>
        <w:t xml:space="preserve">Journal of Manufacturing Systems</w:t>
      </w:r>
      <w:r>
        <w:t xml:space="preserve"> </w:t>
      </w:r>
      <w:r>
        <w:t xml:space="preserve">65: 351–61.</w:t>
      </w:r>
      <w:r>
        <w:t xml:space="preserve"> </w:t>
      </w:r>
      <w:hyperlink r:id="rId148">
        <w:r>
          <w:rPr>
            <w:rStyle w:val="20"/>
          </w:rPr>
          <w:t xml:space="preserve">https://doi.org/10.1016/j.jmsy.2022.09.020</w:t>
        </w:r>
      </w:hyperlink>
      <w:r>
        <w:t xml:space="preserve">.</w:t>
      </w:r>
    </w:p>
    <w:bookmarkEnd w:id="149"/>
    <w:bookmarkStart w:id="151" w:name="ref-li2025cyclicmultitype"/>
    <w:p>
      <w:pPr>
        <w:pStyle w:val="28"/>
      </w:pPr>
      <w:r>
        <w:t xml:space="preserve">Li, Xin, and Wen Yang. 2025.</w:t>
      </w:r>
      <w:r>
        <w:t xml:space="preserve"> </w:t>
      </w:r>
      <w:r>
        <w:t xml:space="preserve">“Cyclic Scheduling of Multi-Type Wafers Concurrent Processing in Single-Arm Cluster Tools with Residency Time Constraints.”</w:t>
      </w:r>
      <w:r>
        <w:t xml:space="preserve"> </w:t>
      </w:r>
      <w:r>
        <w:rPr>
          <w:i/>
          <w:iCs/>
        </w:rPr>
        <w:t xml:space="preserve">Expert Systems with Applications</w:t>
      </w:r>
      <w:r>
        <w:t xml:space="preserve"> </w:t>
      </w:r>
      <w:r>
        <w:t xml:space="preserve">269: 126443.</w:t>
      </w:r>
      <w:r>
        <w:t xml:space="preserve"> </w:t>
      </w:r>
      <w:hyperlink r:id="rId150">
        <w:r>
          <w:rPr>
            <w:rStyle w:val="20"/>
          </w:rPr>
          <w:t xml:space="preserve">https://doi.org/10.1016/j.eswa.2025.126443</w:t>
        </w:r>
      </w:hyperlink>
      <w:r>
        <w:t xml:space="preserve">.</w:t>
      </w:r>
    </w:p>
    <w:bookmarkEnd w:id="151"/>
    <w:bookmarkStart w:id="153" w:name="ref-liu2022cnna3c"/>
    <w:p>
      <w:pPr>
        <w:pStyle w:val="28"/>
      </w:pPr>
      <w:r>
        <w:t xml:space="preserve">Liu, Juan, Fei Qiao, Minjie Zou, Jonas Zinn, Yumin Ma, and Birgit Vogel-Heuser. 2022.</w:t>
      </w:r>
      <w:r>
        <w:t xml:space="preserve"> </w:t>
      </w:r>
      <w:r>
        <w:t xml:space="preserve">“Dynamic Scheduling for Semiconductor Manufacturing Systems with Uncertainties Using Convolutional Neural Networks and Reinforcement Learning.”</w:t>
      </w:r>
      <w:r>
        <w:t xml:space="preserve"> </w:t>
      </w:r>
      <w:r>
        <w:rPr>
          <w:i/>
          <w:iCs/>
        </w:rPr>
        <w:t xml:space="preserve">Complex &amp; Intelligent Systems</w:t>
      </w:r>
      <w:r>
        <w:t xml:space="preserve"> </w:t>
      </w:r>
      <w:r>
        <w:t xml:space="preserve">8 (6): 4641–62.</w:t>
      </w:r>
      <w:r>
        <w:t xml:space="preserve"> </w:t>
      </w:r>
      <w:hyperlink r:id="rId152">
        <w:r>
          <w:rPr>
            <w:rStyle w:val="20"/>
          </w:rPr>
          <w:t xml:space="preserve">https://doi.org/10.1007/s40747-022-00844-0</w:t>
        </w:r>
      </w:hyperlink>
      <w:r>
        <w:t xml:space="preserve">.</w:t>
      </w:r>
    </w:p>
    <w:bookmarkEnd w:id="153"/>
    <w:bookmarkStart w:id="155" w:name="ref-mnih2016a3c"/>
    <w:p>
      <w:pPr>
        <w:pStyle w:val="28"/>
      </w:pPr>
      <w:r>
        <w:t xml:space="preserve">Mnih, Volodymyr, Adria Puigdomenech Badia, Mehdi Mirza, et al. 2016.</w:t>
      </w:r>
      <w:r>
        <w:t xml:space="preserve"> </w:t>
      </w:r>
      <w:r>
        <w:t xml:space="preserve">“Asynchronous Methods for Deep Reinforcement Learning.”</w:t>
      </w:r>
      <w:r>
        <w:t xml:space="preserve"> </w:t>
      </w:r>
      <w:r>
        <w:rPr>
          <w:i/>
          <w:iCs/>
        </w:rPr>
        <w:t xml:space="preserve">Proceedings of the 33rd International Conference on Machine Learning</w:t>
      </w:r>
      <w:r>
        <w:t xml:space="preserve">, Proceedings of machine learning research, vol. 48: 1928–37.</w:t>
      </w:r>
      <w:r>
        <w:t xml:space="preserve"> </w:t>
      </w:r>
      <w:hyperlink r:id="rId154">
        <w:r>
          <w:rPr>
            <w:rStyle w:val="20"/>
          </w:rPr>
          <w:t xml:space="preserve">https://proceedings.mlr.press/v48/mniha16.html</w:t>
        </w:r>
      </w:hyperlink>
      <w:r>
        <w:t xml:space="preserve">.</w:t>
      </w:r>
    </w:p>
    <w:bookmarkEnd w:id="155"/>
    <w:bookmarkStart w:id="157" w:name="ref-nemhauser1978analysis"/>
    <w:p>
      <w:pPr>
        <w:pStyle w:val="28"/>
      </w:pPr>
      <w:r>
        <w:t xml:space="preserve">Nemhauser, George L., Laurence A. Wolsey, and Marshall L. Fisher. 1978.</w:t>
      </w:r>
      <w:r>
        <w:t xml:space="preserve"> </w:t>
      </w:r>
      <w:r>
        <w:t xml:space="preserve">“An Analysis of Approximations for Maximizing Submodular Set Functions—i.”</w:t>
      </w:r>
      <w:r>
        <w:t xml:space="preserve"> </w:t>
      </w:r>
      <w:r>
        <w:rPr>
          <w:i/>
          <w:iCs/>
        </w:rPr>
        <w:t xml:space="preserve">Mathematical Programming</w:t>
      </w:r>
      <w:r>
        <w:t xml:space="preserve"> </w:t>
      </w:r>
      <w:r>
        <w:t xml:space="preserve">14: 265–94.</w:t>
      </w:r>
      <w:r>
        <w:t xml:space="preserve"> </w:t>
      </w:r>
      <w:hyperlink r:id="rId156">
        <w:r>
          <w:rPr>
            <w:rStyle w:val="20"/>
          </w:rPr>
          <w:t xml:space="preserve">https://doi.org/10.1007/BF01588971</w:t>
        </w:r>
      </w:hyperlink>
      <w:r>
        <w:t xml:space="preserve">.</w:t>
      </w:r>
    </w:p>
    <w:bookmarkEnd w:id="157"/>
    <w:bookmarkStart w:id="159" w:name="ref-nishi2015deadlock"/>
    <w:p>
      <w:pPr>
        <w:pStyle w:val="28"/>
      </w:pPr>
      <w:r>
        <w:t xml:space="preserve">Nishi, Tatsushi, and Izuru Matsumoto. 2015.</w:t>
      </w:r>
      <w:r>
        <w:t xml:space="preserve"> </w:t>
      </w:r>
      <w:r>
        <w:t xml:space="preserve">“Petri Net Decomposition Approach to Deadlock-Free and Non-Cyclic Scheduling of Dual-Armed Cluster Tools.”</w:t>
      </w:r>
      <w:r>
        <w:t xml:space="preserve"> </w:t>
      </w:r>
      <w:r>
        <w:rPr>
          <w:i/>
          <w:iCs/>
        </w:rPr>
        <w:t xml:space="preserve">IEEE Transactions on Automation Science and Engineering</w:t>
      </w:r>
      <w:r>
        <w:t xml:space="preserve"> </w:t>
      </w:r>
      <w:r>
        <w:t xml:space="preserve">12 (1): 281–94.</w:t>
      </w:r>
      <w:r>
        <w:t xml:space="preserve"> </w:t>
      </w:r>
      <w:hyperlink r:id="rId158">
        <w:r>
          <w:rPr>
            <w:rStyle w:val="20"/>
          </w:rPr>
          <w:t xml:space="preserve">https://doi.org/10.1109/TASE.2013.2292572</w:t>
        </w:r>
      </w:hyperlink>
      <w:r>
        <w:t xml:space="preserve">.</w:t>
      </w:r>
    </w:p>
    <w:bookmarkEnd w:id="159"/>
    <w:bookmarkStart w:id="161" w:name="ref-pan2024cycletime"/>
    <w:p>
      <w:pPr>
        <w:pStyle w:val="28"/>
      </w:pPr>
      <w:r>
        <w:t xml:space="preserve">Pan, Chunrong, Yiming Lai, Yan Qiao, Naiqi Wu, and Xin Luo. 2024.</w:t>
      </w:r>
      <w:r>
        <w:t xml:space="preserve"> </w:t>
      </w:r>
      <w:r>
        <w:t xml:space="preserve">“Cycle Time Analysis for Cluster Tools with Parallel Process Chambers, Processing Time Variation, and Chamber Cleaning Operations.”</w:t>
      </w:r>
      <w:r>
        <w:t xml:space="preserve"> </w:t>
      </w:r>
      <w:r>
        <w:rPr>
          <w:i/>
          <w:iCs/>
        </w:rPr>
        <w:t xml:space="preserve">Expert Systems with Applications</w:t>
      </w:r>
      <w:r>
        <w:t xml:space="preserve"> </w:t>
      </w:r>
      <w:r>
        <w:t xml:space="preserve">255: 124471.</w:t>
      </w:r>
      <w:r>
        <w:t xml:space="preserve"> </w:t>
      </w:r>
      <w:hyperlink r:id="rId160">
        <w:r>
          <w:rPr>
            <w:rStyle w:val="20"/>
          </w:rPr>
          <w:t xml:space="preserve">https://doi.org/10.1016/j.eswa.2024.124471</w:t>
        </w:r>
      </w:hyperlink>
      <w:r>
        <w:t xml:space="preserve">.</w:t>
      </w:r>
    </w:p>
    <w:bookmarkEnd w:id="161"/>
    <w:bookmarkStart w:id="163" w:name="ref-pan2018clusterreview"/>
    <w:p>
      <w:pPr>
        <w:pStyle w:val="28"/>
      </w:pPr>
      <w:r>
        <w:t xml:space="preserve">Pan, Chunrong, MengChu Zhou, Yan Qiao, and Naiqi Wu. 2018.</w:t>
      </w:r>
      <w:r>
        <w:t xml:space="preserve"> </w:t>
      </w:r>
      <w:r>
        <w:t xml:space="preserve">“Scheduling Cluster Tools in Semiconductor Manufacturing: Recent Advances and Challenges.”</w:t>
      </w:r>
      <w:r>
        <w:t xml:space="preserve"> </w:t>
      </w:r>
      <w:r>
        <w:rPr>
          <w:i/>
          <w:iCs/>
        </w:rPr>
        <w:t xml:space="preserve">IEEE Transactions on Automation Science and Engineering</w:t>
      </w:r>
      <w:r>
        <w:t xml:space="preserve"> </w:t>
      </w:r>
      <w:r>
        <w:t xml:space="preserve">15 (2): 586–601.</w:t>
      </w:r>
      <w:r>
        <w:t xml:space="preserve"> </w:t>
      </w:r>
      <w:hyperlink r:id="rId162">
        <w:r>
          <w:rPr>
            <w:rStyle w:val="20"/>
          </w:rPr>
          <w:t xml:space="preserve">https://doi.org/10.1109/TASE.2016.2642997</w:t>
        </w:r>
      </w:hyperlink>
      <w:r>
        <w:t xml:space="preserve">.</w:t>
      </w:r>
    </w:p>
    <w:bookmarkEnd w:id="163"/>
    <w:bookmarkStart w:id="165" w:name="ref-paulus2022looking"/>
    <w:p>
      <w:pPr>
        <w:pStyle w:val="28"/>
      </w:pPr>
      <w:r>
        <w:t xml:space="preserve">Paulus, Max B., Giulia Zarpellon, Andreas Krause, Laurent Charlin, and Chris Maddison. 2022.</w:t>
      </w:r>
      <w:r>
        <w:t xml:space="preserve"> </w:t>
      </w:r>
      <w:r>
        <w:t xml:space="preserve">“Learning to Cut by Looking Ahead: Cutting Plane Selection via Imitation Learning.”</w:t>
      </w:r>
      <w:r>
        <w:t xml:space="preserve"> </w:t>
      </w:r>
      <w:r>
        <w:rPr>
          <w:i/>
          <w:iCs/>
        </w:rPr>
        <w:t xml:space="preserve">Proceedings of the 39th International Conference on Machine Learning</w:t>
      </w:r>
      <w:r>
        <w:t xml:space="preserve">, Proceedings of machine learning research, vol. 162: 17584–600.</w:t>
      </w:r>
      <w:r>
        <w:t xml:space="preserve"> </w:t>
      </w:r>
      <w:hyperlink r:id="rId164">
        <w:r>
          <w:rPr>
            <w:rStyle w:val="20"/>
          </w:rPr>
          <w:t xml:space="preserve">https://proceedings.mlr.press/v162/paulus22a.html</w:t>
        </w:r>
      </w:hyperlink>
      <w:r>
        <w:t xml:space="preserve">.</w:t>
      </w:r>
    </w:p>
    <w:bookmarkEnd w:id="165"/>
    <w:bookmarkStart w:id="167" w:name="ref-qiao2022binary"/>
    <w:p>
      <w:pPr>
        <w:pStyle w:val="28"/>
      </w:pPr>
      <w:r>
        <w:t xml:space="preserve">Qiao, Yan, Yanjun Lu, Jie Li, Siwei Zhang, Naiqi Wu, and Bin Liu. 2022.</w:t>
      </w:r>
      <w:r>
        <w:t xml:space="preserve"> </w:t>
      </w:r>
      <w:r>
        <w:t xml:space="preserve">“An Efficient Binary Integer Programming Model for Residency Time-Constrained Cluster Tools with Chamber Cleaning Requirements.”</w:t>
      </w:r>
      <w:r>
        <w:t xml:space="preserve"> </w:t>
      </w:r>
      <w:r>
        <w:rPr>
          <w:i/>
          <w:iCs/>
        </w:rPr>
        <w:t xml:space="preserve">IEEE Transactions on Automation Science and Engineering</w:t>
      </w:r>
      <w:r>
        <w:t xml:space="preserve"> </w:t>
      </w:r>
      <w:r>
        <w:t xml:space="preserve">19 (3): 1757–71.</w:t>
      </w:r>
      <w:r>
        <w:t xml:space="preserve"> </w:t>
      </w:r>
      <w:hyperlink r:id="rId166">
        <w:r>
          <w:rPr>
            <w:rStyle w:val="20"/>
          </w:rPr>
          <w:t xml:space="preserve">https://doi.org/10.1109/TASE.2021.3122576</w:t>
        </w:r>
      </w:hyperlink>
      <w:r>
        <w:t xml:space="preserve">.</w:t>
      </w:r>
    </w:p>
    <w:bookmarkEnd w:id="167"/>
    <w:bookmarkStart w:id="169" w:name="ref-scavuzzo2024mlbb"/>
    <w:p>
      <w:pPr>
        <w:pStyle w:val="28"/>
      </w:pPr>
      <w:r>
        <w:t xml:space="preserve">Scavuzzo, Lara, Karen Aardal, Andrea Lodi, and Neil Yorke-Smith. 2024.</w:t>
      </w:r>
      <w:r>
        <w:t xml:space="preserve"> </w:t>
      </w:r>
      <w:r>
        <w:t xml:space="preserve">“Machine Learning Augmented Branch and Bound for Mixed Integer Linear Programming.”</w:t>
      </w:r>
      <w:r>
        <w:t xml:space="preserve"> </w:t>
      </w:r>
      <w:r>
        <w:rPr>
          <w:i/>
          <w:iCs/>
        </w:rPr>
        <w:t xml:space="preserve">Mathematical Programming</w:t>
      </w:r>
      <w:r>
        <w:t xml:space="preserve">, ahead of print.</w:t>
      </w:r>
      <w:r>
        <w:t xml:space="preserve"> </w:t>
      </w:r>
      <w:hyperlink r:id="rId168">
        <w:r>
          <w:rPr>
            <w:rStyle w:val="20"/>
          </w:rPr>
          <w:t xml:space="preserve">https://doi.org/10.1007/s10107-024-02130-y</w:t>
        </w:r>
      </w:hyperlink>
      <w:r>
        <w:t xml:space="preserve">.</w:t>
      </w:r>
    </w:p>
    <w:bookmarkEnd w:id="169"/>
    <w:bookmarkStart w:id="171" w:name="ref-tang2020cut"/>
    <w:p>
      <w:pPr>
        <w:pStyle w:val="28"/>
      </w:pPr>
      <w:r>
        <w:t xml:space="preserve">Tang, Yunhao, Shipra Agrawal, and Yuri Faenza. 2020.</w:t>
      </w:r>
      <w:r>
        <w:t xml:space="preserve"> </w:t>
      </w:r>
      <w:r>
        <w:t xml:space="preserve">“Reinforcement Learning for Integer Programming: Learning to Cut.”</w:t>
      </w:r>
      <w:r>
        <w:t xml:space="preserve"> </w:t>
      </w:r>
      <w:r>
        <w:rPr>
          <w:i/>
          <w:iCs/>
        </w:rPr>
        <w:t xml:space="preserve">Proceedings of the 37th International Conference on Machine Learning</w:t>
      </w:r>
      <w:r>
        <w:t xml:space="preserve">, Proceedings of machine learning research, vol. 119: 9367–76.</w:t>
      </w:r>
      <w:r>
        <w:t xml:space="preserve"> </w:t>
      </w:r>
      <w:hyperlink r:id="rId170">
        <w:r>
          <w:rPr>
            <w:rStyle w:val="20"/>
          </w:rPr>
          <w:t xml:space="preserve">https://proceedings.mlr.press/v119/tang20a.html</w:t>
        </w:r>
      </w:hyperlink>
      <w:r>
        <w:t xml:space="preserve">.</w:t>
      </w:r>
    </w:p>
    <w:bookmarkEnd w:id="171"/>
    <w:bookmarkStart w:id="173" w:name="ref-turner2023adaptive"/>
    <w:p>
      <w:pPr>
        <w:pStyle w:val="28"/>
      </w:pPr>
      <w:r>
        <w:t xml:space="preserve">Turner, Mark, Thorsten Koch, Felipe Serrano, and Michael Winkler. 2023.</w:t>
      </w:r>
      <w:r>
        <w:t xml:space="preserve"> </w:t>
      </w:r>
      <w:r>
        <w:t xml:space="preserve">“Adaptive Cut Selection in Mixed-Integer Linear Programming.”</w:t>
      </w:r>
      <w:r>
        <w:t xml:space="preserve"> </w:t>
      </w:r>
      <w:r>
        <w:rPr>
          <w:i/>
          <w:iCs/>
        </w:rPr>
        <w:t xml:space="preserve">Open Journal of Mathematical Optimization</w:t>
      </w:r>
      <w:r>
        <w:t xml:space="preserve"> </w:t>
      </w:r>
      <w:r>
        <w:t xml:space="preserve">4: 1–28.</w:t>
      </w:r>
      <w:r>
        <w:t xml:space="preserve"> </w:t>
      </w:r>
      <w:hyperlink r:id="rId172">
        <w:r>
          <w:rPr>
            <w:rStyle w:val="20"/>
          </w:rPr>
          <w:t xml:space="preserve">https://doi.org/10.5802/ojmo.25</w:t>
        </w:r>
      </w:hyperlink>
      <w:r>
        <w:t xml:space="preserve">.</w:t>
      </w:r>
    </w:p>
    <w:bookmarkEnd w:id="173"/>
    <w:bookmarkStart w:id="174" w:name="ref-vinyals2015pointer"/>
    <w:p>
      <w:pPr>
        <w:pStyle w:val="28"/>
      </w:pPr>
      <w:r>
        <w:t xml:space="preserve">Vinyals, Oriol, Meire Fortunato, and Navdeep Jaitly. 2015.</w:t>
      </w:r>
      <w:r>
        <w:t xml:space="preserve"> </w:t>
      </w:r>
      <w:r>
        <w:t xml:space="preserve">“Pointer Networks.”</w:t>
      </w:r>
      <w:r>
        <w:t xml:space="preserve"> </w:t>
      </w:r>
      <w:r>
        <w:rPr>
          <w:i/>
          <w:iCs/>
        </w:rPr>
        <w:t xml:space="preserve">Advances in Neural Information Processing Systems</w:t>
      </w:r>
      <w:r>
        <w:t xml:space="preserve"> </w:t>
      </w:r>
      <w:r>
        <w:t xml:space="preserve">28: 2692–700.</w:t>
      </w:r>
    </w:p>
    <w:bookmarkEnd w:id="174"/>
    <w:bookmarkStart w:id="176" w:name="ref-wang2024hemtpami"/>
    <w:p>
      <w:pPr>
        <w:pStyle w:val="28"/>
      </w:pPr>
      <w:r>
        <w:t xml:space="preserve">Wang, Jie, Zhihai Wang, Xijun Li, et al. 2024.</w:t>
      </w:r>
      <w:r>
        <w:t xml:space="preserve"> </w:t>
      </w:r>
      <w:r>
        <w:t xml:space="preserve">“Learning to Cut via Hierarchical Sequence/Set Model for Efficient Mixed-Integer Programming.”</w:t>
      </w:r>
      <w:r>
        <w:t xml:space="preserve"> </w:t>
      </w:r>
      <w:r>
        <w:rPr>
          <w:i/>
          <w:iCs/>
        </w:rPr>
        <w:t xml:space="preserve">IEEE Transactions on Pattern Analysis and Machine Intelligence</w:t>
      </w:r>
      <w:r>
        <w:t xml:space="preserve"> </w:t>
      </w:r>
      <w:r>
        <w:t xml:space="preserve">46 (12): 9697–713.</w:t>
      </w:r>
      <w:r>
        <w:t xml:space="preserve"> </w:t>
      </w:r>
      <w:hyperlink r:id="rId175">
        <w:r>
          <w:rPr>
            <w:rStyle w:val="20"/>
          </w:rPr>
          <w:t xml:space="preserve">https://doi.org/10.1109/TPAMI.2024.3432716</w:t>
        </w:r>
      </w:hyperlink>
      <w:r>
        <w:t xml:space="preserve">.</w:t>
      </w:r>
    </w:p>
    <w:bookmarkEnd w:id="176"/>
    <w:bookmarkStart w:id="178" w:name="ref-wang2023optimalcyclic"/>
    <w:p>
      <w:pPr>
        <w:pStyle w:val="28"/>
      </w:pPr>
      <w:r>
        <w:t xml:space="preserve">Wang, Jufeng, Chunfeng Liu, MengChu Zhou, Tingting Leng, and Aiiad Albeshri. 2023.</w:t>
      </w:r>
      <w:r>
        <w:t xml:space="preserve"> </w:t>
      </w:r>
      <w:r>
        <w:t xml:space="preserve">“Optimal Cyclic Scheduling of Wafer-Residency-Time-Constrained Dual-Arm Cluster Tools by Configuring Processing Modules and Robot Waiting Time.”</w:t>
      </w:r>
      <w:r>
        <w:t xml:space="preserve"> </w:t>
      </w:r>
      <w:r>
        <w:rPr>
          <w:i/>
          <w:iCs/>
        </w:rPr>
        <w:t xml:space="preserve">IEEE Transactions on Semiconductor Manufacturing</w:t>
      </w:r>
      <w:r>
        <w:t xml:space="preserve"> </w:t>
      </w:r>
      <w:r>
        <w:t xml:space="preserve">36 (2): 251–59.</w:t>
      </w:r>
      <w:r>
        <w:t xml:space="preserve"> </w:t>
      </w:r>
      <w:hyperlink r:id="rId177">
        <w:r>
          <w:rPr>
            <w:rStyle w:val="20"/>
          </w:rPr>
          <w:t xml:space="preserve">https://doi.org/10.1109/TSM.2023.3239198</w:t>
        </w:r>
      </w:hyperlink>
      <w:r>
        <w:t xml:space="preserve">.</w:t>
      </w:r>
    </w:p>
    <w:bookmarkEnd w:id="178"/>
    <w:bookmarkStart w:id="180" w:name="ref-wang2023hem"/>
    <w:p>
      <w:pPr>
        <w:pStyle w:val="28"/>
      </w:pPr>
      <w:r>
        <w:t xml:space="preserve">Wang, Zhihai, Xijun Li, Jie Wang, et al. 2023.</w:t>
      </w:r>
      <w:r>
        <w:t xml:space="preserve"> </w:t>
      </w:r>
      <w:r>
        <w:t xml:space="preserve">“Learning Cut Selection for Mixed-Integer Linear Programming via Hierarchical Sequence Model.”</w:t>
      </w:r>
      <w:r>
        <w:t xml:space="preserve"> </w:t>
      </w:r>
      <w:r>
        <w:rPr>
          <w:i/>
          <w:iCs/>
        </w:rPr>
        <w:t xml:space="preserve">Proceedings of the Eleventh International Conference on Learning Representations</w:t>
      </w:r>
      <w:r>
        <w:t xml:space="preserve">.</w:t>
      </w:r>
      <w:r>
        <w:t xml:space="preserve"> </w:t>
      </w:r>
      <w:hyperlink r:id="rId179">
        <w:r>
          <w:rPr>
            <w:rStyle w:val="20"/>
          </w:rPr>
          <w:t xml:space="preserve">https://openreview.net/forum?id=Zob4P9bRNcK</w:t>
        </w:r>
      </w:hyperlink>
      <w:r>
        <w:t xml:space="preserve">.</w:t>
      </w:r>
    </w:p>
    <w:bookmarkEnd w:id="180"/>
    <w:bookmarkStart w:id="182" w:name="ref-williams1992reinforce"/>
    <w:p>
      <w:pPr>
        <w:pStyle w:val="28"/>
      </w:pPr>
      <w:r>
        <w:t xml:space="preserve">Williams, Ronald J. 1992.</w:t>
      </w:r>
      <w:r>
        <w:t xml:space="preserve"> </w:t>
      </w:r>
      <w:r>
        <w:t xml:space="preserve">“Simple Statistical Gradient-Following Algorithms for Connectionist Reinforcement Learning.”</w:t>
      </w:r>
      <w:r>
        <w:t xml:space="preserve"> </w:t>
      </w:r>
      <w:r>
        <w:rPr>
          <w:i/>
          <w:iCs/>
        </w:rPr>
        <w:t xml:space="preserve">Machine Learning</w:t>
      </w:r>
      <w:r>
        <w:t xml:space="preserve"> </w:t>
      </w:r>
      <w:r>
        <w:t xml:space="preserve">8 (3–4): 229–56.</w:t>
      </w:r>
      <w:r>
        <w:t xml:space="preserve"> </w:t>
      </w:r>
      <w:hyperlink r:id="rId181">
        <w:r>
          <w:rPr>
            <w:rStyle w:val="20"/>
          </w:rPr>
          <w:t xml:space="preserve">https://doi.org/10.1007/BF00992696</w:t>
        </w:r>
      </w:hyperlink>
      <w:r>
        <w:t xml:space="preserve">.</w:t>
      </w:r>
    </w:p>
    <w:bookmarkEnd w:id="182"/>
    <w:bookmarkStart w:id="184" w:name="ref-yang2025miptwowafers"/>
    <w:p>
      <w:pPr>
        <w:pStyle w:val="28"/>
      </w:pPr>
      <w:r>
        <w:t xml:space="preserve">Yang, Fajun, Chao Li, Lu Zhen, Chunjiang Zhang, and Naiqi Wu. 2025.</w:t>
      </w:r>
      <w:r>
        <w:t xml:space="preserve"> </w:t>
      </w:r>
      <w:r>
        <w:t xml:space="preserve">“Scheduling Residency Time-Constrained Single-Armed Cluster Tools with Two-Wafer Types via Mixed Integer Programming Model.”</w:t>
      </w:r>
      <w:r>
        <w:t xml:space="preserve"> </w:t>
      </w:r>
      <w:r>
        <w:rPr>
          <w:i/>
          <w:iCs/>
        </w:rPr>
        <w:t xml:space="preserve">Expert Systems with Applications</w:t>
      </w:r>
      <w:r>
        <w:t xml:space="preserve"> </w:t>
      </w:r>
      <w:r>
        <w:t xml:space="preserve">288: 128209.</w:t>
      </w:r>
      <w:r>
        <w:t xml:space="preserve"> </w:t>
      </w:r>
      <w:hyperlink r:id="rId183">
        <w:r>
          <w:rPr>
            <w:rStyle w:val="20"/>
          </w:rPr>
          <w:t xml:space="preserve">https://doi.org/10.1016/j.eswa.2025.128209</w:t>
        </w:r>
      </w:hyperlink>
      <w:r>
        <w:t xml:space="preserve">.</w:t>
      </w:r>
    </w:p>
    <w:bookmarkEnd w:id="184"/>
    <w:bookmarkStart w:id="186" w:name="ref-yuan2023purge"/>
    <w:p>
      <w:pPr>
        <w:pStyle w:val="28"/>
      </w:pPr>
      <w:r>
        <w:t xml:space="preserve">Yuan, Fenglian, Qingling Zhao, Bo Huang, and Chunrong Pan. 2023.</w:t>
      </w:r>
      <w:r>
        <w:t xml:space="preserve"> </w:t>
      </w:r>
      <w:r>
        <w:t xml:space="preserve">“Scheduling of Time-Constrained Single-Arm Cluster Tools with Purge Operations in Wafer Fabrications.”</w:t>
      </w:r>
      <w:r>
        <w:t xml:space="preserve"> </w:t>
      </w:r>
      <w:r>
        <w:rPr>
          <w:i/>
          <w:iCs/>
        </w:rPr>
        <w:t xml:space="preserve">Journal of Systems Architecture</w:t>
      </w:r>
      <w:r>
        <w:t xml:space="preserve"> </w:t>
      </w:r>
      <w:r>
        <w:t xml:space="preserve">134: 102788.</w:t>
      </w:r>
      <w:r>
        <w:t xml:space="preserve"> </w:t>
      </w:r>
      <w:hyperlink r:id="rId185">
        <w:r>
          <w:rPr>
            <w:rStyle w:val="20"/>
          </w:rPr>
          <w:t xml:space="preserve">https://doi.org/10.1016/j.sysarc.2022.102788</w:t>
        </w:r>
      </w:hyperlink>
      <w:r>
        <w:t xml:space="preserve">.</w:t>
      </w:r>
    </w:p>
    <w:bookmarkEnd w:id="186"/>
    <w:bookmarkStart w:id="188" w:name="ref-zhang2024qeda"/>
    <w:p>
      <w:pPr>
        <w:pStyle w:val="28"/>
      </w:pPr>
      <w:r>
        <w:t xml:space="preserve">Zhang, Long, Yi Lin, Chuanpei Xu, and Min Liu. 2024.</w:t>
      </w:r>
      <w:r>
        <w:t xml:space="preserve"> </w:t>
      </w:r>
      <w:r>
        <w:t xml:space="preserve">“A New</w:t>
      </w:r>
      <w:r>
        <w:t xml:space="preserve"> </w:t>
      </w:r>
      <w:r>
        <w:t xml:space="preserve">EDA</w:t>
      </w:r>
      <w:r>
        <w:t xml:space="preserve"> </w:t>
      </w:r>
      <w:r>
        <w:t xml:space="preserve">Algorithm Combined with</w:t>
      </w:r>
      <w:r>
        <w:t xml:space="preserve"> </w:t>
      </w:r>
      <w:r>
        <w:t xml:space="preserve">Q</w:t>
      </w:r>
      <w:r>
        <w:t xml:space="preserve">-Learning for Semiconductor Final Testing Scheduling Problem.”</w:t>
      </w:r>
      <w:r>
        <w:t xml:space="preserve"> </w:t>
      </w:r>
      <w:r>
        <w:rPr>
          <w:i/>
          <w:iCs/>
        </w:rPr>
        <w:t xml:space="preserve">Computers &amp; Industrial Engineering</w:t>
      </w:r>
      <w:r>
        <w:t xml:space="preserve"> </w:t>
      </w:r>
      <w:r>
        <w:t xml:space="preserve">193: 110259.</w:t>
      </w:r>
      <w:r>
        <w:t xml:space="preserve"> </w:t>
      </w:r>
      <w:hyperlink r:id="rId187">
        <w:r>
          <w:rPr>
            <w:rStyle w:val="20"/>
          </w:rPr>
          <w:t xml:space="preserve">https://doi.org/10.1016/j.cie.2024.110259</w:t>
        </w:r>
      </w:hyperlink>
      <w:r>
        <w:t xml:space="preserve">.</w:t>
      </w:r>
    </w:p>
    <w:bookmarkEnd w:id="188"/>
    <w:bookmarkStart w:id="190" w:name="ref-zhu2023postprocess"/>
    <w:p>
      <w:pPr>
        <w:pStyle w:val="28"/>
      </w:pPr>
      <w:r>
        <w:t xml:space="preserve">Zhu, Qinghua, Bin Li, Yan Hou, Hongpeng Li, and Naiqi Wu. 2023.</w:t>
      </w:r>
      <w:r>
        <w:t xml:space="preserve"> </w:t>
      </w:r>
      <w:r>
        <w:t xml:space="preserve">“Scheduling Dual-Arm Multi-Cluster Tools with Regulation of Post-Processing Time.”</w:t>
      </w:r>
      <w:r>
        <w:t xml:space="preserve"> </w:t>
      </w:r>
      <w:r>
        <w:rPr>
          <w:i/>
          <w:iCs/>
        </w:rPr>
        <w:t xml:space="preserve">IEEE/CAA Journal of Automatica Sinica</w:t>
      </w:r>
      <w:r>
        <w:t xml:space="preserve"> </w:t>
      </w:r>
      <w:r>
        <w:t xml:space="preserve">10 (8): 1730–42.</w:t>
      </w:r>
      <w:r>
        <w:t xml:space="preserve"> </w:t>
      </w:r>
      <w:hyperlink r:id="rId189">
        <w:r>
          <w:rPr>
            <w:rStyle w:val="20"/>
          </w:rPr>
          <w:t xml:space="preserve">https://doi.org/10.1109/JAS.2023.123189</w:t>
        </w:r>
      </w:hyperlink>
      <w:r>
        <w:t xml:space="preserve">.</w:t>
      </w:r>
    </w:p>
    <w:bookmarkEnd w:id="190"/>
    <w:bookmarkStart w:id="192" w:name="ref-zhu2022twotypes"/>
    <w:p>
      <w:pPr>
        <w:pStyle w:val="28"/>
      </w:pPr>
      <w:r>
        <w:t xml:space="preserve">Zhu, Qinghua, Genghong Wang, Yan Hou, Naiqi Wu, and Yan Qiao. 2022.</w:t>
      </w:r>
      <w:r>
        <w:t xml:space="preserve"> </w:t>
      </w:r>
      <w:r>
        <w:t xml:space="preserve">“Optimally Scheduling Dual-Arm Multi-Cluster Tools to Process Two Wafer Types.”</w:t>
      </w:r>
      <w:r>
        <w:t xml:space="preserve"> </w:t>
      </w:r>
      <w:r>
        <w:rPr>
          <w:i/>
          <w:iCs/>
        </w:rPr>
        <w:t xml:space="preserve">IEEE Robotics and Automation Letters</w:t>
      </w:r>
      <w:r>
        <w:t xml:space="preserve"> </w:t>
      </w:r>
      <w:r>
        <w:t xml:space="preserve">7 (3): 5920–27.</w:t>
      </w:r>
      <w:r>
        <w:t xml:space="preserve"> </w:t>
      </w:r>
      <w:hyperlink r:id="rId191">
        <w:r>
          <w:rPr>
            <w:rStyle w:val="20"/>
          </w:rPr>
          <w:t xml:space="preserve">https://doi.org/10.1109/LRA.2022.3157031</w:t>
        </w:r>
      </w:hyperlink>
      <w:r>
        <w:t xml:space="preserve">.</w:t>
      </w:r>
    </w:p>
    <w:bookmarkEnd w:id="192"/>
    <w:bookmarkEnd w:id="193"/>
    <w:bookmarkEnd w:id="194"/>
    <w:sectPr>
      <w:footerReference r:id="rId3" w:type="default"/>
      <w:pgMar w:bottom="1152" w:footer="504" w:gutter="0" w:header="504" w:left="1296" w:right="1296" w:top="1152"/>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Noto Serif CJK SC">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A99411"/>
    <w:multiLevelType w:val="multilevel"/>
    <w:tmpl w:val="00A99411"/>
    <w:lvl w:ilvl="0" w:tentative="0">
      <w:start w:val="1"/>
      <w:numFmt w:val="decimal"/>
      <w:lvlText w:val="%1."/>
      <w:lvlJc w:val="left"/>
      <w:pPr>
        <w:ind w:hanging="480" w:left="720"/>
      </w:pPr>
    </w:lvl>
    <w:lvl w:ilvl="1" w:tentative="0">
      <w:start w:val="1"/>
      <w:numFmt w:val="decimal"/>
      <w:lvlText w:val="%2."/>
      <w:lvlJc w:val="left"/>
      <w:pPr>
        <w:ind w:hanging="480" w:left="1440"/>
      </w:pPr>
    </w:lvl>
    <w:lvl w:ilvl="2" w:tentative="0">
      <w:start w:val="1"/>
      <w:numFmt w:val="decimal"/>
      <w:lvlText w:val="%3."/>
      <w:lvlJc w:val="left"/>
      <w:pPr>
        <w:ind w:hanging="480" w:left="2160"/>
      </w:pPr>
    </w:lvl>
    <w:lvl w:ilvl="3" w:tentative="0">
      <w:start w:val="1"/>
      <w:numFmt w:val="decimal"/>
      <w:lvlText w:val="%4."/>
      <w:lvlJc w:val="left"/>
      <w:pPr>
        <w:ind w:hanging="480" w:left="2880"/>
      </w:pPr>
    </w:lvl>
    <w:lvl w:ilvl="4" w:tentative="0">
      <w:start w:val="1"/>
      <w:numFmt w:val="decimal"/>
      <w:lvlText w:val="%5."/>
      <w:lvlJc w:val="left"/>
      <w:pPr>
        <w:ind w:hanging="480" w:left="3600"/>
      </w:pPr>
    </w:lvl>
    <w:lvl w:ilvl="5" w:tentative="0">
      <w:start w:val="1"/>
      <w:numFmt w:val="decimal"/>
      <w:lvlText w:val="%6."/>
      <w:lvlJc w:val="left"/>
      <w:pPr>
        <w:ind w:hanging="480" w:left="4320"/>
      </w:pPr>
    </w:lvl>
    <w:lvl w:ilvl="6" w:tentative="0">
      <w:start w:val="1"/>
      <w:numFmt w:val="decimal"/>
      <w:lvlText w:val="%7."/>
      <w:lvlJc w:val="left"/>
      <w:pPr>
        <w:ind w:hanging="480" w:left="5040"/>
      </w:pPr>
    </w:lvl>
    <w:lvl w:ilvl="7" w:tentative="0">
      <w:start w:val="1"/>
      <w:numFmt w:val="decimal"/>
      <w:lvlText w:val="%8."/>
      <w:lvlJc w:val="left"/>
      <w:pPr>
        <w:ind w:hanging="480" w:left="5760"/>
      </w:pPr>
    </w:lvl>
    <w:lvl w:ilvl="8" w:tentative="0">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D5C0684"/>
    <w:rsid w:val="41222D0E"/>
    <w:rsid w:val="56500CBA"/>
    <w:rsid w:val="6A05492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docDefaults>
    <w:rPrDefault>
      <w:rPr>
        <w:rFonts w:asciiTheme="minorHAnsi" w:cstheme="minorBidi" w:eastAsiaTheme="minorHAnsi" w:hAnsiTheme="minorHAnsi"/>
      </w:rPr>
    </w:r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20" w:line="293" w:lineRule="auto"/>
      <w:jc w:val="both"/>
    </w:pPr>
    <w:rPr>
      <w:rFonts w:ascii="Times New Roman" w:cstheme="minorBidi" w:eastAsia="宋体" w:hAnsi="Times New Roman"/>
      <w:sz w:val="21"/>
      <w:szCs w:val="24"/>
      <w:lang w:bidi="ar-SA" w:eastAsia="en-US" w:val="en-US"/>
    </w:rPr>
  </w:style>
  <w:style w:styleId="2" w:type="paragraph">
    <w:name w:val="heading 1"/>
    <w:basedOn w:val="1"/>
    <w:next w:val="3"/>
    <w:qFormat/>
    <w:uiPriority w:val="9"/>
    <w:pPr>
      <w:keepNext/>
      <w:keepLines/>
      <w:spacing w:after="120" w:before="240"/>
      <w:outlineLvl w:val="0"/>
    </w:pPr>
    <w:rPr>
      <w:rFonts w:asciiTheme="majorHAnsi" w:cstheme="majorBidi" w:eastAsiaTheme="majorEastAsia" w:hAnsiTheme="majorHAnsi" w:eastAsia="黑体"/>
      <w:b/>
      <w:bCs/>
      <w:sz w:val="28"/>
      <w:szCs w:val="32"/>
    </w:rPr>
  </w:style>
  <w:style w:styleId="4" w:type="paragraph">
    <w:name w:val="heading 2"/>
    <w:basedOn w:val="1"/>
    <w:next w:val="3"/>
    <w:unhideWhenUsed/>
    <w:qFormat/>
    <w:uiPriority w:val="9"/>
    <w:pPr>
      <w:keepNext/>
      <w:keepLines/>
      <w:spacing w:after="80" w:before="200"/>
      <w:outlineLvl w:val="1"/>
    </w:pPr>
    <w:rPr>
      <w:rFonts w:asciiTheme="majorHAnsi" w:cstheme="majorBidi" w:eastAsiaTheme="majorEastAsia" w:hAnsiTheme="majorHAnsi" w:eastAsia="黑体"/>
      <w:b/>
      <w:bCs/>
      <w:sz w:val="24"/>
      <w:szCs w:val="28"/>
    </w:rPr>
  </w:style>
  <w:style w:styleId="5" w:type="paragraph">
    <w:name w:val="heading 3"/>
    <w:basedOn w:val="1"/>
    <w:next w:val="3"/>
    <w:unhideWhenUsed/>
    <w:qFormat/>
    <w:uiPriority w:val="9"/>
    <w:pPr>
      <w:keepNext/>
      <w:keepLines/>
      <w:spacing w:after="60" w:before="160"/>
      <w:outlineLvl w:val="2"/>
    </w:pPr>
    <w:rPr>
      <w:rFonts w:asciiTheme="majorHAnsi" w:cstheme="majorBidi" w:eastAsiaTheme="majorEastAsia" w:hAnsiTheme="majorHAnsi" w:eastAsia="黑体"/>
      <w:b/>
      <w:bCs/>
      <w:sz w:val="22"/>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uiPriority w:val="0"/>
  </w:style>
  <w:style w:default="1" w:styleId="18" w:type="table">
    <w:name w:val="Normal Table"/>
    <w:uiPriority w:val="0"/>
    <w:tblPr>
      <w:tblLayout w:type="fixed"/>
      <w:tblCellMar>
        <w:top w:type="dxa" w:w="0"/>
        <w:left w:type="dxa" w:w="108"/>
        <w:bottom w:type="dxa" w:w="0"/>
        <w:right w:type="dxa" w:w="108"/>
      </w:tblCellMar>
    </w:tblPr>
  </w:style>
  <w:style w:styleId="3" w:type="paragraph">
    <w:name w:val="Body Text"/>
    <w:basedOn w:val="1"/>
    <w:link w:val="21"/>
    <w:qFormat/>
    <w:uiPriority w:val="0"/>
    <w:pPr>
      <w:spacing w:after="120" w:before="180" w:line="293" w:lineRule="auto"/>
      <w:jc w:val="both"/>
    </w:pPr>
    <w:rPr>
      <w:rFonts w:ascii="Times New Roman" w:eastAsia="宋体" w:hAnsi="Times New Roman"/>
      <w:sz w:val="21"/>
    </w:rPr>
  </w:style>
  <w:style w:styleId="12" w:type="paragraph">
    <w:name w:val="caption"/>
    <w:basedOn w:val="1"/>
    <w:next w:val="1"/>
    <w:qFormat/>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00" w:before="480"/>
      <w:jc w:val="center"/>
    </w:pPr>
    <w:rPr>
      <w:rFonts w:asciiTheme="majorHAnsi" w:cstheme="majorBidi" w:eastAsiaTheme="majorEastAsia" w:hAnsiTheme="majorHAnsi" w:eastAsia="黑体"/>
      <w:b/>
      <w:bCs/>
      <w:sz w:val="32"/>
      <w:szCs w:val="36"/>
    </w:rPr>
  </w:style>
  <w:style w:styleId="17" w:type="paragraph">
    <w:name w:val="footnote text"/>
    <w:basedOn w:val="1"/>
    <w:unhideWhenUsed/>
    <w:qFormat/>
    <w:uiPriority w:val="9"/>
  </w:style>
  <w:style w:styleId="20" w:type="character">
    <w:name w:val="Hyperlink"/>
    <w:basedOn w:val="21"/>
    <w:qFormat/>
    <w:uiPriority w:val="0"/>
    <w:rPr>
      <w:color w:themeColor="accent1" w:val="4F81BD"/>
    </w:rPr>
  </w:style>
  <w:style w:customStyle="1" w:styleId="21" w:type="character">
    <w:name w:val="Body Text Char"/>
    <w:basedOn w:val="19"/>
    <w:link w:val="3"/>
    <w:qFormat/>
    <w:uiPriority w:val="0"/>
  </w:style>
  <w:style w:styleId="22" w:type="character">
    <w:name w:val="footnote reference"/>
    <w:basedOn w:val="21"/>
    <w:uiPriority w:val="0"/>
    <w:rPr>
      <w:vertAlign w:val="superscript"/>
    </w:rPr>
  </w:style>
  <w:style w:customStyle="1" w:styleId="23" w:type="paragraph">
    <w:name w:val="First Paragraph"/>
    <w:basedOn w:val="3"/>
    <w:next w:val="3"/>
    <w:qFormat/>
    <w:uiPriority w:val="0"/>
    <w:pPr>
      <w:spacing w:after="120" w:line="293" w:lineRule="auto"/>
      <w:jc w:val="both"/>
    </w:pPr>
    <w:rPr>
      <w:rFonts w:ascii="Times New Roman" w:eastAsia="宋体" w:hAnsi="Times New Roman"/>
      <w:sz w:val="21"/>
    </w:rPr>
  </w:style>
  <w:style w:customStyle="1" w:styleId="24" w:type="paragraph">
    <w:name w:val="Compact"/>
    <w:basedOn w:val="3"/>
    <w:qFormat/>
    <w:uiPriority w:val="0"/>
    <w:pPr>
      <w:spacing w:after="120" w:before="36" w:line="293" w:lineRule="auto"/>
      <w:jc w:val="both"/>
    </w:pPr>
    <w:rPr>
      <w:rFonts w:ascii="Times New Roman" w:eastAsia="Noto Serif CJK SC" w:hAnsi="Times New Roman"/>
      <w:sz w:val="21"/>
    </w:r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Title"/>
    <w:basedOn w:val="1"/>
    <w:next w:val="27"/>
    <w:qFormat/>
    <w:uiPriority w:val="0"/>
    <w:pPr>
      <w:keepNext/>
      <w:keepLines/>
      <w:spacing w:after="0" w:before="300"/>
      <w:jc w:val="center"/>
    </w:pPr>
    <w:rPr>
      <w:b/>
      <w:color w:val="345A8A"/>
      <w:sz w:val="20"/>
      <w:szCs w:val="20"/>
    </w:rPr>
  </w:style>
  <w:style w:customStyle="1" w:styleId="27" w:type="paragraph">
    <w:name w:val="Abstract"/>
    <w:basedOn w:val="1"/>
    <w:next w:val="3"/>
    <w:qFormat/>
    <w:uiPriority w:val="0"/>
    <w:pPr>
      <w:keepNext/>
      <w:keepLines/>
      <w:spacing w:after="300" w:before="100"/>
    </w:pPr>
    <w:rPr>
      <w:sz w:val="20"/>
      <w:szCs w:val="20"/>
    </w:rPr>
  </w:style>
  <w:style w:customStyle="1" w:styleId="28" w:type="paragraph">
    <w:name w:val="Bibliography"/>
    <w:basedOn w:val="1"/>
    <w:qFormat/>
    <w:uiPriority w:val="0"/>
  </w:style>
  <w:style w:customStyle="1" w:styleId="29" w:type="paragraph">
    <w:name w:val="Footnote Block Text"/>
    <w:unhideWhenUsed/>
    <w:qFormat/>
    <w:uiPriority w:val="9"/>
    <w:pPr>
      <w:spacing w:after="100" w:before="100"/>
      <w:ind w:firstLine="0" w:left="480" w:right="480"/>
    </w:pPr>
    <w:rPr>
      <w:rFonts w:asciiTheme="minorHAnsi" w:cstheme="minorBidi" w:eastAsiaTheme="minorHAnsi" w:hAnsiTheme="minorHAnsi"/>
      <w:sz w:val="24"/>
      <w:szCs w:val="24"/>
      <w:lang w:bidi="ar-SA" w:eastAsia="en-US" w:val="en-US"/>
    </w:rPr>
  </w:style>
  <w:style w:customStyle="1" w:styleId="30" w:type="table">
    <w:name w:val="Table"/>
    <w:semiHidden/>
    <w:unhideWhenUsed/>
    <w:qFormat/>
    <w:uiPriority w:val="0"/>
    <w:tblPr>
      <w:tblLayout w:type="fixed"/>
      <w:tblCellMar>
        <w:top w:type="dxa" w:w="0"/>
        <w:left w:type="dxa" w:w="108"/>
        <w:bottom w:type="dxa" w:w="0"/>
        <w:right w:type="dxa" w:w="108"/>
      </w:tblCellMar>
    </w:tblPr>
    <w:tblStylePr w:type="firstRow">
      <w:tblPr>
        <w:tblLayout w:type="fixed"/>
      </w:tblPr>
      <w:tcPr>
        <w:tcBorders>
          <w:bottom w:color="auto" w:space="0" w:sz="0" w:val="single"/>
        </w:tcBorders>
        <w:vAlign w:val="bottom"/>
      </w:tcPr>
    </w:tblStylePr>
  </w:style>
  <w:style w:customStyle="1" w:styleId="31" w:type="paragraph">
    <w:name w:val="Definition Term"/>
    <w:basedOn w:val="1"/>
    <w:next w:val="32"/>
    <w:uiPriority w:val="0"/>
    <w:pPr>
      <w:keepNext/>
      <w:keepLines/>
      <w:spacing w:after="0"/>
    </w:pPr>
    <w:rPr>
      <w:b/>
    </w:rPr>
  </w:style>
  <w:style w:customStyle="1" w:styleId="32" w:type="paragraph">
    <w:name w:val="Definition"/>
    <w:basedOn w:val="1"/>
    <w:uiPriority w:val="0"/>
  </w:style>
  <w:style w:customStyle="1" w:styleId="33" w:type="paragraph">
    <w:name w:val="Table Caption"/>
    <w:basedOn w:val="12"/>
    <w:uiPriority w:val="0"/>
    <w:pPr>
      <w:keepNext/>
    </w:pPr>
  </w:style>
  <w:style w:customStyle="1" w:styleId="34" w:type="paragraph">
    <w:name w:val="Image Caption"/>
    <w:basedOn w:val="12"/>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1"/>
    <w:link w:val="38"/>
    <w:uiPriority w:val="0"/>
    <w:rPr>
      <w:rFonts w:ascii="Consolas" w:hAnsi="Consolas"/>
      <w:sz w:val="22"/>
    </w:rPr>
  </w:style>
  <w:style w:customStyle="1" w:styleId="38" w:type="paragraph">
    <w:name w:val="Source Code"/>
    <w:basedOn w:val="1"/>
    <w:link w:val="37"/>
    <w:qFormat/>
    <w:uiPriority w:val="0"/>
    <w:pPr>
      <w:wordWrap w:val="0"/>
    </w:pPr>
  </w:style>
  <w:style w:customStyle="1" w:styleId="39" w:type="character">
    <w:name w:val="Section Number"/>
    <w:basedOn w:val="21"/>
    <w:uiPriority w:val="0"/>
  </w:style>
  <w:style w:customStyle="1" w:styleId="40"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41" w:type="character">
    <w:name w:val="KeywordTok"/>
    <w:basedOn w:val="37"/>
    <w:qFormat/>
    <w:uiPriority w:val="0"/>
    <w:rPr>
      <w:b/>
      <w:color w:val="007020"/>
    </w:rPr>
  </w:style>
  <w:style w:customStyle="1" w:styleId="42" w:type="character">
    <w:name w:val="DataTypeTok"/>
    <w:basedOn w:val="37"/>
    <w:qFormat/>
    <w:uiPriority w:val="0"/>
    <w:rPr>
      <w:color w:val="902000"/>
    </w:rPr>
  </w:style>
  <w:style w:customStyle="1" w:styleId="43" w:type="character">
    <w:name w:val="DecValTok"/>
    <w:basedOn w:val="37"/>
    <w:uiPriority w:val="0"/>
    <w:rPr>
      <w:color w:val="40A070"/>
    </w:rPr>
  </w:style>
  <w:style w:customStyle="1" w:styleId="44" w:type="character">
    <w:name w:val="BaseNTok"/>
    <w:basedOn w:val="37"/>
    <w:uiPriority w:val="0"/>
    <w:rPr>
      <w:color w:val="40A070"/>
    </w:rPr>
  </w:style>
  <w:style w:customStyle="1" w:styleId="45" w:type="character">
    <w:name w:val="FloatTok"/>
    <w:basedOn w:val="37"/>
    <w:qFormat/>
    <w:uiPriority w:val="0"/>
    <w:rPr>
      <w:color w:val="40A070"/>
    </w:rPr>
  </w:style>
  <w:style w:customStyle="1" w:styleId="46" w:type="character">
    <w:name w:val="ConstantTok"/>
    <w:basedOn w:val="37"/>
    <w:uiPriority w:val="0"/>
    <w:rPr>
      <w:color w:val="880000"/>
    </w:rPr>
  </w:style>
  <w:style w:customStyle="1" w:styleId="47" w:type="character">
    <w:name w:val="CharTok"/>
    <w:basedOn w:val="37"/>
    <w:uiPriority w:val="0"/>
    <w:rPr>
      <w:color w:val="4070A0"/>
    </w:rPr>
  </w:style>
  <w:style w:customStyle="1" w:styleId="48" w:type="character">
    <w:name w:val="SpecialCharTok"/>
    <w:basedOn w:val="37"/>
    <w:uiPriority w:val="0"/>
    <w:rPr>
      <w:color w:val="4070A0"/>
    </w:rPr>
  </w:style>
  <w:style w:customStyle="1" w:styleId="49" w:type="character">
    <w:name w:val="StringTok"/>
    <w:basedOn w:val="37"/>
    <w:uiPriority w:val="0"/>
    <w:rPr>
      <w:color w:val="4070A0"/>
    </w:rPr>
  </w:style>
  <w:style w:customStyle="1" w:styleId="50" w:type="character">
    <w:name w:val="VerbatimStringTok"/>
    <w:basedOn w:val="37"/>
    <w:uiPriority w:val="0"/>
    <w:rPr>
      <w:color w:val="4070A0"/>
    </w:rPr>
  </w:style>
  <w:style w:customStyle="1" w:styleId="51" w:type="character">
    <w:name w:val="SpecialStringTok"/>
    <w:basedOn w:val="37"/>
    <w:uiPriority w:val="0"/>
    <w:rPr>
      <w:color w:val="BB6688"/>
    </w:rPr>
  </w:style>
  <w:style w:customStyle="1" w:styleId="52" w:type="character">
    <w:name w:val="ImportTok"/>
    <w:basedOn w:val="37"/>
    <w:uiPriority w:val="0"/>
    <w:rPr>
      <w:b/>
      <w:color w:val="008000"/>
    </w:rPr>
  </w:style>
  <w:style w:customStyle="1" w:styleId="53" w:type="character">
    <w:name w:val="CommentTok"/>
    <w:basedOn w:val="37"/>
    <w:uiPriority w:val="0"/>
    <w:rPr>
      <w:i/>
      <w:color w:val="60A0B0"/>
    </w:rPr>
  </w:style>
  <w:style w:customStyle="1" w:styleId="54" w:type="character">
    <w:name w:val="DocumentationTok"/>
    <w:basedOn w:val="37"/>
    <w:uiPriority w:val="0"/>
    <w:rPr>
      <w:i/>
      <w:color w:val="BA2121"/>
    </w:rPr>
  </w:style>
  <w:style w:customStyle="1" w:styleId="55" w:type="character">
    <w:name w:val="AnnotationTok"/>
    <w:basedOn w:val="37"/>
    <w:uiPriority w:val="0"/>
    <w:rPr>
      <w:b/>
      <w:i/>
      <w:color w:val="60A0B0"/>
    </w:rPr>
  </w:style>
  <w:style w:customStyle="1" w:styleId="56" w:type="character">
    <w:name w:val="CommentVarTok"/>
    <w:basedOn w:val="37"/>
    <w:uiPriority w:val="0"/>
    <w:rPr>
      <w:b/>
      <w:i/>
      <w:color w:val="60A0B0"/>
    </w:rPr>
  </w:style>
  <w:style w:customStyle="1" w:styleId="57" w:type="character">
    <w:name w:val="OtherTok"/>
    <w:basedOn w:val="37"/>
    <w:qFormat/>
    <w:uiPriority w:val="0"/>
    <w:rPr>
      <w:color w:val="007020"/>
    </w:rPr>
  </w:style>
  <w:style w:customStyle="1" w:styleId="58" w:type="character">
    <w:name w:val="FunctionTok"/>
    <w:basedOn w:val="37"/>
    <w:uiPriority w:val="0"/>
    <w:rPr>
      <w:color w:val="06287E"/>
    </w:rPr>
  </w:style>
  <w:style w:customStyle="1" w:styleId="59" w:type="character">
    <w:name w:val="VariableTok"/>
    <w:basedOn w:val="37"/>
    <w:uiPriority w:val="0"/>
    <w:rPr>
      <w:color w:val="19177C"/>
    </w:rPr>
  </w:style>
  <w:style w:customStyle="1" w:styleId="60" w:type="character">
    <w:name w:val="ControlFlowTok"/>
    <w:basedOn w:val="37"/>
    <w:qFormat/>
    <w:uiPriority w:val="0"/>
    <w:rPr>
      <w:b/>
      <w:color w:val="007020"/>
    </w:rPr>
  </w:style>
  <w:style w:customStyle="1" w:styleId="61" w:type="character">
    <w:name w:val="OperatorTok"/>
    <w:basedOn w:val="37"/>
    <w:uiPriority w:val="0"/>
    <w:rPr>
      <w:color w:val="666666"/>
    </w:rPr>
  </w:style>
  <w:style w:customStyle="1" w:styleId="62" w:type="character">
    <w:name w:val="BuiltInTok"/>
    <w:basedOn w:val="37"/>
    <w:qFormat/>
    <w:uiPriority w:val="0"/>
    <w:rPr>
      <w:color w:val="008000"/>
    </w:rPr>
  </w:style>
  <w:style w:customStyle="1" w:styleId="63" w:type="character">
    <w:name w:val="ExtensionTok"/>
    <w:basedOn w:val="37"/>
    <w:qFormat/>
    <w:uiPriority w:val="0"/>
  </w:style>
  <w:style w:customStyle="1" w:styleId="64" w:type="character">
    <w:name w:val="PreprocessorTok"/>
    <w:basedOn w:val="37"/>
    <w:uiPriority w:val="0"/>
    <w:rPr>
      <w:color w:val="BC7A00"/>
    </w:rPr>
  </w:style>
  <w:style w:customStyle="1" w:styleId="65" w:type="character">
    <w:name w:val="AttributeTok"/>
    <w:basedOn w:val="37"/>
    <w:uiPriority w:val="0"/>
    <w:rPr>
      <w:color w:val="7D9029"/>
    </w:rPr>
  </w:style>
  <w:style w:customStyle="1" w:styleId="66" w:type="character">
    <w:name w:val="RegionMarkerTok"/>
    <w:basedOn w:val="37"/>
    <w:uiPriority w:val="0"/>
  </w:style>
  <w:style w:customStyle="1" w:styleId="67" w:type="character">
    <w:name w:val="InformationTok"/>
    <w:basedOn w:val="37"/>
    <w:uiPriority w:val="0"/>
    <w:rPr>
      <w:b/>
      <w:i/>
      <w:color w:val="60A0B0"/>
    </w:rPr>
  </w:style>
  <w:style w:customStyle="1" w:styleId="68" w:type="character">
    <w:name w:val="WarningTok"/>
    <w:basedOn w:val="37"/>
    <w:uiPriority w:val="0"/>
    <w:rPr>
      <w:b/>
      <w:i/>
      <w:color w:val="60A0B0"/>
    </w:rPr>
  </w:style>
  <w:style w:customStyle="1" w:styleId="69" w:type="character">
    <w:name w:val="AlertTok"/>
    <w:basedOn w:val="37"/>
    <w:uiPriority w:val="0"/>
    <w:rPr>
      <w:b/>
      <w:color w:val="FF0000"/>
    </w:rPr>
  </w:style>
  <w:style w:customStyle="1" w:styleId="70" w:type="character">
    <w:name w:val="ErrorTok"/>
    <w:basedOn w:val="37"/>
    <w:uiPriority w:val="0"/>
    <w:rPr>
      <w:b/>
      <w:color w:val="FF0000"/>
    </w:rPr>
  </w:style>
  <w:style w:customStyle="1" w:styleId="71" w:type="character">
    <w:name w:val="NormalTok"/>
    <w:basedOn w:val="37"/>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3" Type="http://schemas.openxmlformats.org/officeDocument/2006/relationships/footer" Target="footer1.xml"/><Relationship Id="rId10" Type="http://schemas.openxmlformats.org/officeDocument/2006/relationships/image" Target="media/image6.png"/><Relationship Id="rId37" Type="http://schemas.openxmlformats.org/officeDocument/2006/relationships/image" Target="media/rId37.png"/><Relationship Id="rId41" Type="http://schemas.openxmlformats.org/officeDocument/2006/relationships/image" Target="media/rId41.png"/><Relationship Id="rId44" Type="http://schemas.openxmlformats.org/officeDocument/2006/relationships/image" Target="media/rId44.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20" Type="http://schemas.openxmlformats.org/officeDocument/2006/relationships/image" Target="media/rId20.png"/><Relationship Id="rId28" Type="http://schemas.openxmlformats.org/officeDocument/2006/relationships/image" Target="media/rId28.png"/><Relationship Id="rId32" Type="http://schemas.openxmlformats.org/officeDocument/2006/relationships/image" Target="media/rId32.png"/><Relationship Id="rId78" Type="http://schemas.openxmlformats.org/officeDocument/2006/relationships/image" Target="media/rId78.png"/><Relationship Id="rId83" Type="http://schemas.openxmlformats.org/officeDocument/2006/relationships/image" Target="media/rId83.png"/><Relationship Id="rId88" Type="http://schemas.openxmlformats.org/officeDocument/2006/relationships/image" Target="media/rId88.png"/><Relationship Id="rId93" Type="http://schemas.openxmlformats.org/officeDocument/2006/relationships/image" Target="media/rId93.png"/><Relationship Id="rId98" Type="http://schemas.openxmlformats.org/officeDocument/2006/relationships/image" Target="media/rId98.png"/><Relationship Id="rId104" Type="http://schemas.openxmlformats.org/officeDocument/2006/relationships/image" Target="media/rId104.png"/><Relationship Id="rId181" Type="http://schemas.openxmlformats.org/officeDocument/2006/relationships/hyperlink" Target="https://doi.org/10.1007/BF00992696" TargetMode="External"/><Relationship Id="rId156" Type="http://schemas.openxmlformats.org/officeDocument/2006/relationships/hyperlink" Target="https://doi.org/10.1007/BF01588971" TargetMode="External"/><Relationship Id="rId168" Type="http://schemas.openxmlformats.org/officeDocument/2006/relationships/hyperlink" Target="https://doi.org/10.1007/s10107-024-02130-y" TargetMode="External"/><Relationship Id="rId116" Type="http://schemas.openxmlformats.org/officeDocument/2006/relationships/hyperlink" Target="https://doi.org/10.1007/s12532-008-0001-1" TargetMode="External"/><Relationship Id="rId126" Type="http://schemas.openxmlformats.org/officeDocument/2006/relationships/hyperlink" Target="https://doi.org/10.1007/s12532-020-00194-3" TargetMode="External"/><Relationship Id="rId152" Type="http://schemas.openxmlformats.org/officeDocument/2006/relationships/hyperlink" Target="https://doi.org/10.1007/s40747-022-00844-0" TargetMode="External"/><Relationship Id="rId122" Type="http://schemas.openxmlformats.org/officeDocument/2006/relationships/hyperlink" Target="https://doi.org/10.1016/j.cie.2021.107782" TargetMode="External"/><Relationship Id="rId187" Type="http://schemas.openxmlformats.org/officeDocument/2006/relationships/hyperlink" Target="https://doi.org/10.1016/j.cie.2024.110259" TargetMode="External"/><Relationship Id="rId130" Type="http://schemas.openxmlformats.org/officeDocument/2006/relationships/hyperlink" Target="https://doi.org/10.1016/j.cie.2025.111698" TargetMode="External"/><Relationship Id="rId118" Type="http://schemas.openxmlformats.org/officeDocument/2006/relationships/hyperlink" Target="https://doi.org/10.1016/j.ejor.2020.07.063" TargetMode="External"/><Relationship Id="rId160" Type="http://schemas.openxmlformats.org/officeDocument/2006/relationships/hyperlink" Target="https://doi.org/10.1016/j.eswa.2024.124471" TargetMode="External"/><Relationship Id="rId150" Type="http://schemas.openxmlformats.org/officeDocument/2006/relationships/hyperlink" Target="https://doi.org/10.1016/j.eswa.2025.126443" TargetMode="External"/><Relationship Id="rId183" Type="http://schemas.openxmlformats.org/officeDocument/2006/relationships/hyperlink" Target="https://doi.org/10.1016/j.eswa.2025.128209" TargetMode="External"/><Relationship Id="rId148" Type="http://schemas.openxmlformats.org/officeDocument/2006/relationships/hyperlink" Target="https://doi.org/10.1016/j.jmsy.2022.09.020" TargetMode="External"/><Relationship Id="rId132" Type="http://schemas.openxmlformats.org/officeDocument/2006/relationships/hyperlink" Target="https://doi.org/10.1016/j.patcog.2021.108353" TargetMode="External"/><Relationship Id="rId185" Type="http://schemas.openxmlformats.org/officeDocument/2006/relationships/hyperlink" Target="https://doi.org/10.1016/j.sysarc.2022.102788" TargetMode="External"/><Relationship Id="rId146" Type="http://schemas.openxmlformats.org/officeDocument/2006/relationships/hyperlink" Target="https://doi.org/10.1080/00207543.2021.1926568" TargetMode="External"/><Relationship Id="rId128" Type="http://schemas.openxmlformats.org/officeDocument/2006/relationships/hyperlink" Target="https://doi.org/10.1109/ICNSC62968.2024.10760109" TargetMode="External"/><Relationship Id="rId189" Type="http://schemas.openxmlformats.org/officeDocument/2006/relationships/hyperlink" Target="https://doi.org/10.1109/JAS.2023.123189" TargetMode="External"/><Relationship Id="rId191" Type="http://schemas.openxmlformats.org/officeDocument/2006/relationships/hyperlink" Target="https://doi.org/10.1109/LRA.2022.3157031" TargetMode="External"/><Relationship Id="rId158" Type="http://schemas.openxmlformats.org/officeDocument/2006/relationships/hyperlink" Target="https://doi.org/10.1109/TASE.2013.2292572" TargetMode="External"/><Relationship Id="rId162" Type="http://schemas.openxmlformats.org/officeDocument/2006/relationships/hyperlink" Target="https://doi.org/10.1109/TASE.2016.2642997" TargetMode="External"/><Relationship Id="rId142" Type="http://schemas.openxmlformats.org/officeDocument/2006/relationships/hyperlink" Target="https://doi.org/10.1109/TASE.2021.3061140" TargetMode="External"/><Relationship Id="rId166" Type="http://schemas.openxmlformats.org/officeDocument/2006/relationships/hyperlink" Target="https://doi.org/10.1109/TASE.2021.3122576" TargetMode="External"/><Relationship Id="rId144" Type="http://schemas.openxmlformats.org/officeDocument/2006/relationships/hyperlink" Target="https://doi.org/10.1109/TASE.2022.3188858" TargetMode="External"/><Relationship Id="rId138" Type="http://schemas.openxmlformats.org/officeDocument/2006/relationships/hyperlink" Target="https://doi.org/10.1109/TASE.2024.3399818" TargetMode="External"/><Relationship Id="rId136" Type="http://schemas.openxmlformats.org/officeDocument/2006/relationships/hyperlink" Target="https://doi.org/10.1109/TASE.2025.3632534" TargetMode="External"/><Relationship Id="rId175" Type="http://schemas.openxmlformats.org/officeDocument/2006/relationships/hyperlink" Target="https://doi.org/10.1109/TPAMI.2024.3432716" TargetMode="External"/><Relationship Id="rId177" Type="http://schemas.openxmlformats.org/officeDocument/2006/relationships/hyperlink" Target="https://doi.org/10.1109/TSM.2023.3239198" TargetMode="External"/><Relationship Id="rId140" Type="http://schemas.openxmlformats.org/officeDocument/2006/relationships/hyperlink" Target="https://doi.org/10.1109/TSMC.2020.2978486" TargetMode="External"/><Relationship Id="rId120" Type="http://schemas.openxmlformats.org/officeDocument/2006/relationships/hyperlink" Target="https://doi.org/10.1145/3585516" TargetMode="External"/><Relationship Id="rId134" Type="http://schemas.openxmlformats.org/officeDocument/2006/relationships/hyperlink" Target="https://doi.org/10.1609/aaai.v36i9.21262" TargetMode="External"/><Relationship Id="rId124" Type="http://schemas.openxmlformats.org/officeDocument/2006/relationships/hyperlink" Target="https://doi.org/10.52202/068431-0637" TargetMode="External"/><Relationship Id="rId172" Type="http://schemas.openxmlformats.org/officeDocument/2006/relationships/hyperlink" Target="https://doi.org/10.5802/ojmo.25" TargetMode="External"/><Relationship Id="rId179" Type="http://schemas.openxmlformats.org/officeDocument/2006/relationships/hyperlink" Target="https://openreview.net/forum?id=Zob4P9bRNcK" TargetMode="External"/><Relationship Id="rId170" Type="http://schemas.openxmlformats.org/officeDocument/2006/relationships/hyperlink" Target="https://proceedings.mlr.press/v119/tang20a.html" TargetMode="External"/><Relationship Id="rId164" Type="http://schemas.openxmlformats.org/officeDocument/2006/relationships/hyperlink" Target="https://proceedings.mlr.press/v162/paulus22a.html" TargetMode="External"/><Relationship Id="rId154" Type="http://schemas.openxmlformats.org/officeDocument/2006/relationships/hyperlink" Target="https://proceedings.mlr.press/v48/mniha16.html" TargetMode="External"/></Relationships>
</file>

<file path=word/_rels/footnotes.xml.rels><?xml version='1.0' encoding='UTF-8' standalone='yes'?>
<Relationships xmlns="http://schemas.openxmlformats.org/package/2006/relationships"><Relationship Id="rId181" Type="http://schemas.openxmlformats.org/officeDocument/2006/relationships/hyperlink" Target="https://doi.org/10.1007/BF00992696" TargetMode="External"/><Relationship Id="rId156" Type="http://schemas.openxmlformats.org/officeDocument/2006/relationships/hyperlink" Target="https://doi.org/10.1007/BF01588971" TargetMode="External"/><Relationship Id="rId168" Type="http://schemas.openxmlformats.org/officeDocument/2006/relationships/hyperlink" Target="https://doi.org/10.1007/s10107-024-02130-y" TargetMode="External"/><Relationship Id="rId116" Type="http://schemas.openxmlformats.org/officeDocument/2006/relationships/hyperlink" Target="https://doi.org/10.1007/s12532-008-0001-1" TargetMode="External"/><Relationship Id="rId126" Type="http://schemas.openxmlformats.org/officeDocument/2006/relationships/hyperlink" Target="https://doi.org/10.1007/s12532-020-00194-3" TargetMode="External"/><Relationship Id="rId152" Type="http://schemas.openxmlformats.org/officeDocument/2006/relationships/hyperlink" Target="https://doi.org/10.1007/s40747-022-00844-0" TargetMode="External"/><Relationship Id="rId122" Type="http://schemas.openxmlformats.org/officeDocument/2006/relationships/hyperlink" Target="https://doi.org/10.1016/j.cie.2021.107782" TargetMode="External"/><Relationship Id="rId187" Type="http://schemas.openxmlformats.org/officeDocument/2006/relationships/hyperlink" Target="https://doi.org/10.1016/j.cie.2024.110259" TargetMode="External"/><Relationship Id="rId130" Type="http://schemas.openxmlformats.org/officeDocument/2006/relationships/hyperlink" Target="https://doi.org/10.1016/j.cie.2025.111698" TargetMode="External"/><Relationship Id="rId118" Type="http://schemas.openxmlformats.org/officeDocument/2006/relationships/hyperlink" Target="https://doi.org/10.1016/j.ejor.2020.07.063" TargetMode="External"/><Relationship Id="rId160" Type="http://schemas.openxmlformats.org/officeDocument/2006/relationships/hyperlink" Target="https://doi.org/10.1016/j.eswa.2024.124471" TargetMode="External"/><Relationship Id="rId150" Type="http://schemas.openxmlformats.org/officeDocument/2006/relationships/hyperlink" Target="https://doi.org/10.1016/j.eswa.2025.126443" TargetMode="External"/><Relationship Id="rId183" Type="http://schemas.openxmlformats.org/officeDocument/2006/relationships/hyperlink" Target="https://doi.org/10.1016/j.eswa.2025.128209" TargetMode="External"/><Relationship Id="rId148" Type="http://schemas.openxmlformats.org/officeDocument/2006/relationships/hyperlink" Target="https://doi.org/10.1016/j.jmsy.2022.09.020" TargetMode="External"/><Relationship Id="rId132" Type="http://schemas.openxmlformats.org/officeDocument/2006/relationships/hyperlink" Target="https://doi.org/10.1016/j.patcog.2021.108353" TargetMode="External"/><Relationship Id="rId185" Type="http://schemas.openxmlformats.org/officeDocument/2006/relationships/hyperlink" Target="https://doi.org/10.1016/j.sysarc.2022.102788" TargetMode="External"/><Relationship Id="rId146" Type="http://schemas.openxmlformats.org/officeDocument/2006/relationships/hyperlink" Target="https://doi.org/10.1080/00207543.2021.1926568" TargetMode="External"/><Relationship Id="rId128" Type="http://schemas.openxmlformats.org/officeDocument/2006/relationships/hyperlink" Target="https://doi.org/10.1109/ICNSC62968.2024.10760109" TargetMode="External"/><Relationship Id="rId189" Type="http://schemas.openxmlformats.org/officeDocument/2006/relationships/hyperlink" Target="https://doi.org/10.1109/JAS.2023.123189" TargetMode="External"/><Relationship Id="rId191" Type="http://schemas.openxmlformats.org/officeDocument/2006/relationships/hyperlink" Target="https://doi.org/10.1109/LRA.2022.3157031" TargetMode="External"/><Relationship Id="rId158" Type="http://schemas.openxmlformats.org/officeDocument/2006/relationships/hyperlink" Target="https://doi.org/10.1109/TASE.2013.2292572" TargetMode="External"/><Relationship Id="rId162" Type="http://schemas.openxmlformats.org/officeDocument/2006/relationships/hyperlink" Target="https://doi.org/10.1109/TASE.2016.2642997" TargetMode="External"/><Relationship Id="rId142" Type="http://schemas.openxmlformats.org/officeDocument/2006/relationships/hyperlink" Target="https://doi.org/10.1109/TASE.2021.3061140" TargetMode="External"/><Relationship Id="rId166" Type="http://schemas.openxmlformats.org/officeDocument/2006/relationships/hyperlink" Target="https://doi.org/10.1109/TASE.2021.3122576" TargetMode="External"/><Relationship Id="rId144" Type="http://schemas.openxmlformats.org/officeDocument/2006/relationships/hyperlink" Target="https://doi.org/10.1109/TASE.2022.3188858" TargetMode="External"/><Relationship Id="rId138" Type="http://schemas.openxmlformats.org/officeDocument/2006/relationships/hyperlink" Target="https://doi.org/10.1109/TASE.2024.3399818" TargetMode="External"/><Relationship Id="rId136" Type="http://schemas.openxmlformats.org/officeDocument/2006/relationships/hyperlink" Target="https://doi.org/10.1109/TASE.2025.3632534" TargetMode="External"/><Relationship Id="rId175" Type="http://schemas.openxmlformats.org/officeDocument/2006/relationships/hyperlink" Target="https://doi.org/10.1109/TPAMI.2024.3432716" TargetMode="External"/><Relationship Id="rId177" Type="http://schemas.openxmlformats.org/officeDocument/2006/relationships/hyperlink" Target="https://doi.org/10.1109/TSM.2023.3239198" TargetMode="External"/><Relationship Id="rId140" Type="http://schemas.openxmlformats.org/officeDocument/2006/relationships/hyperlink" Target="https://doi.org/10.1109/TSMC.2020.2978486" TargetMode="External"/><Relationship Id="rId120" Type="http://schemas.openxmlformats.org/officeDocument/2006/relationships/hyperlink" Target="https://doi.org/10.1145/3585516" TargetMode="External"/><Relationship Id="rId134" Type="http://schemas.openxmlformats.org/officeDocument/2006/relationships/hyperlink" Target="https://doi.org/10.1609/aaai.v36i9.21262" TargetMode="External"/><Relationship Id="rId124" Type="http://schemas.openxmlformats.org/officeDocument/2006/relationships/hyperlink" Target="https://doi.org/10.52202/068431-0637" TargetMode="External"/><Relationship Id="rId172" Type="http://schemas.openxmlformats.org/officeDocument/2006/relationships/hyperlink" Target="https://doi.org/10.5802/ojmo.25" TargetMode="External"/><Relationship Id="rId179" Type="http://schemas.openxmlformats.org/officeDocument/2006/relationships/hyperlink" Target="https://openreview.net/forum?id=Zob4P9bRNcK" TargetMode="External"/><Relationship Id="rId170" Type="http://schemas.openxmlformats.org/officeDocument/2006/relationships/hyperlink" Target="https://proceedings.mlr.press/v119/tang20a.html" TargetMode="External"/><Relationship Id="rId164" Type="http://schemas.openxmlformats.org/officeDocument/2006/relationships/hyperlink" Target="https://proceedings.mlr.press/v162/paulus22a.html" TargetMode="External"/><Relationship Id="rId154" Type="http://schemas.openxmlformats.org/officeDocument/2006/relationships/hyperlink" Target="https://proceedings.mlr.press/v48/mniha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17</TotalTime>
  <ScaleCrop>false</ScaleCrop>
  <LinksUpToDate>false</LinksUpToDate>
  <CharactersWithSpaces>583</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面向旋转腔半导体组合设备的系统级调度：可配置源接口两阶段MILP与结构感知精确搜索</dc:title>
  <dc:creator>邵立珍；魏林聪；王蔚</dc:creator>
  <cp:keywords/>
  <dcterms:created xsi:type="dcterms:W3CDTF">2026-08-22T06:30:35Z</dcterms:created>
  <dcterms:modified xsi:type="dcterms:W3CDTF">2026-08-22T06:30:35Z</dcterms:modified>
  <dc:subject>Journal of Manufacturing Systems 中文审阅稿</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D:\git\git\RDMCT-A3C\cie\products\rdmct_cie_references.bib</vt:lpwstr>
  </property>
  <property fmtid="{D5CDD505-2E9C-101B-9397-08002B2CF9AE}" pid="3" name="date">
    <vt:lpwstr/>
  </property>
  <property fmtid="{D5CDD505-2E9C-101B-9397-08002B2CF9AE}" pid="4" name="reference-section-title">
    <vt:lpwstr>参考文献</vt:lpwstr>
  </property>
</Properties>
</file>