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面向旋转腔半导体组合设备的系统级调度： 可配置源接口两阶段MILP与结构感知精确搜索</w:t>
      </w:r>
    </w:p>
    <w:p>
      <w:pPr>
        <w:jc w:val="center"/>
      </w:pPr>
      <w:r>
        <w:t>邵立珍（Lizhen Shao）*；魏林聪（Lincong Wei）；王蔚（Wei Wang）</w:t>
      </w:r>
    </w:p>
    <w:p>
      <w:pPr>
        <w:jc w:val="center"/>
      </w:pPr>
      <w:r>
        <w:t>北京科技大学控制科学与工程系，北京市海淀区学院路30号，北京100083，中国</w:t>
      </w:r>
    </w:p>
    <w:p>
      <w:pPr>
        <w:jc w:val="center"/>
      </w:pPr>
      <w:r>
        <w:t>*通讯作者：lshao@ustb.edu.cn</w:t>
      </w:r>
    </w:p>
    <w:p>
      <w:pPr>
        <w:pStyle w:val="Heading1"/>
      </w:pPr>
      <w:r>
        <w:t>摘要</w:t>
      </w:r>
    </w:p>
    <w:p>
      <w:pPr>
        <w:pStyle w:val="BodyText"/>
        <w:spacing w:after="60" w:line="288" w:lineRule="auto"/>
        <w:ind w:firstLine="420"/>
      </w:pPr>
      <w:r>
        <w:t>薄膜制造工艺广泛采用组合设备（cluster tool，CT）在受控真空环境下进行 晶圆加工，其中等离子体增强化学气相沉积（Plasma-Enhanced Chemical Vapor Deposition，PECVD）由于空间限制以及工艺需求，多采用旋转式多空间 工艺模块结合辅助晶圆进行满片工艺。本文提出可配置源接口两阶段MILP，以同 一模型表达单源加工和双源混流，并覆盖4×1并行与2×2链式工 艺。第一阶段最小化端到端最大完工时间，第二阶段保持离散排程和当前最大完工时 间并改善加工节拍。为提升有限时间精确搜索，进一步提出结构保持二进制骨架 （SPBS）初始解和结构感知层次割选择算法RDMCT-HBS。实验表明，在 配方未限定模式的8片和16片批次中，纯4×1具有最短最大完工时间；相同 600 s预算下，两阶段工作流将四项等待与节拍指标降低39.70%–94.05%。SPBS 把限时可行解率由51.67%提高到100%，平均PDI降低26.19%；在共同SPBS的七 方法标称比较中，RDMCT-HBS取得最低观察平均PDI和求解时间。该框架在保留求解 器可行性验证、上下界和最优性状态的同时，为双源旋转腔设备提供可复现的系统 级调度方法。</w:t>
      </w:r>
    </w:p>
    <w:p>
      <w:r>
        <w:rPr>
          <w:b/>
        </w:rPr>
        <w:t>关键词：</w:t>
      </w:r>
      <w:r>
        <w:t>半导体制造 ； 组合设备 ； 调度 ； 混合整数线性规划 ； 分支割 ； 学习增强精确优化</w:t>
      </w:r>
    </w:p>
    <w:p>
      <w:pPr>
        <w:pStyle w:val="Heading1"/>
      </w:pPr>
      <w:r>
        <w:t>引言</w:t>
      </w:r>
    </w:p>
    <w:p>
      <w:pPr>
        <w:pStyle w:val="BodyText"/>
        <w:spacing w:after="60" w:line="288" w:lineRule="auto"/>
        <w:ind w:firstLine="420"/>
      </w:pPr>
      <w:r>
        <w:t>半导体制造依赖高资本密度、强自动化的工艺装备，设备利用率与生产节拍不仅取决于腔室加工时间，还取决于晶圆搬运、装载锁切换、工艺腔室占用及控制逻辑之间的协同。CT将多个工艺模块、装载锁和晶圆搬运机械手集成在同一受控环境中；驻留时间、腔室清洗和活动时间波动会进一步压缩可行调度空间（Pan et al. (2018)）。因此，CT 调度并非一般并行机排序问题，而是典型的设备级制造系统协同优化问题。</w:t>
      </w:r>
    </w:p>
    <w:p>
      <w:pPr>
        <w:pStyle w:val="BodyText"/>
        <w:spacing w:after="60" w:line="288" w:lineRule="auto"/>
        <w:ind w:firstLine="420"/>
      </w:pPr>
      <w:r>
        <w:t>半导体制造过程中，最重要的三个环节是光刻、刻蚀和沉积，在薄膜沉积环节，能够支持先进制程的 PECVD 是现在半导体厂商研究的重点。随着吞吐与空间利用率要求提高，传统CT已经无法满足PECVD的复杂要求，半导体厂商通过在工艺模块内部布置多个加工空间并引入旋转机构，通过腔室内部旋转交换可访问空间的位置实现在机械手对所有工位可操作的前提下进行多晶圆加工（Gu et al. (2024)）。</w:t>
      </w:r>
    </w:p>
    <w:p>
      <w:pPr>
        <w:pStyle w:val="BodyText"/>
        <w:spacing w:after="60" w:line="288" w:lineRule="auto"/>
        <w:ind w:firstLine="420"/>
      </w:pPr>
      <w:r>
        <w:t>此外，由于含碳的薄膜难以清洁，多空间旋转腔在加工过程中需保证不存在空的工位，实现满片加工。为了应对这个问题，半导体厂商提出了可复用辅助晶圆对多空间旋转腔中空余的工位进行保护，产品晶圆从大气侧进入，可复用辅助晶圆存储模块直接挂载到真空区，从真空存储区进入，两条物流在旋转腔汇合并竞争机械手资源。满片约束与辅助晶圆填充共同形成两种代表性组织模式：4×1模式使四个工位并行完成一道工序，2×2模式则使两对晶圆依次完成两道链式工序；完整拓扑如图 1。因此，若产品配方未预先限定模式，就需要在相同晶圆数与相同时间参数下比较纯4×1、纯2×2及两者混跑，才能区分模式本身的效率与混流协调代价。辅助晶圆的引入和腔室满片限制使得加工方式更加多样，最具代表性的两种工艺模式是4x1并行加工和2x2链式加工，在没有工艺要求的前提下，两种工艺模式会产生不同的效果和吞吐量。</w:t>
      </w:r>
    </w:p>
    <w:p>
      <w:pPr>
        <w:keepNext/>
        <w:jc w:val="center"/>
      </w:pPr>
      <w:r>
        <w:drawing>
          <wp:inline xmlns:a="http://schemas.openxmlformats.org/drawingml/2006/main" xmlns:pic="http://schemas.openxmlformats.org/drawingml/2006/picture">
            <wp:extent cx="3889247" cy="3020567"/>
            <wp:docPr id="1" name="Picture 1" descr="图 1" title="图 1"/>
            <wp:cNvGraphicFramePr>
              <a:graphicFrameLocks noChangeAspect="1"/>
            </wp:cNvGraphicFramePr>
            <a:graphic>
              <a:graphicData uri="http://schemas.openxmlformats.org/drawingml/2006/picture">
                <pic:pic>
                  <pic:nvPicPr>
                    <pic:cNvPr id="0" name="figure_01.png"/>
                    <pic:cNvPicPr/>
                  </pic:nvPicPr>
                  <pic:blipFill>
                    <a:blip r:embed="rId10"/>
                    <a:stretch>
                      <a:fillRect/>
                    </a:stretch>
                  </pic:blipFill>
                  <pic:spPr>
                    <a:xfrm>
                      <a:off x="0" y="0"/>
                      <a:ext cx="3889247" cy="3020567"/>
                    </a:xfrm>
                    <a:prstGeom prst="rect"/>
                  </pic:spPr>
                </pic:pic>
              </a:graphicData>
            </a:graphic>
          </wp:inline>
        </w:drawing>
      </w:r>
    </w:p>
    <w:p>
      <w:pPr>
        <w:pStyle w:val="Caption"/>
        <w:jc w:val="center"/>
      </w:pPr>
      <w:r>
        <w:t>图 1. 双源混流组合设备拓扑。LP组位于同轴布置的ATR和VTR正下方；ATR为双手大气机械手，完成LP取片、AL先放后取及产品回片，VTR为四手机械手。实线、点划线、虚线和点线分别表示产品晶圆进片、产品晶圆回片、辅助晶圆进片和辅助晶圆回片；辅助晶圆画于真空存储区内，存储区–VTR、VTR–旋转腔和ATR–LP均明确绘出进、回两条路线。设备可配置多个旋转腔室，图中以两个四工位旋转腔为例。</w:t>
      </w:r>
    </w:p>
    <w:p>
      <w:pPr>
        <w:pStyle w:val="BodyText"/>
        <w:spacing w:after="60" w:line="288" w:lineRule="auto"/>
        <w:ind w:firstLine="420"/>
      </w:pPr>
      <w:r>
        <w:t>CT调度研究首先围绕吞吐分析和驻留时间可行性展开。Perkinson et al. (1994)建立单晶圆CT解析模型，揭示加工时间、搬运时间与最大吞吐率之间的关系。Rostami and Hamidzadeh(2002)把工艺模块和搬运模块的驻留约束同时纳入双臂CT调度，并以线性规划结合问题特定启发式求解。Wu and Zhou(2010)基于时间Petri网的稳态排程，推导双臂CT的闭式可调度条件和最优周期排程。Qiao et al. (2012)进一步考虑活动时间有界波动，给出单臂CT晶圆驻留延迟上界及实时控制方法。</w:t>
      </w:r>
    </w:p>
    <w:p>
      <w:pPr>
        <w:pStyle w:val="BodyText"/>
        <w:spacing w:after="60" w:line="288" w:lineRule="auto"/>
        <w:ind w:firstLine="420"/>
      </w:pPr>
      <w:r>
        <w:t>随后，研究边界从固定路线扩展到重入工艺与混合生产。Qiao et al. (2014)针对原子层沉积中的重入和驻留约束建立Petri网模型，并得到双臂CT的最优单晶圆循环排程。Wang et al. (2020)研究多类晶圆共享双臂CT且同时受驻留时间限制的调度问题。Wang et al. (2025)提出虚拟单元模型，联合选择启用的工艺模块数量和机械手等待时间，不再预设全部模块必须投入加工。从制造系统层面看，Lee et al. (2018)把等待超限与产出率、缓冲容量及上游设备控制联系起来，说明设备级排程在评价系统性能时仍需保留时间窗信息。</w:t>
      </w:r>
    </w:p>
    <w:p>
      <w:pPr>
        <w:pStyle w:val="BodyText"/>
        <w:spacing w:after="60" w:line="288" w:lineRule="auto"/>
        <w:ind w:firstLine="420"/>
      </w:pPr>
      <w:r>
        <w:t>清洗约束形成了另一条研究主线，因为清洗既占用腔室，又会改变机械手动作序列。Kim et al. (2013)枚举周期清洗下可行的双臂机械手任务序列，并在完全枚举代价过高时采用启发式搜索。Yu and Lee(2020)结合部分装载和机械手任务时刻控制，同时降低带清洗双臂CT的周期时间与晶圆延迟。Qiao et al. (2022)以虚拟晶圆表示清洗占用，并用二元整数规划优化带驻留约束的双臂CT。Li et al. (2022)把清洗触发与腔室状态关联，推导时间受限单臂CT的可行排程。</w:t>
      </w:r>
    </w:p>
    <w:p>
      <w:pPr>
        <w:pStyle w:val="BodyText"/>
        <w:spacing w:after="60" w:line="288" w:lineRule="auto"/>
        <w:ind w:firstLine="420"/>
      </w:pPr>
      <w:r>
        <w:t>近期研究继续向复杂设备结构和混合生产推进。Gu et al. (2024)针对四指机械手和四空间模块，以线性规划求取稳态最小周期。Yang et al. (2025)用MIP联合决定两类晶圆投放与机械手动作。这些进展仍未覆盖一个独立的有限批次问题：两个外部源向同一真空域供片，可复用辅助晶圆保证满片加工，且4×1与2×2两种旋转配方并存。</w:t>
      </w:r>
    </w:p>
    <w:p>
      <w:pPr>
        <w:pStyle w:val="BodyText"/>
        <w:spacing w:after="60" w:line="288" w:lineRule="auto"/>
        <w:ind w:firstLine="420"/>
      </w:pPr>
      <w:r>
        <w:t>学习型CT控制处于不同的决策层。Kim and Lee(2025)用深度强化学习与前瞻搜索选择非周期调度动作。Hong et al. (2026)在离散事件仿真中用DDPG调节PVD加工时间。与之不同，本文把加工时间视为输入，并要求输出可由MILP验证的完整排程、上下界与最优性状态，因此学习增强精确优化提供了更合适的接口。Tang et al. (2020)将选割写成强化学习策略。Huang et al. (2022)学习候选割排序。Paulus et al. (2022)以强前瞻规则生成模仿目标。Wang et al. (2023b)用层次策略联合决定割数量和有序割集。</w:t>
      </w:r>
    </w:p>
    <w:p>
      <w:pPr>
        <w:pStyle w:val="BodyText"/>
        <w:spacing w:after="60" w:line="288" w:lineRule="auto"/>
        <w:ind w:firstLine="420"/>
      </w:pPr>
      <w:r>
        <w:t>由此得到两个缺口：设备模型缺少把外部源拓扑、满片模式、辅助晶圆、清洗和共享搬运统一起来的有限时域表达；通用割特征又不能区分离散设备选择、连续事件时刻及其耦合。本文以设备结构贯穿建模、初始解和割选择，贡献为： enumerate[leftmargin=*] 建立可配置源接口两阶段MILP，以同一内部模型表达单源特例和双源混流，并覆盖4×1/2×2、辅助晶圆、清洗、驻留及共享资源； 提出吞吐优先、运行质量次级的优化机制，在保持离散排程和最大完工时间的条件下减少等待与节拍波动； 提出SPBS初始解与RDMCT-HBS割选择器，在不改变MILP可行域和证明逻辑的前提下改善限时原始–对偶搜索。 enumerate</w:t>
      </w:r>
    </w:p>
    <w:p>
      <w:pPr>
        <w:pStyle w:val="Heading1"/>
      </w:pPr>
      <w:r>
        <w:t>工业问题与两阶段MILP</w:t>
      </w:r>
    </w:p>
    <w:p>
      <w:pPr>
        <w:pStyle w:val="BodyText"/>
        <w:spacing w:after="60" w:line="288" w:lineRule="auto"/>
        <w:ind w:firstLine="420"/>
      </w:pPr>
      <w:r>
        <w:t>equation0</w:t>
      </w:r>
    </w:p>
    <w:p>
      <w:pPr>
        <w:pStyle w:val="Heading2"/>
      </w:pPr>
      <w:r>
        <w:t>建模边界、物料路线与符号</w:t>
      </w:r>
    </w:p>
    <w:p>
      <w:pPr>
        <w:pStyle w:val="BodyText"/>
        <w:spacing w:after="60" w:line="288" w:lineRule="auto"/>
        <w:ind w:firstLine="420"/>
      </w:pPr>
      <w:r>
        <w:t>本文建立有限批次离线排程模型。输入包括产品晶圆数量及工艺模式、设备动作时间、清洗间隔、驻留上限、装载锁容量和辅助晶圆库存；输出包括每片产品晶圆与辅助晶圆的完整路线、每项动作的开始和结束时刻，以及竞争同一物理资源的动作顺序。所有时间参数在一次求解中视为已知，动作一旦开始便不被中断；除装载端口、对准器、装载锁、工艺腔室和辅助晶圆存储区外，不设置额外缓冲区。</w:t>
      </w:r>
    </w:p>
    <w:p>
      <w:pPr>
        <w:pStyle w:val="BodyText"/>
        <w:spacing w:after="60" w:line="288" w:lineRule="auto"/>
        <w:ind w:firstLine="420"/>
      </w:pPr>
      <w:r>
        <w:t>产品晶圆先按工艺模式和编号两两组成产品晶圆对（product-wafer pair，PW对），每个PW对恰含两片产品晶圆，并作为分配、成对搬运和腔室占位的最小建模单位。物理上的单片对准和驻留时间仍逐片建模，两片晶圆只在双手ATR、双手搬运选择和相同腔室侧位上共享事件窗口。等价PW对再按预处理规则固定到规范化的腔室候选位置；这只消除编号互换形成的对称解，MILP仍决定有效批次或链位置、辅助晶圆的物理身份、成对搬运选择、共享资源次序和所有事件时刻。清洗位置依据清洗间隔和完整工艺边界预生成，模型再激活相应清洗任务并联合优化其具体时刻。</w:t>
      </w:r>
    </w:p>
    <w:p>
      <w:pPr>
        <w:pStyle w:val="BodyText"/>
        <w:spacing w:after="60" w:line="288" w:lineRule="auto"/>
        <w:ind w:firstLine="420"/>
      </w:pPr>
      <w:r>
        <w:t>产品晶圆沿“装载端口–ATR–AL–ATR–上装载锁–VTR–旋转腔–VTR–下装载锁–ATR–装载端口”流动，其中ATR先把晶圆放至AL完成对准，再将其取回并送入真空域；辅助晶圆从真空存储区经VTR进入旋转腔，使用结束后经VTR返回原存储区。4×1模式的一个满片批次由两个PW对、即四片产品晶圆组成，四个工位只执行一次同步加工，再按后装先卸顺序取出；末批产品不足时，只允许在最后一个有效批次中补入辅助晶圆。2×2模式的每个PW对需要完成两次加工：第一次与前一个PW对或链首辅助晶圆对共同占位，第二次与后一个PW对或链尾辅助晶圆对共同占位，因此同一PW对必须连续出现在相邻两个加工周期中。三个PW对形成“辅助晶圆+P1、P1+P2、P2+P3、P3+辅助晶圆”的四周期链，P1、P2和P3均分别加工两次。图 2和图 3给出两种模式的事件顺序。</w:t>
      </w:r>
    </w:p>
    <w:p>
      <w:pPr>
        <w:keepNext/>
        <w:jc w:val="center"/>
      </w:pPr>
      <w:r>
        <w:drawing>
          <wp:inline xmlns:a="http://schemas.openxmlformats.org/drawingml/2006/main" xmlns:pic="http://schemas.openxmlformats.org/drawingml/2006/picture">
            <wp:extent cx="4151376" cy="2679192"/>
            <wp:docPr id="2" name="Picture 2" descr="图 2" title="图 2"/>
            <wp:cNvGraphicFramePr>
              <a:graphicFrameLocks noChangeAspect="1"/>
            </wp:cNvGraphicFramePr>
            <a:graphic>
              <a:graphicData uri="http://schemas.openxmlformats.org/drawingml/2006/picture">
                <pic:pic>
                  <pic:nvPicPr>
                    <pic:cNvPr id="0" name="figure_02.png"/>
                    <pic:cNvPicPr/>
                  </pic:nvPicPr>
                  <pic:blipFill>
                    <a:blip r:embed="rId11"/>
                    <a:stretch>
                      <a:fillRect/>
                    </a:stretch>
                  </pic:blipFill>
                  <pic:spPr>
                    <a:xfrm>
                      <a:off x="0" y="0"/>
                      <a:ext cx="4151376" cy="2679192"/>
                    </a:xfrm>
                    <a:prstGeom prst="rect"/>
                  </pic:spPr>
                </pic:pic>
              </a:graphicData>
            </a:graphic>
          </wp:inline>
        </w:drawing>
      </w:r>
    </w:p>
    <w:p>
      <w:pPr>
        <w:pStyle w:val="Caption"/>
        <w:jc w:val="center"/>
      </w:pPr>
      <w:r>
        <w:t>图 2. 2×2链式加工示意图。每个Pi表示一个两片产品晶圆组成的PW对；P1、P2和P3均连续参与两个加工周期，每片产品晶圆因此完成两次加工。辅助晶圆对D只补齐链首和链尾，尾周期结束后取出全部晶圆。</w:t>
      </w:r>
    </w:p>
    <w:p>
      <w:pPr>
        <w:keepNext/>
        <w:jc w:val="center"/>
      </w:pPr>
      <w:r>
        <w:drawing>
          <wp:inline xmlns:a="http://schemas.openxmlformats.org/drawingml/2006/main" xmlns:pic="http://schemas.openxmlformats.org/drawingml/2006/picture">
            <wp:extent cx="4392168" cy="1438656"/>
            <wp:docPr id="3" name="Picture 3" descr="图 3" title="图 3"/>
            <wp:cNvGraphicFramePr>
              <a:graphicFrameLocks noChangeAspect="1"/>
            </wp:cNvGraphicFramePr>
            <a:graphic>
              <a:graphicData uri="http://schemas.openxmlformats.org/drawingml/2006/picture">
                <pic:pic>
                  <pic:nvPicPr>
                    <pic:cNvPr id="0" name="figure_03.png"/>
                    <pic:cNvPicPr/>
                  </pic:nvPicPr>
                  <pic:blipFill>
                    <a:blip r:embed="rId12"/>
                    <a:stretch>
                      <a:fillRect/>
                    </a:stretch>
                  </pic:blipFill>
                  <pic:spPr>
                    <a:xfrm>
                      <a:off x="0" y="0"/>
                      <a:ext cx="4392168" cy="1438656"/>
                    </a:xfrm>
                    <a:prstGeom prst="rect"/>
                  </pic:spPr>
                </pic:pic>
              </a:graphicData>
            </a:graphic>
          </wp:inline>
        </w:drawing>
      </w:r>
    </w:p>
    <w:p>
      <w:pPr>
        <w:pStyle w:val="Caption"/>
        <w:jc w:val="center"/>
      </w:pPr>
      <w:r>
        <w:t>图 3. 4×1并行加工示意图。两个PW对共四片产品晶圆，依次占据腔室两侧，四个工位满片后同步加工一次，再按后装先卸的顺序取出。</w:t>
      </w:r>
    </w:p>
    <w:p>
      <w:pPr>
        <w:pStyle w:val="BodyText"/>
        <w:spacing w:after="60" w:line="288" w:lineRule="auto"/>
        <w:ind w:firstLine="420"/>
      </w:pPr>
      <w:r>
        <w:t>表 1和表 2汇总正文核心公式出现的全部符号，并同时区分集合/索引、输入常量、固定0–1别名、二元决策、连续决策和派生量。其中x^F和x^L在代码中是[0,1]连续变量，但由等式固定为0或1；这种写法保留统一导出名称，不会引入额外分支决策。为适配官方双栏模板，完整符号表按“集合与参数”和“变量与派生量”分成两个跨栏表，内容未删减。</w:t>
      </w:r>
    </w:p>
    <w:p>
      <w:pPr>
        <w:pStyle w:val="Caption"/>
        <w:keepNext/>
        <w:jc w:val="center"/>
      </w:pPr>
      <w:r>
        <w:t>表 1. 核心模型符号（一）：集合、索引与输入参数</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mathcal S,mathcal I</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物料源接口集合与物料单元集合；i∈mathcal I可为产品或辅助晶圆需求。</w:t>
            </w:r>
          </w:p>
        </w:tc>
      </w:tr>
      <w:tr>
        <w:tc>
          <w:tcPr>
            <w:tcW w:type="dxa" w:w="3137"/>
            <w:vAlign w:val="center"/>
          </w:tcPr>
          <w:p>
            <w:r/>
            <w:r>
              <w:rPr>
                <w:rFonts w:ascii="Times New Roman" w:hAnsi="Times New Roman" w:eastAsia="宋体"/>
                <w:b w:val="0"/>
                <w:sz w:val="17"/>
              </w:rPr>
              <w:t>mathcal W</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产品晶圆集合，索引为w。</w:t>
            </w:r>
          </w:p>
        </w:tc>
      </w:tr>
      <w:tr>
        <w:tc>
          <w:tcPr>
            <w:tcW w:type="dxa" w:w="3137"/>
            <w:vAlign w:val="center"/>
          </w:tcPr>
          <w:p>
            <w:r/>
            <w:r>
              <w:rPr>
                <w:rFonts w:ascii="Times New Roman" w:hAnsi="Times New Roman" w:eastAsia="宋体"/>
                <w:b w:val="0"/>
                <w:sz w:val="17"/>
              </w:rPr>
              <w:t>mathcal P^F,mathcal P^L</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分别采用4×1和2×2工艺的产品晶圆对集合，索引为p。</w:t>
            </w:r>
          </w:p>
        </w:tc>
      </w:tr>
      <w:tr>
        <w:tc>
          <w:tcPr>
            <w:tcW w:type="dxa" w:w="3137"/>
            <w:vAlign w:val="center"/>
          </w:tcPr>
          <w:p>
            <w:r/>
            <w:r>
              <w:rPr>
                <w:rFonts w:ascii="Times New Roman" w:hAnsi="Times New Roman" w:eastAsia="宋体"/>
                <w:b w:val="0"/>
                <w:sz w:val="17"/>
              </w:rPr>
              <w:t>mathcal 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旋转工艺腔室集合，索引为c。</w:t>
            </w:r>
          </w:p>
        </w:tc>
      </w:tr>
      <w:tr>
        <w:tc>
          <w:tcPr>
            <w:tcW w:type="dxa" w:w="3137"/>
            <w:vAlign w:val="center"/>
          </w:tcPr>
          <w:p>
            <w:r/>
            <w:r>
              <w:rPr>
                <w:rFonts w:ascii="Times New Roman" w:hAnsi="Times New Roman" w:eastAsia="宋体"/>
                <w:b w:val="0"/>
                <w:sz w:val="17"/>
              </w:rPr>
              <w:t>mathcal B_c,mathcal K_c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腔室c的4×1候选批次b和2×2产品链位置k。</w:t>
            </w:r>
          </w:p>
        </w:tc>
      </w:tr>
      <w:tr>
        <w:tc>
          <w:tcPr>
            <w:tcW w:type="dxa" w:w="3137"/>
            <w:vAlign w:val="center"/>
          </w:tcPr>
          <w:p>
            <w:r/>
            <w:r>
              <w:rPr>
                <w:rFonts w:ascii="Times New Roman" w:hAnsi="Times New Roman" w:eastAsia="宋体"/>
                <w:b w:val="0"/>
                <w:sz w:val="17"/>
              </w:rPr>
              <w:t>mathcal L= 1,2</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4×1批次的前、后两侧。</w:t>
            </w:r>
          </w:p>
        </w:tc>
      </w:tr>
      <w:tr>
        <w:tc>
          <w:tcPr>
            <w:tcW w:type="dxa" w:w="3137"/>
            <w:vAlign w:val="center"/>
          </w:tcPr>
          <w:p>
            <w:r/>
            <w:r>
              <w:rPr>
                <w:rFonts w:ascii="Times New Roman" w:hAnsi="Times New Roman" w:eastAsia="宋体"/>
                <w:b w:val="0"/>
                <w:sz w:val="17"/>
              </w:rPr>
              <w:t>mathcal Q_c,mathcal E_c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腔室c的2×2加工周期q与清洗区段e。</w:t>
            </w:r>
          </w:p>
        </w:tc>
      </w:tr>
      <w:tr>
        <w:tc>
          <w:tcPr>
            <w:tcW w:type="dxa" w:w="3137"/>
            <w:vAlign w:val="center"/>
          </w:tcPr>
          <w:p>
            <w:r/>
            <w:r>
              <w:rPr>
                <w:rFonts w:ascii="Times New Roman" w:hAnsi="Times New Roman" w:eastAsia="宋体"/>
                <w:b w:val="0"/>
                <w:sz w:val="17"/>
              </w:rPr>
              <w:t>mathcal V_c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腔室c中所有4×1批次与2×2加工周期的并集。</w:t>
            </w:r>
          </w:p>
        </w:tc>
      </w:tr>
      <w:tr>
        <w:tc>
          <w:tcPr>
            <w:tcW w:type="dxa" w:w="3137"/>
            <w:vAlign w:val="center"/>
          </w:tcPr>
          <w:p>
            <w:r/>
            <w:r>
              <w:rPr>
                <w:rFonts w:ascii="Times New Roman" w:hAnsi="Times New Roman" w:eastAsia="宋体"/>
                <w:b w:val="0"/>
                <w:sz w:val="17"/>
              </w:rPr>
              <w:t>mathcal O,mathcal A</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候选物理操作集合与必须满足的工艺先后弧集合。</w:t>
            </w:r>
          </w:p>
        </w:tc>
      </w:tr>
      <w:tr>
        <w:tc>
          <w:tcPr>
            <w:tcW w:type="dxa" w:w="3137"/>
            <w:vAlign w:val="center"/>
          </w:tcPr>
          <w:p>
            <w:r/>
            <w:r>
              <w:rPr>
                <w:rFonts w:ascii="Times New Roman" w:hAnsi="Times New Roman" w:eastAsia="宋体"/>
                <w:b w:val="0"/>
                <w:sz w:val="17"/>
              </w:rPr>
              <w:t>mathcal R,Lambda_r</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共享资源集合及资源r的物理槽位集合。</w:t>
            </w:r>
          </w:p>
        </w:tc>
      </w:tr>
      <w:tr>
        <w:tc>
          <w:tcPr>
            <w:tcW w:type="dxa" w:w="3137"/>
            <w:vAlign w:val="center"/>
          </w:tcPr>
          <w:p>
            <w:r/>
            <w:r>
              <w:rPr>
                <w:rFonts w:ascii="Times New Roman" w:hAnsi="Times New Roman" w:eastAsia="宋体"/>
                <w:b w:val="0"/>
                <w:sz w:val="17"/>
              </w:rPr>
              <w:t>mathcal J_c^D,mathcal T_c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腔室c的辅助晶圆需求集合与可复用物理辅助晶圆集合。</w:t>
            </w:r>
          </w:p>
        </w:tc>
      </w:tr>
      <w:tr>
        <w:tc>
          <w:tcPr>
            <w:tcW w:type="dxa" w:w="3137"/>
            <w:vAlign w:val="center"/>
          </w:tcPr>
          <w:p>
            <w:r/>
            <w:r>
              <w:rPr>
                <w:rFonts w:ascii="Times New Roman" w:hAnsi="Times New Roman" w:eastAsia="宋体"/>
                <w:b w:val="0"/>
                <w:sz w:val="17"/>
              </w:rPr>
              <w:t>chi_is</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物料单元i是否属于源接口s。</w:t>
            </w:r>
          </w:p>
        </w:tc>
      </w:tr>
      <w:tr>
        <w:tc>
          <w:tcPr>
            <w:tcW w:type="dxa" w:w="3137"/>
            <w:vAlign w:val="center"/>
          </w:tcPr>
          <w:p>
            <w:r/>
            <w:r>
              <w:rPr>
                <w:rFonts w:ascii="Times New Roman" w:hAnsi="Times New Roman" w:eastAsia="宋体"/>
                <w:b w:val="0"/>
                <w:sz w:val="17"/>
              </w:rPr>
              <w:t>bar x^F_pcbl,bar x^L_pck</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对称破除后，晶圆对与4×1批次侧位或2×2链位置的规范化对应。</w:t>
            </w:r>
          </w:p>
        </w:tc>
      </w:tr>
      <w:tr>
        <w:tc>
          <w:tcPr>
            <w:tcW w:type="dxa" w:w="3137"/>
            <w:vAlign w:val="center"/>
          </w:tcPr>
          <w:p>
            <w:r/>
            <w:r>
              <w:rPr>
                <w:rFonts w:ascii="Times New Roman" w:hAnsi="Times New Roman" w:eastAsia="宋体"/>
                <w:b w:val="0"/>
                <w:sz w:val="17"/>
              </w:rPr>
              <w:t>q_c^-(k),q_c^+(k)</w:t>
            </w:r>
          </w:p>
        </w:tc>
        <w:tc>
          <w:tcPr>
            <w:tcW w:type="dxa" w:w="3137"/>
            <w:vAlign w:val="center"/>
          </w:tcPr>
          <w:p>
            <w:r/>
            <w:r>
              <w:rPr>
                <w:rFonts w:ascii="Times New Roman" w:hAnsi="Times New Roman" w:eastAsia="宋体"/>
                <w:b w:val="0"/>
                <w:sz w:val="17"/>
              </w:rPr>
              <w:t>已知非负整数映射</w:t>
            </w:r>
          </w:p>
        </w:tc>
        <w:tc>
          <w:tcPr>
            <w:tcW w:type="dxa" w:w="3137"/>
            <w:vAlign w:val="center"/>
          </w:tcPr>
          <w:p>
            <w:r/>
            <w:r>
              <w:rPr>
                <w:rFonts w:ascii="Times New Roman" w:hAnsi="Times New Roman" w:eastAsia="宋体"/>
                <w:b w:val="0"/>
                <w:sz w:val="17"/>
              </w:rPr>
              <w:t>2×2链位置k对应的第一次和第二次加工周期，满足q_c^+(k)=q_c^-(k)+1。</w:t>
            </w:r>
          </w:p>
        </w:tc>
      </w:tr>
      <w:tr>
        <w:tc>
          <w:tcPr>
            <w:tcW w:type="dxa" w:w="3137"/>
            <w:vAlign w:val="center"/>
          </w:tcPr>
          <w:p>
            <w:r/>
            <w:r>
              <w:rPr>
                <w:rFonts w:ascii="Times New Roman" w:hAnsi="Times New Roman" w:eastAsia="宋体"/>
                <w:b w:val="0"/>
                <w:sz w:val="17"/>
              </w:rPr>
              <w:t>bar z_ce,bar a^F_cbe,bar a^L_cqe</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预生成清洗布局中的有效区段、4×1批次所属区段和2×2周期所属区段。</w:t>
            </w:r>
          </w:p>
        </w:tc>
      </w:tr>
      <w:tr>
        <w:tc>
          <w:tcPr>
            <w:tcW w:type="dxa" w:w="3137"/>
            <w:vAlign w:val="center"/>
          </w:tcPr>
          <w:p>
            <w:r/>
            <w:r>
              <w:rPr>
                <w:rFonts w:ascii="Times New Roman" w:hAnsi="Times New Roman" w:eastAsia="宋体"/>
                <w:b w:val="0"/>
                <w:sz w:val="17"/>
              </w:rPr>
              <w:t>H,bar Q_c</w:t>
            </w:r>
          </w:p>
        </w:tc>
        <w:tc>
          <w:tcPr>
            <w:tcW w:type="dxa" w:w="3137"/>
            <w:vAlign w:val="center"/>
          </w:tcPr>
          <w:p>
            <w:r/>
            <w:r>
              <w:rPr>
                <w:rFonts w:ascii="Times New Roman" w:hAnsi="Times New Roman" w:eastAsia="宋体"/>
                <w:b w:val="0"/>
                <w:sz w:val="17"/>
              </w:rPr>
              <w:t>非负整数常量</w:t>
            </w:r>
          </w:p>
        </w:tc>
        <w:tc>
          <w:tcPr>
            <w:tcW w:type="dxa" w:w="3137"/>
            <w:vAlign w:val="center"/>
          </w:tcPr>
          <w:p>
            <w:r/>
            <w:r>
              <w:rPr>
                <w:rFonts w:ascii="Times New Roman" w:hAnsi="Times New Roman" w:eastAsia="宋体"/>
                <w:b w:val="0"/>
                <w:sz w:val="17"/>
              </w:rPr>
              <w:t>相邻清洗间最大有效加工数，以及规范化布局生成的2×2有效周期数。</w:t>
            </w:r>
          </w:p>
        </w:tc>
      </w:tr>
      <w:tr>
        <w:tc>
          <w:tcPr>
            <w:tcW w:type="dxa" w:w="3137"/>
            <w:vAlign w:val="center"/>
          </w:tcPr>
          <w:p>
            <w:r/>
            <w:r>
              <w:rPr>
                <w:rFonts w:ascii="Times New Roman" w:hAnsi="Times New Roman" w:eastAsia="宋体"/>
                <w:b w:val="0"/>
                <w:sz w:val="17"/>
              </w:rPr>
              <w:t>d_o,delta_oo'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操作o的持续时间及先后弧(o,o')要求的最小间隔。</w:t>
            </w:r>
          </w:p>
        </w:tc>
      </w:tr>
      <w:tr>
        <w:tc>
          <w:tcPr>
            <w:tcW w:type="dxa" w:w="3137"/>
            <w:vAlign w:val="center"/>
          </w:tcPr>
          <w:p>
            <w:r/>
            <w:r>
              <w:rPr>
                <w:rFonts w:ascii="Times New Roman" w:hAnsi="Times New Roman" w:eastAsia="宋体"/>
                <w:b w:val="0"/>
                <w:sz w:val="17"/>
              </w:rPr>
              <w:t>d^F_nu,d^L,r_c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4×1阶段nu的时间、2×2加工时间及腔室半周旋转时间。</w:t>
            </w:r>
          </w:p>
        </w:tc>
      </w:tr>
      <w:tr>
        <w:tc>
          <w:tcPr>
            <w:tcW w:type="dxa" w:w="3137"/>
            <w:vAlign w:val="center"/>
          </w:tcPr>
          <w:p>
            <w:r/>
            <w:r>
              <w:rPr>
                <w:rFonts w:ascii="Times New Roman" w:hAnsi="Times New Roman" w:eastAsia="宋体"/>
                <w:b w:val="0"/>
                <w:sz w:val="17"/>
              </w:rPr>
              <w:t>ρ^r_oo'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资源r从操作o终点空载移动或复位到o'起点所需时间。</w:t>
            </w:r>
          </w:p>
        </w:tc>
      </w:tr>
      <w:tr>
        <w:tc>
          <w:tcPr>
            <w:tcW w:type="dxa" w:w="3137"/>
            <w:vAlign w:val="center"/>
          </w:tcPr>
          <w:p>
            <w:r/>
            <w:r>
              <w:rPr>
                <w:rFonts w:ascii="Times New Roman" w:hAnsi="Times New Roman" w:eastAsia="宋体"/>
                <w:b w:val="0"/>
                <w:sz w:val="17"/>
              </w:rPr>
              <w:t>M,overline R_wr</w:t>
            </w:r>
          </w:p>
        </w:tc>
        <w:tc>
          <w:tcPr>
            <w:tcW w:type="dxa" w:w="3137"/>
            <w:vAlign w:val="center"/>
          </w:tcPr>
          <w:p>
            <w:r/>
            <w:r>
              <w:rPr>
                <w:rFonts w:ascii="Times New Roman" w:hAnsi="Times New Roman" w:eastAsia="宋体"/>
                <w:b w:val="0"/>
                <w:sz w:val="17"/>
              </w:rPr>
              <w:t>正连续常量</w:t>
            </w:r>
          </w:p>
        </w:tc>
        <w:tc>
          <w:tcPr>
            <w:tcW w:type="dxa" w:w="3137"/>
            <w:vAlign w:val="center"/>
          </w:tcPr>
          <w:p>
            <w:r/>
            <w:r>
              <w:rPr>
                <w:rFonts w:ascii="Times New Roman" w:hAnsi="Times New Roman" w:eastAsia="宋体"/>
                <w:b w:val="0"/>
                <w:sz w:val="17"/>
              </w:rPr>
              <w:t>有效大常数上界，以及晶圆w在受限区段r中的最大驻留时间。</w:t>
            </w:r>
          </w:p>
        </w:tc>
      </w:tr>
      <w:tr>
        <w:tc>
          <w:tcPr>
            <w:tcW w:type="dxa" w:w="3137"/>
            <w:vAlign w:val="center"/>
          </w:tcPr>
          <w:p>
            <w:r/>
            <w:r>
              <w:rPr>
                <w:rFonts w:ascii="Times New Roman" w:hAnsi="Times New Roman" w:eastAsia="宋体"/>
                <w:b w:val="0"/>
                <w:sz w:val="17"/>
              </w:rPr>
              <w:t>kappa_o,Gamma_o</w:t>
            </w:r>
          </w:p>
        </w:tc>
        <w:tc>
          <w:tcPr>
            <w:tcW w:type="dxa" w:w="3137"/>
            <w:vAlign w:val="center"/>
          </w:tcPr>
          <w:p>
            <w:r/>
            <w:r>
              <w:rPr>
                <w:rFonts w:ascii="Times New Roman" w:hAnsi="Times New Roman" w:eastAsia="宋体"/>
                <w:b w:val="0"/>
                <w:sz w:val="17"/>
              </w:rPr>
              <w:t>整数常量/集合</w:t>
            </w:r>
          </w:p>
        </w:tc>
        <w:tc>
          <w:tcPr>
            <w:tcW w:type="dxa" w:w="3137"/>
            <w:vAlign w:val="center"/>
          </w:tcPr>
          <w:p>
            <w:r/>
            <w:r>
              <w:rPr>
                <w:rFonts w:ascii="Times New Roman" w:hAnsi="Times New Roman" w:eastAsia="宋体"/>
                <w:b w:val="0"/>
                <w:sz w:val="17"/>
              </w:rPr>
              <w:t>操作o需要的槽位数及允许使用的物理槽位集合。</w:t>
            </w:r>
          </w:p>
        </w:tc>
      </w:tr>
      <w:tr>
        <w:tc>
          <w:tcPr>
            <w:tcW w:type="dxa" w:w="3137"/>
            <w:vAlign w:val="center"/>
          </w:tcPr>
          <w:p>
            <w:r/>
            <w:r>
              <w:rPr>
                <w:rFonts w:ascii="Times New Roman" w:hAnsi="Times New Roman" w:eastAsia="宋体"/>
                <w:b w:val="0"/>
                <w:sz w:val="17"/>
              </w:rPr>
              <w:t>λ_1,…,λ_4</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第二阶段总等待、最大等待、节拍偏差和软上限超额的权重。</w:t>
            </w:r>
          </w:p>
        </w:tc>
      </w:tr>
      <w:tr>
        <w:tc>
          <w:tcPr>
            <w:tcW w:type="dxa" w:w="3137"/>
            <w:vAlign w:val="center"/>
          </w:tcPr>
          <w:p>
            <w:r/>
            <w:r>
              <w:rPr>
                <w:rFonts w:ascii="Times New Roman" w:hAnsi="Times New Roman" w:eastAsia="宋体"/>
                <w:b w:val="0"/>
                <w:sz w:val="17"/>
              </w:rPr>
              <w:t>baromega_α,ε_C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等待量α的软上限与第二阶段允许的最大完工时间容差。</w:t>
            </w:r>
          </w:p>
        </w:tc>
      </w:tr>
      <w:tr>
        <w:tc>
          <w:tcPr>
            <w:tcW w:type="dxa" w:w="3137"/>
            <w:vAlign w:val="center"/>
          </w:tcPr>
          <w:p>
            <w:r/>
            <w:r>
              <w:rPr>
                <w:rFonts w:ascii="Times New Roman" w:hAnsi="Times New Roman" w:eastAsia="宋体"/>
                <w:b w:val="0"/>
                <w:sz w:val="17"/>
              </w:rPr>
              <w:t>mathcal F,mathcal D_rm fix</w:t>
            </w:r>
          </w:p>
        </w:tc>
        <w:tc>
          <w:tcPr>
            <w:tcW w:type="dxa" w:w="3137"/>
            <w:vAlign w:val="center"/>
          </w:tcPr>
          <w:p>
            <w:r/>
            <w:r>
              <w:rPr>
                <w:rFonts w:ascii="Times New Roman" w:hAnsi="Times New Roman" w:eastAsia="宋体"/>
                <w:b w:val="0"/>
                <w:sz w:val="17"/>
              </w:rPr>
              <w:t>集合</w:t>
            </w:r>
          </w:p>
        </w:tc>
        <w:tc>
          <w:tcPr>
            <w:tcW w:type="dxa" w:w="3137"/>
            <w:vAlign w:val="center"/>
          </w:tcPr>
          <w:p>
            <w:r/>
            <w:r>
              <w:rPr>
                <w:rFonts w:ascii="Times New Roman" w:hAnsi="Times New Roman" w:eastAsia="宋体"/>
                <w:b w:val="0"/>
                <w:sz w:val="17"/>
              </w:rPr>
              <w:t>完整MILP可行域，以及第二阶段固定的离散变量索引集合。</w:t>
            </w:r>
          </w:p>
        </w:tc>
      </w:tr>
      <w:tr>
        <w:tc>
          <w:tcPr>
            <w:tcW w:type="dxa" w:w="3137"/>
            <w:vAlign w:val="center"/>
          </w:tcPr>
          <w:p>
            <w:r/>
            <w:r>
              <w:rPr>
                <w:rFonts w:ascii="Times New Roman" w:hAnsi="Times New Roman" w:eastAsia="宋体"/>
                <w:b w:val="0"/>
                <w:sz w:val="17"/>
              </w:rPr>
              <w:t>mathcal Q^w,mathcal I_h</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次级目标中的等待量，以及可计算节拍二阶差分的加工起点索引。</w:t>
            </w:r>
          </w:p>
        </w:tc>
      </w:tr>
    </w:tbl>
    <w:p>
      <w:pPr>
        <w:pStyle w:val="Caption"/>
        <w:keepNext/>
        <w:jc w:val="center"/>
      </w:pPr>
      <w:r>
        <w:t>表 2. 核心模型符号（二）：决策变量、固定别名与派生量</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x^F_pcbl,x^L_pck</w:t>
            </w:r>
          </w:p>
        </w:tc>
        <w:tc>
          <w:tcPr>
            <w:tcW w:type="dxa" w:w="3137"/>
            <w:vAlign w:val="center"/>
          </w:tcPr>
          <w:p>
            <w:r/>
            <w:r>
              <w:rPr>
                <w:rFonts w:ascii="Times New Roman" w:hAnsi="Times New Roman" w:eastAsia="宋体"/>
                <w:b w:val="0"/>
                <w:sz w:val="17"/>
              </w:rPr>
              <w:t>连续[0,1]固定别名</w:t>
            </w:r>
          </w:p>
        </w:tc>
        <w:tc>
          <w:tcPr>
            <w:tcW w:type="dxa" w:w="3137"/>
            <w:vAlign w:val="center"/>
          </w:tcPr>
          <w:p>
            <w:r/>
            <w:r>
              <w:rPr>
                <w:rFonts w:ascii="Times New Roman" w:hAnsi="Times New Roman" w:eastAsia="宋体"/>
                <w:b w:val="0"/>
                <w:sz w:val="17"/>
              </w:rPr>
              <w:t>晶圆对是否位于4×1候选侧位或2×2链位置；由公式固定为0或1。</w:t>
            </w:r>
          </w:p>
        </w:tc>
      </w:tr>
      <w:tr>
        <w:tc>
          <w:tcPr>
            <w:tcW w:type="dxa" w:w="3137"/>
            <w:vAlign w:val="center"/>
          </w:tcPr>
          <w:p>
            <w:r/>
            <w:r>
              <w:rPr>
                <w:rFonts w:ascii="Times New Roman" w:hAnsi="Times New Roman" w:eastAsia="宋体"/>
                <w:b w:val="0"/>
                <w:sz w:val="17"/>
              </w:rPr>
              <w:t>mu^L_pcq</w:t>
            </w:r>
          </w:p>
        </w:tc>
        <w:tc>
          <w:tcPr>
            <w:tcW w:type="dxa" w:w="3137"/>
            <w:vAlign w:val="center"/>
          </w:tcPr>
          <w:p>
            <w:r/>
            <w:r>
              <w:rPr>
                <w:rFonts w:ascii="Times New Roman" w:hAnsi="Times New Roman" w:eastAsia="宋体"/>
                <w:b w:val="0"/>
                <w:sz w:val="17"/>
              </w:rPr>
              <w:t>连续[0,1]固定别名</w:t>
            </w:r>
          </w:p>
        </w:tc>
        <w:tc>
          <w:tcPr>
            <w:tcW w:type="dxa" w:w="3137"/>
            <w:vAlign w:val="center"/>
          </w:tcPr>
          <w:p>
            <w:r/>
            <w:r>
              <w:rPr>
                <w:rFonts w:ascii="Times New Roman" w:hAnsi="Times New Roman" w:eastAsia="宋体"/>
                <w:b w:val="0"/>
                <w:sz w:val="17"/>
              </w:rPr>
              <w:t>2×2产品PW对p是否在腔室c的加工周期q中接受加工。</w:t>
            </w:r>
          </w:p>
        </w:tc>
      </w:tr>
      <w:tr>
        <w:tc>
          <w:tcPr>
            <w:tcW w:type="dxa" w:w="3137"/>
            <w:vAlign w:val="center"/>
          </w:tcPr>
          <w:p>
            <w:r/>
            <w:r>
              <w:rPr>
                <w:rFonts w:ascii="Times New Roman" w:hAnsi="Times New Roman" w:eastAsia="宋体"/>
                <w:b w:val="0"/>
                <w:sz w:val="17"/>
              </w:rPr>
              <w:t>u^F_cb,f^F_cbl,t^F_cb</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4×1批次是否启用、某侧是否用辅助晶圆补片、该批次是否为最后有效批次。</w:t>
            </w:r>
          </w:p>
        </w:tc>
      </w:tr>
      <w:tr>
        <w:tc>
          <w:tcPr>
            <w:tcW w:type="dxa" w:w="3137"/>
            <w:vAlign w:val="center"/>
          </w:tcPr>
          <w:p>
            <w:r/>
            <w:r>
              <w:rPr>
                <w:rFonts w:ascii="Times New Roman" w:hAnsi="Times New Roman" w:eastAsia="宋体"/>
                <w:b w:val="0"/>
                <w:sz w:val="17"/>
              </w:rPr>
              <w:t>u^L_ck,a^L_c,v^L_cq,h^L_ck</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2×2位置是否使用、腔室是否存在链、周期是否使用及该位置是否为链尾。</w:t>
            </w:r>
          </w:p>
        </w:tc>
      </w:tr>
      <w:tr>
        <w:tc>
          <w:tcPr>
            <w:tcW w:type="dxa" w:w="3137"/>
            <w:vAlign w:val="center"/>
          </w:tcPr>
          <w:p>
            <w:r/>
            <w:r>
              <w:rPr>
                <w:rFonts w:ascii="Times New Roman" w:hAnsi="Times New Roman" w:eastAsia="宋体"/>
                <w:b w:val="0"/>
                <w:sz w:val="17"/>
              </w:rPr>
              <w:t>z_ce,a^F_cbe,a^L_cqe,q^rm cl_ch</w:t>
            </w:r>
          </w:p>
        </w:tc>
        <w:tc>
          <w:tcPr>
            <w:tcW w:type="dxa" w:w="3137"/>
            <w:vAlign w:val="center"/>
          </w:tcPr>
          <w:p>
            <w:r/>
            <w:r>
              <w:rPr>
                <w:rFonts w:ascii="Times New Roman" w:hAnsi="Times New Roman" w:eastAsia="宋体"/>
                <w:b w:val="0"/>
                <w:sz w:val="17"/>
              </w:rPr>
              <w:t>0–1固定别名/变量</w:t>
            </w:r>
          </w:p>
        </w:tc>
        <w:tc>
          <w:tcPr>
            <w:tcW w:type="dxa" w:w="3137"/>
            <w:vAlign w:val="center"/>
          </w:tcPr>
          <w:p>
            <w:r/>
            <w:r>
              <w:rPr>
                <w:rFonts w:ascii="Times New Roman" w:hAnsi="Times New Roman" w:eastAsia="宋体"/>
                <w:b w:val="0"/>
                <w:sz w:val="17"/>
              </w:rPr>
              <w:t>有效清洗区段、批次或周期所属区段，以及清洗任务是否激活。</w:t>
            </w:r>
          </w:p>
        </w:tc>
      </w:tr>
      <w:tr>
        <w:tc>
          <w:tcPr>
            <w:tcW w:type="dxa" w:w="3137"/>
            <w:vAlign w:val="center"/>
          </w:tcPr>
          <w:p>
            <w:r/>
            <w:r>
              <w:rPr>
                <w:rFonts w:ascii="Times New Roman" w:hAnsi="Times New Roman" w:eastAsia="宋体"/>
                <w:b w:val="0"/>
                <w:sz w:val="17"/>
              </w:rPr>
              <w:t>q_j,g_jτ</w:t>
            </w:r>
          </w:p>
        </w:tc>
        <w:tc>
          <w:tcPr>
            <w:tcW w:type="dxa" w:w="3137"/>
            <w:vAlign w:val="center"/>
          </w:tcPr>
          <w:p>
            <w:r/>
            <w:r>
              <w:rPr>
                <w:rFonts w:ascii="Times New Roman" w:hAnsi="Times New Roman" w:eastAsia="宋体"/>
                <w:b w:val="0"/>
                <w:sz w:val="17"/>
              </w:rPr>
              <w:t>0–1变量</w:t>
            </w:r>
          </w:p>
        </w:tc>
        <w:tc>
          <w:tcPr>
            <w:tcW w:type="dxa" w:w="3137"/>
            <w:vAlign w:val="center"/>
          </w:tcPr>
          <w:p>
            <w:r/>
            <w:r>
              <w:rPr>
                <w:rFonts w:ascii="Times New Roman" w:hAnsi="Times New Roman" w:eastAsia="宋体"/>
                <w:b w:val="0"/>
                <w:sz w:val="17"/>
              </w:rPr>
              <w:t>辅助晶圆需求是否出现，以及是否分配给物理辅助晶圆τ。</w:t>
            </w:r>
          </w:p>
        </w:tc>
      </w:tr>
      <w:tr>
        <w:tc>
          <w:tcPr>
            <w:tcW w:type="dxa" w:w="3137"/>
            <w:vAlign w:val="center"/>
          </w:tcPr>
          <w:p>
            <w:r/>
            <w:r>
              <w:rPr>
                <w:rFonts w:ascii="Times New Roman" w:hAnsi="Times New Roman" w:eastAsia="宋体"/>
                <w:b w:val="0"/>
                <w:sz w:val="17"/>
              </w:rPr>
              <w:t>b_o,y^r_oo'</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操作o是否执行，以及共享资源r上o是否先于o'。</w:t>
            </w:r>
          </w:p>
        </w:tc>
      </w:tr>
      <w:tr>
        <w:tc>
          <w:tcPr>
            <w:tcW w:type="dxa" w:w="3137"/>
            <w:vAlign w:val="center"/>
          </w:tcPr>
          <w:p>
            <w:r/>
            <w:r>
              <w:rPr>
                <w:rFonts w:ascii="Times New Roman" w:hAnsi="Times New Roman" w:eastAsia="宋体"/>
                <w:b w:val="0"/>
                <w:sz w:val="17"/>
              </w:rPr>
              <w:t>h_oell</w:t>
            </w:r>
          </w:p>
        </w:tc>
        <w:tc>
          <w:tcPr>
            <w:tcW w:type="dxa" w:w="3137"/>
            <w:vAlign w:val="center"/>
          </w:tcPr>
          <w:p>
            <w:r/>
            <w:r>
              <w:rPr>
                <w:rFonts w:ascii="Times New Roman" w:hAnsi="Times New Roman" w:eastAsia="宋体"/>
                <w:b w:val="0"/>
                <w:sz w:val="17"/>
              </w:rPr>
              <w:t>0–1槽位变量</w:t>
            </w:r>
          </w:p>
        </w:tc>
        <w:tc>
          <w:tcPr>
            <w:tcW w:type="dxa" w:w="3137"/>
            <w:vAlign w:val="center"/>
          </w:tcPr>
          <w:p>
            <w:r/>
            <w:r>
              <w:rPr>
                <w:rFonts w:ascii="Times New Roman" w:hAnsi="Times New Roman" w:eastAsia="宋体"/>
                <w:b w:val="0"/>
                <w:sz w:val="17"/>
              </w:rPr>
              <w:t>操作o是否占用物理槽位ell。</w:t>
            </w:r>
          </w:p>
        </w:tc>
      </w:tr>
      <w:tr>
        <w:tc>
          <w:tcPr>
            <w:tcW w:type="dxa" w:w="3137"/>
            <w:vAlign w:val="center"/>
          </w:tcPr>
          <w:p>
            <w:r/>
            <w:r>
              <w:rPr>
                <w:rFonts w:ascii="Times New Roman" w:hAnsi="Times New Roman" w:eastAsia="宋体"/>
                <w:b w:val="0"/>
                <w:sz w:val="17"/>
              </w:rPr>
              <w:t>gamma_pa</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晶圆对p在机械手路线a上是否采用一次成对搬运。</w:t>
            </w:r>
          </w:p>
        </w:tc>
      </w:tr>
      <w:tr>
        <w:tc>
          <w:tcPr>
            <w:tcW w:type="dxa" w:w="3137"/>
            <w:vAlign w:val="center"/>
          </w:tcPr>
          <w:p>
            <w:r/>
            <w:r>
              <w:rPr>
                <w:rFonts w:ascii="Times New Roman" w:hAnsi="Times New Roman" w:eastAsia="宋体"/>
                <w:b w:val="0"/>
                <w:sz w:val="17"/>
              </w:rPr>
              <w:t>s_o,e_o</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操作o的开始与结束时刻。</w:t>
            </w:r>
          </w:p>
        </w:tc>
      </w:tr>
      <w:tr>
        <w:tc>
          <w:tcPr>
            <w:tcW w:type="dxa" w:w="3137"/>
            <w:vAlign w:val="center"/>
          </w:tcPr>
          <w:p>
            <w:r/>
            <w:r>
              <w:rPr>
                <w:rFonts w:ascii="Times New Roman" w:hAnsi="Times New Roman" w:eastAsia="宋体"/>
                <w:b w:val="0"/>
                <w:sz w:val="17"/>
              </w:rPr>
              <w:t>s^F,nu,e^F,nu,s^L,e^L</w:t>
            </w:r>
          </w:p>
        </w:tc>
        <w:tc>
          <w:tcPr>
            <w:tcW w:type="dxa" w:w="3137"/>
            <w:vAlign w:val="center"/>
          </w:tcPr>
          <w:p>
            <w:r/>
            <w:r>
              <w:rPr>
                <w:rFonts w:ascii="Times New Roman" w:hAnsi="Times New Roman" w:eastAsia="宋体"/>
                <w:b w:val="0"/>
                <w:sz w:val="17"/>
              </w:rPr>
              <w:t>非负连续变量别名</w:t>
            </w:r>
          </w:p>
        </w:tc>
        <w:tc>
          <w:tcPr>
            <w:tcW w:type="dxa" w:w="3137"/>
            <w:vAlign w:val="center"/>
          </w:tcPr>
          <w:p>
            <w:r/>
            <w:r>
              <w:rPr>
                <w:rFonts w:ascii="Times New Roman" w:hAnsi="Times New Roman" w:eastAsia="宋体"/>
                <w:b w:val="0"/>
                <w:sz w:val="17"/>
              </w:rPr>
              <w:t>s_o,e_o在4×1阶段和2×2周期上的具体记号。</w:t>
            </w:r>
          </w:p>
        </w:tc>
      </w:tr>
      <w:tr>
        <w:tc>
          <w:tcPr>
            <w:tcW w:type="dxa" w:w="3137"/>
            <w:vAlign w:val="center"/>
          </w:tcPr>
          <w:p>
            <w:r/>
            <w:r>
              <w:rPr>
                <w:rFonts w:ascii="Times New Roman" w:hAnsi="Times New Roman" w:eastAsia="宋体"/>
                <w:b w:val="0"/>
                <w:sz w:val="17"/>
              </w:rPr>
              <w:t>A^F_cb,N_ce</w:t>
            </w:r>
          </w:p>
        </w:tc>
        <w:tc>
          <w:tcPr>
            <w:tcW w:type="dxa" w:w="3137"/>
            <w:vAlign w:val="center"/>
          </w:tcPr>
          <w:p>
            <w:r/>
            <w:r>
              <w:rPr>
                <w:rFonts w:ascii="Times New Roman" w:hAnsi="Times New Roman" w:eastAsia="宋体"/>
                <w:b w:val="0"/>
                <w:sz w:val="17"/>
              </w:rPr>
              <w:t>连续/整数派生量</w:t>
            </w:r>
          </w:p>
        </w:tc>
        <w:tc>
          <w:tcPr>
            <w:tcW w:type="dxa" w:w="3137"/>
            <w:vAlign w:val="center"/>
          </w:tcPr>
          <w:p>
            <w:r/>
            <w:r>
              <w:rPr>
                <w:rFonts w:ascii="Times New Roman" w:hAnsi="Times New Roman" w:eastAsia="宋体"/>
                <w:b w:val="0"/>
                <w:sz w:val="17"/>
              </w:rPr>
              <w:t>4×1批次的产品晶圆对数与清洗区段中的有效加工周期数。</w:t>
            </w:r>
          </w:p>
        </w:tc>
      </w:tr>
      <w:tr>
        <w:tc>
          <w:tcPr>
            <w:tcW w:type="dxa" w:w="3137"/>
            <w:vAlign w:val="center"/>
          </w:tcPr>
          <w:p>
            <w:r/>
            <w:r>
              <w:rPr>
                <w:rFonts w:ascii="Times New Roman" w:hAnsi="Times New Roman" w:eastAsia="宋体"/>
                <w:b w:val="0"/>
                <w:sz w:val="17"/>
              </w:rPr>
              <w:t>a_vce</w:t>
            </w:r>
          </w:p>
        </w:tc>
        <w:tc>
          <w:tcPr>
            <w:tcW w:type="dxa" w:w="3137"/>
            <w:vAlign w:val="center"/>
          </w:tcPr>
          <w:p>
            <w:r/>
            <w:r>
              <w:rPr>
                <w:rFonts w:ascii="Times New Roman" w:hAnsi="Times New Roman" w:eastAsia="宋体"/>
                <w:b w:val="0"/>
                <w:sz w:val="17"/>
              </w:rPr>
              <w:t>0–1固定别名</w:t>
            </w:r>
          </w:p>
        </w:tc>
        <w:tc>
          <w:tcPr>
            <w:tcW w:type="dxa" w:w="3137"/>
            <w:vAlign w:val="center"/>
          </w:tcPr>
          <w:p>
            <w:r/>
            <w:r>
              <w:rPr>
                <w:rFonts w:ascii="Times New Roman" w:hAnsi="Times New Roman" w:eastAsia="宋体"/>
                <w:b w:val="0"/>
                <w:sz w:val="17"/>
              </w:rPr>
              <w:t>任务v∈mathcal V_c是否属于清洗区段e，按任务类型取a^F或a^L。</w:t>
            </w:r>
          </w:p>
        </w:tc>
      </w:tr>
      <w:tr>
        <w:tc>
          <w:tcPr>
            <w:tcW w:type="dxa" w:w="3137"/>
            <w:vAlign w:val="center"/>
          </w:tcPr>
          <w:p>
            <w:r/>
            <w:r>
              <w:rPr>
                <w:rFonts w:ascii="Times New Roman" w:hAnsi="Times New Roman" w:eastAsia="宋体"/>
                <w:b w:val="0"/>
                <w:sz w:val="17"/>
              </w:rPr>
              <w:t>C_w,C_max</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产品晶圆w的完成时刻与批次最大完工时间。</w:t>
            </w:r>
          </w:p>
        </w:tc>
      </w:tr>
      <w:tr>
        <w:tc>
          <w:tcPr>
            <w:tcW w:type="dxa" w:w="3137"/>
            <w:vAlign w:val="center"/>
          </w:tcPr>
          <w:p>
            <w:r/>
            <w:r>
              <w:rPr>
                <w:rFonts w:ascii="Times New Roman" w:hAnsi="Times New Roman" w:eastAsia="宋体"/>
                <w:b w:val="0"/>
                <w:sz w:val="17"/>
              </w:rPr>
              <w:t>omega_α,L_rm sum,L_max</w:t>
            </w:r>
          </w:p>
        </w:tc>
        <w:tc>
          <w:tcPr>
            <w:tcW w:type="dxa" w:w="3137"/>
            <w:vAlign w:val="center"/>
          </w:tcPr>
          <w:p>
            <w:r/>
            <w:r>
              <w:rPr>
                <w:rFonts w:ascii="Times New Roman" w:hAnsi="Times New Roman" w:eastAsia="宋体"/>
                <w:b w:val="0"/>
                <w:sz w:val="17"/>
              </w:rPr>
              <w:t>非负连续变量/派生量</w:t>
            </w:r>
          </w:p>
        </w:tc>
        <w:tc>
          <w:tcPr>
            <w:tcW w:type="dxa" w:w="3137"/>
            <w:vAlign w:val="center"/>
          </w:tcPr>
          <w:p>
            <w:r/>
            <w:r>
              <w:rPr>
                <w:rFonts w:ascii="Times New Roman" w:hAnsi="Times New Roman" w:eastAsia="宋体"/>
                <w:b w:val="0"/>
                <w:sz w:val="17"/>
              </w:rPr>
              <w:t>第二阶段计入的等待或空闲量、其总和与最大值。</w:t>
            </w:r>
          </w:p>
        </w:tc>
      </w:tr>
      <w:tr>
        <w:tc>
          <w:tcPr>
            <w:tcW w:type="dxa" w:w="3137"/>
            <w:vAlign w:val="center"/>
          </w:tcPr>
          <w:p>
            <w:r/>
            <w:r>
              <w:rPr>
                <w:rFonts w:ascii="Times New Roman" w:hAnsi="Times New Roman" w:eastAsia="宋体"/>
                <w:b w:val="0"/>
                <w:sz w:val="17"/>
              </w:rPr>
              <w:t>Δ_ceq,v_ceq,η_α</w:t>
            </w:r>
          </w:p>
        </w:tc>
        <w:tc>
          <w:tcPr>
            <w:tcW w:type="dxa" w:w="3137"/>
            <w:vAlign w:val="center"/>
          </w:tcPr>
          <w:p>
            <w:r/>
            <w:r>
              <w:rPr>
                <w:rFonts w:ascii="Times New Roman" w:hAnsi="Times New Roman" w:eastAsia="宋体"/>
                <w:b w:val="0"/>
                <w:sz w:val="17"/>
              </w:rPr>
              <w:t>连续派生量/非负变量</w:t>
            </w:r>
          </w:p>
        </w:tc>
        <w:tc>
          <w:tcPr>
            <w:tcW w:type="dxa" w:w="3137"/>
            <w:vAlign w:val="center"/>
          </w:tcPr>
          <w:p>
            <w:r/>
            <w:r>
              <w:rPr>
                <w:rFonts w:ascii="Times New Roman" w:hAnsi="Times New Roman" w:eastAsia="宋体"/>
                <w:b w:val="0"/>
                <w:sz w:val="17"/>
              </w:rPr>
              <w:t>相邻加工间隔的二阶差分、其绝对值上界和软等待上限超额。</w:t>
            </w:r>
          </w:p>
        </w:tc>
      </w:tr>
      <w:tr>
        <w:tc>
          <w:tcPr>
            <w:tcW w:type="dxa" w:w="3137"/>
            <w:vAlign w:val="center"/>
          </w:tcPr>
          <w:p>
            <w:r/>
            <w:r>
              <w:rPr>
                <w:rFonts w:ascii="Times New Roman" w:hAnsi="Times New Roman" w:eastAsia="宋体"/>
                <w:b w:val="0"/>
                <w:sz w:val="17"/>
              </w:rPr>
              <w:t>h_ceq,Phi</w:t>
            </w:r>
          </w:p>
        </w:tc>
        <w:tc>
          <w:tcPr>
            <w:tcW w:type="dxa" w:w="3137"/>
            <w:vAlign w:val="center"/>
          </w:tcPr>
          <w:p>
            <w:r/>
            <w:r>
              <w:rPr>
                <w:rFonts w:ascii="Times New Roman" w:hAnsi="Times New Roman" w:eastAsia="宋体"/>
                <w:b w:val="0"/>
                <w:sz w:val="17"/>
              </w:rPr>
              <w:t>连续变量别名/派生目标</w:t>
            </w:r>
          </w:p>
        </w:tc>
        <w:tc>
          <w:tcPr>
            <w:tcW w:type="dxa" w:w="3137"/>
            <w:vAlign w:val="center"/>
          </w:tcPr>
          <w:p>
            <w:r/>
            <w:r>
              <w:rPr>
                <w:rFonts w:ascii="Times New Roman" w:hAnsi="Times New Roman" w:eastAsia="宋体"/>
                <w:b w:val="0"/>
                <w:sz w:val="17"/>
              </w:rPr>
              <w:t>区段内第q个有效加工的开始时刻，以及第二阶段线性排程质量值。</w:t>
            </w:r>
          </w:p>
        </w:tc>
      </w:tr>
      <w:tr>
        <w:tc>
          <w:tcPr>
            <w:tcW w:type="dxa" w:w="3137"/>
            <w:vAlign w:val="center"/>
          </w:tcPr>
          <w:p>
            <w:r/>
            <w:r>
              <w:rPr>
                <w:rFonts w:ascii="Times New Roman" w:hAnsi="Times New Roman" w:eastAsia="宋体"/>
                <w:b w:val="0"/>
                <w:sz w:val="17"/>
              </w:rPr>
              <w:t>xi,widehatxi,widehat C</w:t>
            </w:r>
          </w:p>
        </w:tc>
        <w:tc>
          <w:tcPr>
            <w:tcW w:type="dxa" w:w="3137"/>
            <w:vAlign w:val="center"/>
          </w:tcPr>
          <w:p>
            <w:r/>
            <w:r>
              <w:rPr>
                <w:rFonts w:ascii="Times New Roman" w:hAnsi="Times New Roman" w:eastAsia="宋体"/>
                <w:b w:val="0"/>
                <w:sz w:val="17"/>
              </w:rPr>
              <w:t>变量向量/阶段间常量</w:t>
            </w:r>
          </w:p>
        </w:tc>
        <w:tc>
          <w:tcPr>
            <w:tcW w:type="dxa" w:w="3137"/>
            <w:vAlign w:val="center"/>
          </w:tcPr>
          <w:p>
            <w:r/>
            <w:r>
              <w:rPr>
                <w:rFonts w:ascii="Times New Roman" w:hAnsi="Times New Roman" w:eastAsia="宋体"/>
                <w:b w:val="0"/>
                <w:sz w:val="17"/>
              </w:rPr>
              <w:t>当前全部变量、第一阶段最好可行解及其最大完工时间。</w:t>
            </w:r>
          </w:p>
        </w:tc>
      </w:tr>
    </w:tbl>
    <w:p>
      <w:pPr>
        <w:pStyle w:val="Heading2"/>
      </w:pPr>
      <w:r>
        <w:t>源接口、操作激活与基本时间关系</w:t>
      </w:r>
    </w:p>
    <w:p>
      <w:pPr>
        <w:pStyle w:val="BodyText"/>
        <w:spacing w:after="60" w:line="288" w:lineRule="auto"/>
        <w:ind w:firstLine="420"/>
      </w:pPr>
      <w:r>
        <w:t>固定参数chi_is满足</w:t>
      </w:r>
    </w:p>
    <w:p>
      <w:pPr>
        <w:keepNext w:val="0"/>
        <w:jc w:val="center"/>
      </w:pPr>
      <w:r>
        <w:drawing>
          <wp:inline xmlns:a="http://schemas.openxmlformats.org/drawingml/2006/main" xmlns:pic="http://schemas.openxmlformats.org/drawingml/2006/picture">
            <wp:extent cx="2923032" cy="451104"/>
            <wp:docPr id="4" name="Picture 4" descr="公式 1" title="公式 1"/>
            <wp:cNvGraphicFramePr>
              <a:graphicFrameLocks noChangeAspect="1"/>
            </wp:cNvGraphicFramePr>
            <a:graphic>
              <a:graphicData uri="http://schemas.openxmlformats.org/drawingml/2006/picture">
                <pic:pic>
                  <pic:nvPicPr>
                    <pic:cNvPr id="0" name="equation_01.png"/>
                    <pic:cNvPicPr/>
                  </pic:nvPicPr>
                  <pic:blipFill>
                    <a:blip r:embed="rId13"/>
                    <a:stretch>
                      <a:fillRect/>
                    </a:stretch>
                  </pic:blipFill>
                  <pic:spPr>
                    <a:xfrm>
                      <a:off x="0" y="0"/>
                      <a:ext cx="2923032" cy="451104"/>
                    </a:xfrm>
                    <a:prstGeom prst="rect"/>
                  </pic:spPr>
                </pic:pic>
              </a:graphicData>
            </a:graphic>
          </wp:inline>
        </w:drawing>
      </w:r>
    </w:p>
    <w:p>
      <w:pPr>
        <w:pStyle w:val="BodyText"/>
        <w:spacing w:after="60" w:line="288" w:lineRule="auto"/>
        <w:ind w:firstLine="420"/>
      </w:pPr>
      <w:r>
        <w:t>公式 （1）表示每个物料单元恰好属于一个源接口。令|mathcal S|=1即可得到单源设备；令|mathcal S|=2并把产品与辅助晶圆连接到不同接口，即得到本文的双源设备。</w:t>
      </w:r>
    </w:p>
    <w:p>
      <w:pPr>
        <w:pStyle w:val="BodyText"/>
        <w:spacing w:after="60" w:line="288" w:lineRule="auto"/>
        <w:ind w:firstLine="420"/>
      </w:pPr>
      <w:r>
        <w:t>若mathcal A^rm int表示设备内部连接，mathcal A_s表示源s的释放与返回连接，则</w:t>
      </w:r>
    </w:p>
    <w:p>
      <w:pPr>
        <w:keepNext w:val="0"/>
        <w:jc w:val="center"/>
      </w:pPr>
      <w:r>
        <w:drawing>
          <wp:inline xmlns:a="http://schemas.openxmlformats.org/drawingml/2006/main" xmlns:pic="http://schemas.openxmlformats.org/drawingml/2006/picture">
            <wp:extent cx="2941320" cy="533400"/>
            <wp:docPr id="5" name="Picture 5" descr="公式 2" title="公式 2"/>
            <wp:cNvGraphicFramePr>
              <a:graphicFrameLocks noChangeAspect="1"/>
            </wp:cNvGraphicFramePr>
            <a:graphic>
              <a:graphicData uri="http://schemas.openxmlformats.org/drawingml/2006/picture">
                <pic:pic>
                  <pic:nvPicPr>
                    <pic:cNvPr id="0" name="equation_02.png"/>
                    <pic:cNvPicPr/>
                  </pic:nvPicPr>
                  <pic:blipFill>
                    <a:blip r:embed="rId14"/>
                    <a:stretch>
                      <a:fillRect/>
                    </a:stretch>
                  </pic:blipFill>
                  <pic:spPr>
                    <a:xfrm>
                      <a:off x="0" y="0"/>
                      <a:ext cx="2941320" cy="533400"/>
                    </a:xfrm>
                    <a:prstGeom prst="rect"/>
                  </pic:spPr>
                </pic:pic>
              </a:graphicData>
            </a:graphic>
          </wp:inline>
        </w:drawing>
      </w:r>
    </w:p>
    <w:p>
      <w:pPr>
        <w:pStyle w:val="BodyText"/>
        <w:spacing w:after="60" w:line="288" w:lineRule="auto"/>
        <w:ind w:firstLine="420"/>
      </w:pPr>
      <w:r>
        <w:t>公式 （2）表示单源和双源仅在路线首尾接口上不同，内部加工、清洗、共享资源与时间约束使用同一套模型；因此双源不是两个互不相干的单源模型相加。</w:t>
      </w:r>
    </w:p>
    <w:p>
      <w:pPr>
        <w:pStyle w:val="BodyText"/>
        <w:spacing w:after="60" w:line="288" w:lineRule="auto"/>
        <w:ind w:firstLine="420"/>
      </w:pPr>
      <w:r>
        <w:t>两种工艺的规范化晶圆对位置满足</w:t>
      </w:r>
    </w:p>
    <w:p>
      <w:pPr>
        <w:keepNext w:val="0"/>
        <w:jc w:val="center"/>
      </w:pPr>
      <w:r>
        <w:drawing>
          <wp:inline xmlns:a="http://schemas.openxmlformats.org/drawingml/2006/main" xmlns:pic="http://schemas.openxmlformats.org/drawingml/2006/picture">
            <wp:extent cx="3404615" cy="819912"/>
            <wp:docPr id="6" name="Picture 6" descr="公式 3" title="公式 3"/>
            <wp:cNvGraphicFramePr>
              <a:graphicFrameLocks noChangeAspect="1"/>
            </wp:cNvGraphicFramePr>
            <a:graphic>
              <a:graphicData uri="http://schemas.openxmlformats.org/drawingml/2006/picture">
                <pic:pic>
                  <pic:nvPicPr>
                    <pic:cNvPr id="0" name="equation_03.png"/>
                    <pic:cNvPicPr/>
                  </pic:nvPicPr>
                  <pic:blipFill>
                    <a:blip r:embed="rId15"/>
                    <a:stretch>
                      <a:fillRect/>
                    </a:stretch>
                  </pic:blipFill>
                  <pic:spPr>
                    <a:xfrm>
                      <a:off x="0" y="0"/>
                      <a:ext cx="3404615" cy="819912"/>
                    </a:xfrm>
                    <a:prstGeom prst="rect"/>
                  </pic:spPr>
                </pic:pic>
              </a:graphicData>
            </a:graphic>
          </wp:inline>
        </w:drawing>
      </w:r>
    </w:p>
    <w:p>
      <w:pPr>
        <w:pStyle w:val="BodyText"/>
        <w:spacing w:after="60" w:line="288" w:lineRule="auto"/>
        <w:ind w:firstLine="420"/>
      </w:pPr>
      <w:r>
        <w:t>公式 （3）表示每个晶圆对恰好进入一个兼容位置，并把等价位置固定为规范编号；固定的是标签对称性，不是具体加工时刻或资源顺序。</w:t>
      </w:r>
    </w:p>
    <w:p>
      <w:pPr>
        <w:pStyle w:val="BodyText"/>
        <w:spacing w:after="60" w:line="288" w:lineRule="auto"/>
        <w:ind w:firstLine="420"/>
      </w:pPr>
      <w:r>
        <w:t>晶圆对出现的位置必须启用，且同类候选位置按前缀连续使用：</w:t>
      </w:r>
    </w:p>
    <w:p>
      <w:pPr>
        <w:keepNext w:val="0"/>
        <w:jc w:val="center"/>
      </w:pPr>
      <w:r>
        <w:drawing>
          <wp:inline xmlns:a="http://schemas.openxmlformats.org/drawingml/2006/main" xmlns:pic="http://schemas.openxmlformats.org/drawingml/2006/picture">
            <wp:extent cx="3054095" cy="515112"/>
            <wp:docPr id="7" name="Picture 7" descr="公式 4" title="公式 4"/>
            <wp:cNvGraphicFramePr>
              <a:graphicFrameLocks noChangeAspect="1"/>
            </wp:cNvGraphicFramePr>
            <a:graphic>
              <a:graphicData uri="http://schemas.openxmlformats.org/drawingml/2006/picture">
                <pic:pic>
                  <pic:nvPicPr>
                    <pic:cNvPr id="0" name="equation_04.png"/>
                    <pic:cNvPicPr/>
                  </pic:nvPicPr>
                  <pic:blipFill>
                    <a:blip r:embed="rId16"/>
                    <a:stretch>
                      <a:fillRect/>
                    </a:stretch>
                  </pic:blipFill>
                  <pic:spPr>
                    <a:xfrm>
                      <a:off x="0" y="0"/>
                      <a:ext cx="3054095" cy="515112"/>
                    </a:xfrm>
                    <a:prstGeom prst="rect"/>
                  </pic:spPr>
                </pic:pic>
              </a:graphicData>
            </a:graphic>
          </wp:inline>
        </w:drawing>
      </w:r>
    </w:p>
    <w:p>
      <w:pPr>
        <w:pStyle w:val="BodyText"/>
        <w:spacing w:after="60" w:line="288" w:lineRule="auto"/>
        <w:ind w:firstLine="420"/>
      </w:pPr>
      <w:r>
        <w:t>公式 （4）表示有产品的批次或链位置必须执行，并排除“前面空置、后面启用”的非物理编号组合。</w:t>
      </w:r>
    </w:p>
    <w:p>
      <w:pPr>
        <w:pStyle w:val="BodyText"/>
        <w:spacing w:after="60" w:line="288" w:lineRule="auto"/>
        <w:ind w:firstLine="420"/>
      </w:pPr>
      <w:r>
        <w:t>对任一候选物理操作o，开始、结束和持续时间满足</w:t>
      </w:r>
    </w:p>
    <w:p>
      <w:pPr>
        <w:keepNext w:val="0"/>
        <w:jc w:val="center"/>
      </w:pPr>
      <w:r>
        <w:drawing>
          <wp:inline xmlns:a="http://schemas.openxmlformats.org/drawingml/2006/main" xmlns:pic="http://schemas.openxmlformats.org/drawingml/2006/picture">
            <wp:extent cx="3794760" cy="310896"/>
            <wp:docPr id="8" name="Picture 8" descr="公式 5" title="公式 5"/>
            <wp:cNvGraphicFramePr>
              <a:graphicFrameLocks noChangeAspect="1"/>
            </wp:cNvGraphicFramePr>
            <a:graphic>
              <a:graphicData uri="http://schemas.openxmlformats.org/drawingml/2006/picture">
                <pic:pic>
                  <pic:nvPicPr>
                    <pic:cNvPr id="0" name="equation_05.png"/>
                    <pic:cNvPicPr/>
                  </pic:nvPicPr>
                  <pic:blipFill>
                    <a:blip r:embed="rId17"/>
                    <a:stretch>
                      <a:fillRect/>
                    </a:stretch>
                  </pic:blipFill>
                  <pic:spPr>
                    <a:xfrm>
                      <a:off x="0" y="0"/>
                      <a:ext cx="3794760" cy="310896"/>
                    </a:xfrm>
                    <a:prstGeom prst="rect"/>
                  </pic:spPr>
                </pic:pic>
              </a:graphicData>
            </a:graphic>
          </wp:inline>
        </w:drawing>
      </w:r>
    </w:p>
    <w:p>
      <w:pPr>
        <w:pStyle w:val="BodyText"/>
        <w:spacing w:after="60" w:line="288" w:lineRule="auto"/>
        <w:ind w:firstLine="420"/>
      </w:pPr>
      <w:r>
        <w:t>公式 （5）表示未激活操作的时刻为零，激活操作持续d_o；该统一形式用于机械手搬运、对准、抽气、放气、旋转、产品加工、辅助晶圆搬运和清洗。</w:t>
      </w:r>
    </w:p>
    <w:p>
      <w:pPr>
        <w:pStyle w:val="BodyText"/>
        <w:spacing w:after="60" w:line="288" w:lineRule="auto"/>
        <w:ind w:firstLine="420"/>
      </w:pPr>
      <w:r>
        <w:t>对必须依次执行的工艺弧(o,o')∈mathcal A，有</w:t>
      </w:r>
    </w:p>
    <w:p>
      <w:pPr>
        <w:keepNext w:val="0"/>
        <w:jc w:val="center"/>
      </w:pPr>
      <w:r>
        <w:drawing>
          <wp:inline xmlns:a="http://schemas.openxmlformats.org/drawingml/2006/main" xmlns:pic="http://schemas.openxmlformats.org/drawingml/2006/picture">
            <wp:extent cx="3596639" cy="310896"/>
            <wp:docPr id="9" name="Picture 9" descr="公式 6" title="公式 6"/>
            <wp:cNvGraphicFramePr>
              <a:graphicFrameLocks noChangeAspect="1"/>
            </wp:cNvGraphicFramePr>
            <a:graphic>
              <a:graphicData uri="http://schemas.openxmlformats.org/drawingml/2006/picture">
                <pic:pic>
                  <pic:nvPicPr>
                    <pic:cNvPr id="0" name="equation_06.png"/>
                    <pic:cNvPicPr/>
                  </pic:nvPicPr>
                  <pic:blipFill>
                    <a:blip r:embed="rId18"/>
                    <a:stretch>
                      <a:fillRect/>
                    </a:stretch>
                  </pic:blipFill>
                  <pic:spPr>
                    <a:xfrm>
                      <a:off x="0" y="0"/>
                      <a:ext cx="3596639" cy="310896"/>
                    </a:xfrm>
                    <a:prstGeom prst="rect"/>
                  </pic:spPr>
                </pic:pic>
              </a:graphicData>
            </a:graphic>
          </wp:inline>
        </w:drawing>
      </w:r>
    </w:p>
    <w:p>
      <w:pPr>
        <w:pStyle w:val="BodyText"/>
        <w:spacing w:after="60" w:line="288" w:lineRule="auto"/>
        <w:ind w:firstLine="420"/>
      </w:pPr>
      <w:r>
        <w:t>公式 （6）表示后继动作只有在前驱存在时才可执行；当两者均激活时，后继必须在前驱结束并经过最小工艺间隔后开始。产品路线、辅助晶圆路线和装载–加工–卸载事件链均由该约束连接。</w:t>
      </w:r>
    </w:p>
    <w:p>
      <w:pPr>
        <w:pStyle w:val="Heading2"/>
      </w:pPr>
      <w:r>
        <w:t>两种加工模式的占位与事件顺序</w:t>
      </w:r>
    </w:p>
    <w:p>
      <w:pPr>
        <w:pStyle w:val="BodyText"/>
        <w:spacing w:after="60" w:line="288" w:lineRule="auto"/>
        <w:ind w:firstLine="420"/>
      </w:pPr>
      <w:r>
        <w:t>对4×1模式，令A^F_cb=Σ_p,lx^F_pcbl表示批次(c,b)中实际分配的产品晶圆对数。满片与补片关系写为</w:t>
      </w:r>
    </w:p>
    <w:p>
      <w:pPr>
        <w:keepNext w:val="0"/>
        <w:jc w:val="center"/>
      </w:pPr>
      <w:r>
        <w:drawing>
          <wp:inline xmlns:a="http://schemas.openxmlformats.org/drawingml/2006/main" xmlns:pic="http://schemas.openxmlformats.org/drawingml/2006/picture">
            <wp:extent cx="3505200" cy="1188720"/>
            <wp:docPr id="10" name="Picture 10" descr="公式 7" title="公式 7"/>
            <wp:cNvGraphicFramePr>
              <a:graphicFrameLocks noChangeAspect="1"/>
            </wp:cNvGraphicFramePr>
            <a:graphic>
              <a:graphicData uri="http://schemas.openxmlformats.org/drawingml/2006/picture">
                <pic:pic>
                  <pic:nvPicPr>
                    <pic:cNvPr id="0" name="equation_07.png"/>
                    <pic:cNvPicPr/>
                  </pic:nvPicPr>
                  <pic:blipFill>
                    <a:blip r:embed="rId19"/>
                    <a:stretch>
                      <a:fillRect/>
                    </a:stretch>
                  </pic:blipFill>
                  <pic:spPr>
                    <a:xfrm>
                      <a:off x="0" y="0"/>
                      <a:ext cx="3505200" cy="1188720"/>
                    </a:xfrm>
                    <a:prstGeom prst="rect"/>
                  </pic:spPr>
                </pic:pic>
              </a:graphicData>
            </a:graphic>
          </wp:inline>
        </w:drawing>
      </w:r>
    </w:p>
    <w:p>
      <w:pPr>
        <w:pStyle w:val="BodyText"/>
        <w:spacing w:after="60" w:line="288" w:lineRule="auto"/>
        <w:ind w:firstLine="420"/>
      </w:pPr>
      <w:r>
        <w:t>公式 （7）表示一个有效4×1批次有两个侧位，每个侧位恰好由一个产品晶圆对或一个辅助晶圆对占据；因此腔室加工开始时四个工位均被填满。</w:t>
      </w:r>
    </w:p>
    <w:p>
      <w:pPr>
        <w:pStyle w:val="BodyText"/>
        <w:spacing w:after="60" w:line="288" w:lineRule="auto"/>
        <w:ind w:firstLine="420"/>
      </w:pPr>
      <w:r>
        <w:t>有效批次连续排列，辅助晶圆只允许出现在最后一个有效批次：</w:t>
      </w:r>
    </w:p>
    <w:p>
      <w:pPr>
        <w:keepNext w:val="0"/>
        <w:jc w:val="center"/>
      </w:pPr>
      <w:r>
        <w:drawing>
          <wp:inline xmlns:a="http://schemas.openxmlformats.org/drawingml/2006/main" xmlns:pic="http://schemas.openxmlformats.org/drawingml/2006/picture">
            <wp:extent cx="3432048" cy="725424"/>
            <wp:docPr id="11" name="Picture 11" descr="公式 8" title="公式 8"/>
            <wp:cNvGraphicFramePr>
              <a:graphicFrameLocks noChangeAspect="1"/>
            </wp:cNvGraphicFramePr>
            <a:graphic>
              <a:graphicData uri="http://schemas.openxmlformats.org/drawingml/2006/picture">
                <pic:pic>
                  <pic:nvPicPr>
                    <pic:cNvPr id="0" name="equation_08.png"/>
                    <pic:cNvPicPr/>
                  </pic:nvPicPr>
                  <pic:blipFill>
                    <a:blip r:embed="rId20"/>
                    <a:stretch>
                      <a:fillRect/>
                    </a:stretch>
                  </pic:blipFill>
                  <pic:spPr>
                    <a:xfrm>
                      <a:off x="0" y="0"/>
                      <a:ext cx="3432048" cy="725424"/>
                    </a:xfrm>
                    <a:prstGeom prst="rect"/>
                  </pic:spPr>
                </pic:pic>
              </a:graphicData>
            </a:graphic>
          </wp:inline>
        </w:drawing>
      </w:r>
    </w:p>
    <w:p>
      <w:pPr>
        <w:pStyle w:val="BodyText"/>
        <w:spacing w:after="60" w:line="288" w:lineRule="auto"/>
        <w:ind w:firstLine="420"/>
      </w:pPr>
      <w:r>
        <w:t>公式 （8）表示启用批次至少含一个产品晶圆对；若下一批仍启用，则当前批必须由两个产品晶圆对装满，不能提前使用辅助晶圆。后三个不等式使t^F_cb=1恰好标识最后一个有效批次；末个候选批次采用t^F_cB=u^F_cB的边界定义。</w:t>
      </w:r>
    </w:p>
    <w:p>
      <w:pPr>
        <w:pStyle w:val="BodyText"/>
        <w:spacing w:after="60" w:line="288" w:lineRule="auto"/>
        <w:ind w:firstLine="420"/>
      </w:pPr>
      <w:r>
        <w:t>令FL,BL,P,BU,FU分别表示前侧装载、后侧装载、加工、后侧卸载和前侧卸载，则</w:t>
      </w:r>
    </w:p>
    <w:p>
      <w:pPr>
        <w:keepNext w:val="0"/>
        <w:jc w:val="center"/>
      </w:pPr>
      <w:r>
        <w:drawing>
          <wp:inline xmlns:a="http://schemas.openxmlformats.org/drawingml/2006/main" xmlns:pic="http://schemas.openxmlformats.org/drawingml/2006/picture">
            <wp:extent cx="4102608" cy="1176528"/>
            <wp:docPr id="12" name="Picture 12" descr="公式 9" title="公式 9"/>
            <wp:cNvGraphicFramePr>
              <a:graphicFrameLocks noChangeAspect="1"/>
            </wp:cNvGraphicFramePr>
            <a:graphic>
              <a:graphicData uri="http://schemas.openxmlformats.org/drawingml/2006/picture">
                <pic:pic>
                  <pic:nvPicPr>
                    <pic:cNvPr id="0" name="equation_09.png"/>
                    <pic:cNvPicPr/>
                  </pic:nvPicPr>
                  <pic:blipFill>
                    <a:blip r:embed="rId21"/>
                    <a:stretch>
                      <a:fillRect/>
                    </a:stretch>
                  </pic:blipFill>
                  <pic:spPr>
                    <a:xfrm>
                      <a:off x="0" y="0"/>
                      <a:ext cx="4102608" cy="1176528"/>
                    </a:xfrm>
                    <a:prstGeom prst="rect"/>
                  </pic:spPr>
                </pic:pic>
              </a:graphicData>
            </a:graphic>
          </wp:inline>
        </w:drawing>
      </w:r>
    </w:p>
    <w:p>
      <w:pPr>
        <w:pStyle w:val="BodyText"/>
        <w:spacing w:after="60" w:line="288" w:lineRule="auto"/>
        <w:ind w:firstLine="420"/>
      </w:pPr>
      <w:r>
        <w:t>公式 （9）表示4×1批次先装前侧、旋转后装后侧，后侧装载结束即开始同步加工，随后先卸后侧、旋转、再卸前侧；r_c为腔室半周旋转时间。相邻批次还通过s^F,FL_c,b+1≥ e^F,FU_cb-M(1-u^F_c,b+1)串行连接。</w:t>
      </w:r>
    </w:p>
    <w:p>
      <w:pPr>
        <w:pStyle w:val="BodyText"/>
        <w:spacing w:after="60" w:line="288" w:lineRule="auto"/>
        <w:ind w:firstLine="420"/>
      </w:pPr>
      <w:r>
        <w:t>对2×2模式，每个产品晶圆对占用一个有序链位置：</w:t>
      </w:r>
    </w:p>
    <w:p>
      <w:pPr>
        <w:keepNext w:val="0"/>
        <w:jc w:val="center"/>
      </w:pPr>
      <w:r>
        <w:drawing>
          <wp:inline xmlns:a="http://schemas.openxmlformats.org/drawingml/2006/main" xmlns:pic="http://schemas.openxmlformats.org/drawingml/2006/picture">
            <wp:extent cx="3657600" cy="469392"/>
            <wp:docPr id="13" name="Picture 13" descr="公式 10" title="公式 10"/>
            <wp:cNvGraphicFramePr>
              <a:graphicFrameLocks noChangeAspect="1"/>
            </wp:cNvGraphicFramePr>
            <a:graphic>
              <a:graphicData uri="http://schemas.openxmlformats.org/drawingml/2006/picture">
                <pic:pic>
                  <pic:nvPicPr>
                    <pic:cNvPr id="0" name="equation_10.png"/>
                    <pic:cNvPicPr/>
                  </pic:nvPicPr>
                  <pic:blipFill>
                    <a:blip r:embed="rId22"/>
                    <a:stretch>
                      <a:fillRect/>
                    </a:stretch>
                  </pic:blipFill>
                  <pic:spPr>
                    <a:xfrm>
                      <a:off x="0" y="0"/>
                      <a:ext cx="3657600" cy="469392"/>
                    </a:xfrm>
                    <a:prstGeom prst="rect"/>
                  </pic:spPr>
                </pic:pic>
              </a:graphicData>
            </a:graphic>
          </wp:inline>
        </w:drawing>
      </w:r>
    </w:p>
    <w:p>
      <w:pPr>
        <w:pStyle w:val="BodyText"/>
        <w:spacing w:after="60" w:line="288" w:lineRule="auto"/>
        <w:ind w:firstLine="420"/>
      </w:pPr>
      <w:r>
        <w:t>公式 （10）表示链位置与产品晶圆对一一对应、实际位置从链首连续使用，并由a^L_c标识腔室c是否存在2×2加工链。</w:t>
      </w:r>
    </w:p>
    <w:p>
      <w:pPr>
        <w:pStyle w:val="BodyText"/>
        <w:spacing w:after="60" w:line="288" w:lineRule="auto"/>
        <w:ind w:firstLine="420"/>
      </w:pPr>
      <w:r>
        <w:t>令q_c^-(k)和q_c^+(k)分别表示链位置k的第一次和第二次加工周期，则PW对–周期关系为</w:t>
      </w:r>
    </w:p>
    <w:p>
      <w:pPr>
        <w:keepNext w:val="0"/>
        <w:jc w:val="center"/>
      </w:pPr>
      <w:r>
        <w:drawing>
          <wp:inline xmlns:a="http://schemas.openxmlformats.org/drawingml/2006/main" xmlns:pic="http://schemas.openxmlformats.org/drawingml/2006/picture">
            <wp:extent cx="3172968" cy="1136904"/>
            <wp:docPr id="14" name="Picture 14" descr="公式 11" title="公式 11"/>
            <wp:cNvGraphicFramePr>
              <a:graphicFrameLocks noChangeAspect="1"/>
            </wp:cNvGraphicFramePr>
            <a:graphic>
              <a:graphicData uri="http://schemas.openxmlformats.org/drawingml/2006/picture">
                <pic:pic>
                  <pic:nvPicPr>
                    <pic:cNvPr id="0" name="equation_11.png"/>
                    <pic:cNvPicPr/>
                  </pic:nvPicPr>
                  <pic:blipFill>
                    <a:blip r:embed="rId23"/>
                    <a:stretch>
                      <a:fillRect/>
                    </a:stretch>
                  </pic:blipFill>
                  <pic:spPr>
                    <a:xfrm>
                      <a:off x="0" y="0"/>
                      <a:ext cx="3172968" cy="1136904"/>
                    </a:xfrm>
                    <a:prstGeom prst="rect"/>
                  </pic:spPr>
                </pic:pic>
              </a:graphicData>
            </a:graphic>
          </wp:inline>
        </w:drawing>
      </w:r>
    </w:p>
    <w:p>
      <w:pPr>
        <w:pStyle w:val="BodyText"/>
        <w:spacing w:after="60" w:line="288" w:lineRule="auto"/>
        <w:ind w:firstLine="420"/>
      </w:pPr>
      <w:r>
        <w:t>公式 （11）把每个已分配PW对映射到两个相邻加工周期，且加工次数恰为2；PW对内两片产品晶圆继承相同的mu^L_pcq，因此P1、P2等所有产品晶圆均不会漏加工。该式同时区分了两种模式：2×2的一个PW对跨两个周期，4×1的两个PW对则在同一个满片批次中同步加工一次。</w:t>
      </w:r>
    </w:p>
    <w:p>
      <w:pPr>
        <w:pStyle w:val="BodyText"/>
        <w:spacing w:after="60" w:line="288" w:lineRule="auto"/>
        <w:ind w:firstLine="420"/>
      </w:pPr>
      <w:r>
        <w:t>预生成布局给出腔室c需要的加工周期数bar Q_c；链尾位置由h^L_ck识别：</w:t>
      </w:r>
    </w:p>
    <w:p>
      <w:pPr>
        <w:keepNext w:val="0"/>
        <w:jc w:val="center"/>
      </w:pPr>
      <w:r>
        <w:drawing>
          <wp:inline xmlns:a="http://schemas.openxmlformats.org/drawingml/2006/main" xmlns:pic="http://schemas.openxmlformats.org/drawingml/2006/picture">
            <wp:extent cx="3703319" cy="1082040"/>
            <wp:docPr id="15" name="Picture 15" descr="公式 12" title="公式 12"/>
            <wp:cNvGraphicFramePr>
              <a:graphicFrameLocks noChangeAspect="1"/>
            </wp:cNvGraphicFramePr>
            <a:graphic>
              <a:graphicData uri="http://schemas.openxmlformats.org/drawingml/2006/picture">
                <pic:pic>
                  <pic:nvPicPr>
                    <pic:cNvPr id="0" name="equation_12.png"/>
                    <pic:cNvPicPr/>
                  </pic:nvPicPr>
                  <pic:blipFill>
                    <a:blip r:embed="rId24"/>
                    <a:stretch>
                      <a:fillRect/>
                    </a:stretch>
                  </pic:blipFill>
                  <pic:spPr>
                    <a:xfrm>
                      <a:off x="0" y="0"/>
                      <a:ext cx="3703319" cy="1082040"/>
                    </a:xfrm>
                    <a:prstGeom prst="rect"/>
                  </pic:spPr>
                </pic:pic>
              </a:graphicData>
            </a:graphic>
          </wp:inline>
        </w:drawing>
      </w:r>
    </w:p>
    <w:p>
      <w:pPr>
        <w:pStyle w:val="BodyText"/>
        <w:spacing w:after="60" w:line="288" w:lineRule="auto"/>
        <w:ind w:firstLine="420"/>
      </w:pPr>
      <w:r>
        <w:t>公式 （12）表示含n个PW对的每个连续链段需要n+1次加工：链首为辅助对+P1，内部周期为Pi+Pi+1，链尾为Pn+辅助对；后三个关系使h^L_ck只在最后一个有效产品位置取1，末个候选位置采用h^L_cK=u^L_cK。</w:t>
      </w:r>
    </w:p>
    <w:p>
      <w:pPr>
        <w:pStyle w:val="BodyText"/>
        <w:spacing w:after="60" w:line="288" w:lineRule="auto"/>
        <w:ind w:firstLine="420"/>
      </w:pPr>
      <w:r>
        <w:t>对合法链段的加工周期(q_0,…,q_T)，令H_0、B_q和T_0分别表示链首装载、内部换片和链尾卸载操作，则</w:t>
      </w:r>
    </w:p>
    <w:p>
      <w:pPr>
        <w:keepNext w:val="0"/>
        <w:jc w:val="center"/>
      </w:pPr>
      <w:r>
        <w:drawing>
          <wp:inline xmlns:a="http://schemas.openxmlformats.org/drawingml/2006/main" xmlns:pic="http://schemas.openxmlformats.org/drawingml/2006/picture">
            <wp:extent cx="4020312" cy="938784"/>
            <wp:docPr id="16" name="Picture 16" descr="公式 13" title="公式 13"/>
            <wp:cNvGraphicFramePr>
              <a:graphicFrameLocks noChangeAspect="1"/>
            </wp:cNvGraphicFramePr>
            <a:graphic>
              <a:graphicData uri="http://schemas.openxmlformats.org/drawingml/2006/picture">
                <pic:pic>
                  <pic:nvPicPr>
                    <pic:cNvPr id="0" name="equation_13.png"/>
                    <pic:cNvPicPr/>
                  </pic:nvPicPr>
                  <pic:blipFill>
                    <a:blip r:embed="rId25"/>
                    <a:stretch>
                      <a:fillRect/>
                    </a:stretch>
                  </pic:blipFill>
                  <pic:spPr>
                    <a:xfrm>
                      <a:off x="0" y="0"/>
                      <a:ext cx="4020312" cy="938784"/>
                    </a:xfrm>
                    <a:prstGeom prst="rect"/>
                  </pic:spPr>
                </pic:pic>
              </a:graphicData>
            </a:graphic>
          </wp:inline>
        </w:drawing>
      </w:r>
    </w:p>
    <w:p>
      <w:pPr>
        <w:pStyle w:val="BodyText"/>
        <w:spacing w:after="60" w:line="288" w:lineRule="auto"/>
        <w:ind w:firstLine="420"/>
      </w:pPr>
      <w:r>
        <w:t>公式 （13）表示链首辅助晶圆对装入后立即开始首周期；每次内部换片只能在前一周期结束后执行，换片结束即开始下一周期；最后一次加工结束后才可卸出链尾。由此直接表达“辅助+P1、P1+P2、…、Pn+辅助”的共享占位过程。</w:t>
      </w:r>
    </w:p>
    <w:p>
      <w:pPr>
        <w:pStyle w:val="Heading2"/>
      </w:pPr>
      <w:r>
        <w:t>清洗与可复用辅助晶圆</w:t>
      </w:r>
    </w:p>
    <w:p>
      <w:pPr>
        <w:pStyle w:val="BodyText"/>
        <w:spacing w:after="60" w:line="288" w:lineRule="auto"/>
        <w:ind w:firstLine="420"/>
      </w:pPr>
      <w:r>
        <w:t>清洗布局先依据H和完整加工边界生成，再由以下0–1别名进入MILP：</w:t>
      </w:r>
    </w:p>
    <w:p>
      <w:pPr>
        <w:keepNext w:val="0"/>
        <w:jc w:val="center"/>
      </w:pPr>
      <w:r>
        <w:drawing>
          <wp:inline xmlns:a="http://schemas.openxmlformats.org/drawingml/2006/main" xmlns:pic="http://schemas.openxmlformats.org/drawingml/2006/picture">
            <wp:extent cx="3642360" cy="329184"/>
            <wp:docPr id="17" name="Picture 17" descr="公式 14" title="公式 14"/>
            <wp:cNvGraphicFramePr>
              <a:graphicFrameLocks noChangeAspect="1"/>
            </wp:cNvGraphicFramePr>
            <a:graphic>
              <a:graphicData uri="http://schemas.openxmlformats.org/drawingml/2006/picture">
                <pic:pic>
                  <pic:nvPicPr>
                    <pic:cNvPr id="0" name="equation_14.png"/>
                    <pic:cNvPicPr/>
                  </pic:nvPicPr>
                  <pic:blipFill>
                    <a:blip r:embed="rId26"/>
                    <a:stretch>
                      <a:fillRect/>
                    </a:stretch>
                  </pic:blipFill>
                  <pic:spPr>
                    <a:xfrm>
                      <a:off x="0" y="0"/>
                      <a:ext cx="3642360" cy="329184"/>
                    </a:xfrm>
                    <a:prstGeom prst="rect"/>
                  </pic:spPr>
                </pic:pic>
              </a:graphicData>
            </a:graphic>
          </wp:inline>
        </w:drawing>
      </w:r>
    </w:p>
    <w:p>
      <w:pPr>
        <w:pStyle w:val="BodyText"/>
        <w:spacing w:after="60" w:line="288" w:lineRule="auto"/>
        <w:ind w:firstLine="420"/>
      </w:pPr>
      <w:r>
        <w:t>公式 （14）表示清洗区段的合法位置不由求解器任意选择：4×1批次只能在批次边界分段，2×2只能在完整链段闭合后分段；MILP仍优化这些加工和清洗任务的具体时刻。</w:t>
      </w:r>
    </w:p>
    <w:p>
      <w:pPr>
        <w:pStyle w:val="BodyText"/>
        <w:spacing w:after="60" w:line="288" w:lineRule="auto"/>
        <w:ind w:firstLine="420"/>
      </w:pPr>
      <w:r>
        <w:t>令N_ce为区段e的有效加工周期数，则</w:t>
      </w:r>
    </w:p>
    <w:p>
      <w:pPr>
        <w:keepNext w:val="0"/>
        <w:jc w:val="center"/>
      </w:pPr>
      <w:r>
        <w:drawing>
          <wp:inline xmlns:a="http://schemas.openxmlformats.org/drawingml/2006/main" xmlns:pic="http://schemas.openxmlformats.org/drawingml/2006/picture">
            <wp:extent cx="3648456" cy="658368"/>
            <wp:docPr id="18" name="Picture 18" descr="公式 15" title="公式 15"/>
            <wp:cNvGraphicFramePr>
              <a:graphicFrameLocks noChangeAspect="1"/>
            </wp:cNvGraphicFramePr>
            <a:graphic>
              <a:graphicData uri="http://schemas.openxmlformats.org/drawingml/2006/picture">
                <pic:pic>
                  <pic:nvPicPr>
                    <pic:cNvPr id="0" name="equation_15.png"/>
                    <pic:cNvPicPr/>
                  </pic:nvPicPr>
                  <pic:blipFill>
                    <a:blip r:embed="rId27"/>
                    <a:stretch>
                      <a:fillRect/>
                    </a:stretch>
                  </pic:blipFill>
                  <pic:spPr>
                    <a:xfrm>
                      <a:off x="0" y="0"/>
                      <a:ext cx="3648456" cy="658368"/>
                    </a:xfrm>
                    <a:prstGeom prst="rect"/>
                  </pic:spPr>
                </pic:pic>
              </a:graphicData>
            </a:graphic>
          </wp:inline>
        </w:drawing>
      </w:r>
    </w:p>
    <w:p>
      <w:pPr>
        <w:pStyle w:val="BodyText"/>
        <w:spacing w:after="60" w:line="288" w:lineRule="auto"/>
        <w:ind w:firstLine="420"/>
      </w:pPr>
      <w:r>
        <w:t>公式 （15）表示启用区段至少包含一次、至多包含H次有效加工；只要存在下一个区段，就必须激活两区段之间的第h个清洗任务。</w:t>
      </w:r>
    </w:p>
    <w:p>
      <w:pPr>
        <w:pStyle w:val="BodyText"/>
        <w:spacing w:after="60" w:line="288" w:lineRule="auto"/>
        <w:ind w:firstLine="420"/>
      </w:pPr>
      <w:r>
        <w:t>把mathcal V_c记为腔室c的4×1批次和2×2周期并集，a_vce为相应的a^F或a^L。对区段e中的任务v，清洗前后关系及清洗动作链为</w:t>
      </w:r>
    </w:p>
    <w:p>
      <w:pPr>
        <w:keepNext w:val="0"/>
        <w:jc w:val="center"/>
      </w:pPr>
      <w:r>
        <w:drawing>
          <wp:inline xmlns:a="http://schemas.openxmlformats.org/drawingml/2006/main" xmlns:pic="http://schemas.openxmlformats.org/drawingml/2006/picture">
            <wp:extent cx="3721608" cy="1353312"/>
            <wp:docPr id="19" name="Picture 19" descr="公式 16" title="公式 16"/>
            <wp:cNvGraphicFramePr>
              <a:graphicFrameLocks noChangeAspect="1"/>
            </wp:cNvGraphicFramePr>
            <a:graphic>
              <a:graphicData uri="http://schemas.openxmlformats.org/drawingml/2006/picture">
                <pic:pic>
                  <pic:nvPicPr>
                    <pic:cNvPr id="0" name="equation_16.png"/>
                    <pic:cNvPicPr/>
                  </pic:nvPicPr>
                  <pic:blipFill>
                    <a:blip r:embed="rId28"/>
                    <a:stretch>
                      <a:fillRect/>
                    </a:stretch>
                  </pic:blipFill>
                  <pic:spPr>
                    <a:xfrm>
                      <a:off x="0" y="0"/>
                      <a:ext cx="3721608" cy="1353312"/>
                    </a:xfrm>
                    <a:prstGeom prst="rect"/>
                  </pic:spPr>
                </pic:pic>
              </a:graphicData>
            </a:graphic>
          </wp:inline>
        </w:drawing>
      </w:r>
    </w:p>
    <w:p>
      <w:pPr>
        <w:pStyle w:val="BodyText"/>
        <w:spacing w:after="60" w:line="288" w:lineRule="auto"/>
        <w:ind w:firstLine="420"/>
      </w:pPr>
      <w:r>
        <w:t>公式 （16）表示第e区段只能在前一次清洗完成后开始，并须在下一次清洗开始前结束。一次清洗包含两侧辅助晶圆装载、腔室旋转、清洗处理和反向卸载，因而会真实占用VTR、旋转腔及四片辅助晶圆，而不是只向时间轴附加一段虚拟停机时间。</w:t>
      </w:r>
    </w:p>
    <w:p>
      <w:pPr>
        <w:pStyle w:val="BodyText"/>
        <w:spacing w:after="60" w:line="288" w:lineRule="auto"/>
        <w:ind w:firstLine="420"/>
      </w:pPr>
      <w:r>
        <w:t>辅助晶圆需求j由相应物理事件激活：</w:t>
      </w:r>
    </w:p>
    <w:p>
      <w:pPr>
        <w:keepNext w:val="0"/>
        <w:jc w:val="center"/>
      </w:pPr>
      <w:r>
        <w:drawing>
          <wp:inline xmlns:a="http://schemas.openxmlformats.org/drawingml/2006/main" xmlns:pic="http://schemas.openxmlformats.org/drawingml/2006/picture">
            <wp:extent cx="3425952" cy="685800"/>
            <wp:docPr id="20" name="Picture 20" descr="公式 17" title="公式 17"/>
            <wp:cNvGraphicFramePr>
              <a:graphicFrameLocks noChangeAspect="1"/>
            </wp:cNvGraphicFramePr>
            <a:graphic>
              <a:graphicData uri="http://schemas.openxmlformats.org/drawingml/2006/picture">
                <pic:pic>
                  <pic:nvPicPr>
                    <pic:cNvPr id="0" name="equation_17.png"/>
                    <pic:cNvPicPr/>
                  </pic:nvPicPr>
                  <pic:blipFill>
                    <a:blip r:embed="rId29"/>
                    <a:stretch>
                      <a:fillRect/>
                    </a:stretch>
                  </pic:blipFill>
                  <pic:spPr>
                    <a:xfrm>
                      <a:off x="0" y="0"/>
                      <a:ext cx="3425952" cy="685800"/>
                    </a:xfrm>
                    <a:prstGeom prst="rect"/>
                  </pic:spPr>
                </pic:pic>
              </a:graphicData>
            </a:graphic>
          </wp:inline>
        </w:drawing>
      </w:r>
    </w:p>
    <w:p>
      <w:pPr>
        <w:pStyle w:val="BodyText"/>
        <w:spacing w:after="60" w:line="288" w:lineRule="auto"/>
        <w:ind w:firstLine="420"/>
      </w:pPr>
      <w:r>
        <w:t>公式 （17）表示辅助晶圆不是抽象的无限填充量：只有末批补片、链首/链尾或清洗真正发生时，才产生相应的物理辅助晶圆需求。</w:t>
      </w:r>
    </w:p>
    <w:p>
      <w:pPr>
        <w:pStyle w:val="BodyText"/>
        <w:spacing w:after="60" w:line="288" w:lineRule="auto"/>
        <w:ind w:firstLine="420"/>
      </w:pPr>
      <w:r>
        <w:t>每个有效需求必须选择一片库存中的物理辅助晶圆：</w:t>
      </w:r>
    </w:p>
    <w:p>
      <w:pPr>
        <w:keepNext w:val="0"/>
        <w:jc w:val="center"/>
      </w:pPr>
      <w:r>
        <w:drawing>
          <wp:inline xmlns:a="http://schemas.openxmlformats.org/drawingml/2006/main" xmlns:pic="http://schemas.openxmlformats.org/drawingml/2006/picture">
            <wp:extent cx="3038856" cy="457200"/>
            <wp:docPr id="21" name="Picture 21" descr="公式 18" title="公式 18"/>
            <wp:cNvGraphicFramePr>
              <a:graphicFrameLocks noChangeAspect="1"/>
            </wp:cNvGraphicFramePr>
            <a:graphic>
              <a:graphicData uri="http://schemas.openxmlformats.org/drawingml/2006/picture">
                <pic:pic>
                  <pic:nvPicPr>
                    <pic:cNvPr id="0" name="equation_18.png"/>
                    <pic:cNvPicPr/>
                  </pic:nvPicPr>
                  <pic:blipFill>
                    <a:blip r:embed="rId30"/>
                    <a:stretch>
                      <a:fillRect/>
                    </a:stretch>
                  </pic:blipFill>
                  <pic:spPr>
                    <a:xfrm>
                      <a:off x="0" y="0"/>
                      <a:ext cx="3038856" cy="457200"/>
                    </a:xfrm>
                    <a:prstGeom prst="rect"/>
                  </pic:spPr>
                </pic:pic>
              </a:graphicData>
            </a:graphic>
          </wp:inline>
        </w:drawing>
      </w:r>
    </w:p>
    <w:p>
      <w:pPr>
        <w:pStyle w:val="BodyText"/>
        <w:spacing w:after="60" w:line="288" w:lineRule="auto"/>
        <w:ind w:firstLine="420"/>
      </w:pPr>
      <w:r>
        <w:t>公式 （18）表示有效需求恰好分配一次；同一物理辅助晶圆的两次占用随后由共享资源互斥约束排序，因此只有在前一次卸载并返回存储区后才能复用。</w:t>
      </w:r>
    </w:p>
    <w:p>
      <w:pPr>
        <w:pStyle w:val="Heading2"/>
      </w:pPr>
      <w:r>
        <w:t>机械手、装载锁、腔室与时间资源</w:t>
      </w:r>
    </w:p>
    <w:p>
      <w:pPr>
        <w:pStyle w:val="BodyText"/>
        <w:spacing w:after="60" w:line="288" w:lineRule="auto"/>
        <w:ind w:firstLine="420"/>
      </w:pPr>
      <w:r>
        <w:t>ATR、AL、VTR和每个旋转腔均按单容量资源处理；上、下装载锁各含两个独立物理槽位；辅助晶圆库存则把每片晶圆视为一个可复用槽位。对需要kappa_o个槽位的操作o，有</w:t>
      </w:r>
    </w:p>
    <w:p>
      <w:pPr>
        <w:keepNext w:val="0"/>
        <w:jc w:val="center"/>
      </w:pPr>
      <w:r>
        <w:drawing>
          <wp:inline xmlns:a="http://schemas.openxmlformats.org/drawingml/2006/main" xmlns:pic="http://schemas.openxmlformats.org/drawingml/2006/picture">
            <wp:extent cx="2740152" cy="457200"/>
            <wp:docPr id="22" name="Picture 22" descr="公式 19" title="公式 19"/>
            <wp:cNvGraphicFramePr>
              <a:graphicFrameLocks noChangeAspect="1"/>
            </wp:cNvGraphicFramePr>
            <a:graphic>
              <a:graphicData uri="http://schemas.openxmlformats.org/drawingml/2006/picture">
                <pic:pic>
                  <pic:nvPicPr>
                    <pic:cNvPr id="0" name="equation_19.png"/>
                    <pic:cNvPicPr/>
                  </pic:nvPicPr>
                  <pic:blipFill>
                    <a:blip r:embed="rId31"/>
                    <a:stretch>
                      <a:fillRect/>
                    </a:stretch>
                  </pic:blipFill>
                  <pic:spPr>
                    <a:xfrm>
                      <a:off x="0" y="0"/>
                      <a:ext cx="2740152" cy="457200"/>
                    </a:xfrm>
                    <a:prstGeom prst="rect"/>
                  </pic:spPr>
                </pic:pic>
              </a:graphicData>
            </a:graphic>
          </wp:inline>
        </w:drawing>
      </w:r>
    </w:p>
    <w:p>
      <w:pPr>
        <w:pStyle w:val="BodyText"/>
        <w:spacing w:after="60" w:line="288" w:lineRule="auto"/>
        <w:ind w:firstLine="420"/>
      </w:pPr>
      <w:r>
        <w:t>公式 （19）表示激活操作必须获得规定数量的合法物理槽位，未激活操作不占槽位。AL、ATR、VTR和腔室可视为只有一个槽位；装载锁和辅助晶圆库存则保留各自的物理身份。</w:t>
      </w:r>
    </w:p>
    <w:p>
      <w:pPr>
        <w:pStyle w:val="BodyText"/>
        <w:spacing w:after="60" w:line="288" w:lineRule="auto"/>
        <w:ind w:firstLine="420"/>
      </w:pPr>
      <w:r>
        <w:t>若操作o和o'可能竞争资源r的同一槽位ell，则</w:t>
      </w:r>
    </w:p>
    <w:p>
      <w:pPr>
        <w:keepNext w:val="0"/>
        <w:jc w:val="center"/>
      </w:pPr>
      <w:r>
        <w:drawing>
          <wp:inline xmlns:a="http://schemas.openxmlformats.org/drawingml/2006/main" xmlns:pic="http://schemas.openxmlformats.org/drawingml/2006/picture">
            <wp:extent cx="3925824" cy="481583"/>
            <wp:docPr id="23" name="Picture 23" descr="公式 20" title="公式 20"/>
            <wp:cNvGraphicFramePr>
              <a:graphicFrameLocks noChangeAspect="1"/>
            </wp:cNvGraphicFramePr>
            <a:graphic>
              <a:graphicData uri="http://schemas.openxmlformats.org/drawingml/2006/picture">
                <pic:pic>
                  <pic:nvPicPr>
                    <pic:cNvPr id="0" name="equation_20.png"/>
                    <pic:cNvPicPr/>
                  </pic:nvPicPr>
                  <pic:blipFill>
                    <a:blip r:embed="rId32"/>
                    <a:stretch>
                      <a:fillRect/>
                    </a:stretch>
                  </pic:blipFill>
                  <pic:spPr>
                    <a:xfrm>
                      <a:off x="0" y="0"/>
                      <a:ext cx="3925824" cy="481583"/>
                    </a:xfrm>
                    <a:prstGeom prst="rect"/>
                  </pic:spPr>
                </pic:pic>
              </a:graphicData>
            </a:graphic>
          </wp:inline>
        </w:drawing>
      </w:r>
    </w:p>
    <w:p>
      <w:pPr>
        <w:pStyle w:val="BodyText"/>
        <w:spacing w:after="60" w:line="288" w:lineRule="auto"/>
        <w:ind w:firstLine="420"/>
      </w:pPr>
      <w:r>
        <w:t>公式 （20）表示当两项操作占用同一物理槽位时，二元变量y^r_oo'必须选择一种先后顺序；ρ^r_oo'同时计入机械手空载移位或设备复位时间。该式统一用于ATR、AL、上下装载锁、VTR、旋转腔和同一片辅助晶圆，因而既禁止机械手并发动作，也禁止槽位或辅助晶圆在释放前被再次使用。</w:t>
      </w:r>
    </w:p>
    <w:p>
      <w:pPr>
        <w:pStyle w:val="BodyText"/>
        <w:spacing w:after="60" w:line="288" w:lineRule="auto"/>
        <w:ind w:firstLine="420"/>
      </w:pPr>
      <w:r>
        <w:t>产品晶圆或辅助晶圆的个体阶段必须与其被选中的批次、链位置或清洗任务时间窗一致。若选择量为x，对应参考阶段为[s^rm ref,e^rm ref]，则</w:t>
      </w:r>
    </w:p>
    <w:p>
      <w:pPr>
        <w:keepNext w:val="0"/>
        <w:jc w:val="center"/>
      </w:pPr>
      <w:r>
        <w:drawing>
          <wp:inline xmlns:a="http://schemas.openxmlformats.org/drawingml/2006/main" xmlns:pic="http://schemas.openxmlformats.org/drawingml/2006/picture">
            <wp:extent cx="3297935" cy="512064"/>
            <wp:docPr id="24" name="Picture 24" descr="公式 21" title="公式 21"/>
            <wp:cNvGraphicFramePr>
              <a:graphicFrameLocks noChangeAspect="1"/>
            </wp:cNvGraphicFramePr>
            <a:graphic>
              <a:graphicData uri="http://schemas.openxmlformats.org/drawingml/2006/picture">
                <pic:pic>
                  <pic:nvPicPr>
                    <pic:cNvPr id="0" name="equation_21.png"/>
                    <pic:cNvPicPr/>
                  </pic:nvPicPr>
                  <pic:blipFill>
                    <a:blip r:embed="rId33"/>
                    <a:stretch>
                      <a:fillRect/>
                    </a:stretch>
                  </pic:blipFill>
                  <pic:spPr>
                    <a:xfrm>
                      <a:off x="0" y="0"/>
                      <a:ext cx="3297935" cy="512064"/>
                    </a:xfrm>
                    <a:prstGeom prst="rect"/>
                  </pic:spPr>
                </pic:pic>
              </a:graphicData>
            </a:graphic>
          </wp:inline>
        </w:drawing>
      </w:r>
    </w:p>
    <w:p>
      <w:pPr>
        <w:pStyle w:val="BodyText"/>
        <w:spacing w:after="60" w:line="288" w:lineRule="auto"/>
        <w:ind w:firstLine="420"/>
      </w:pPr>
      <w:r>
        <w:t>公式 （21）表示x=1时个体动作与其物理批次阶段同步；x=0时该候选对应不施加限制。它把晶圆对位置、产品路线、辅助晶圆需求和腔室加工窗口连接成同一时间模型。</w:t>
      </w:r>
    </w:p>
    <w:p>
      <w:pPr>
        <w:pStyle w:val="BodyText"/>
        <w:spacing w:after="60" w:line="288" w:lineRule="auto"/>
        <w:ind w:firstLine="420"/>
      </w:pPr>
      <w:r>
        <w:t>当晶圆对p在机械手路线a上选择一次成对搬运时，两片晶圆的搬运阶段同步：</w:t>
      </w:r>
    </w:p>
    <w:p>
      <w:pPr>
        <w:keepNext w:val="0"/>
        <w:jc w:val="center"/>
      </w:pPr>
      <w:r>
        <w:drawing>
          <wp:inline xmlns:a="http://schemas.openxmlformats.org/drawingml/2006/main" xmlns:pic="http://schemas.openxmlformats.org/drawingml/2006/picture">
            <wp:extent cx="3499104" cy="481583"/>
            <wp:docPr id="25" name="Picture 25" descr="公式 22" title="公式 22"/>
            <wp:cNvGraphicFramePr>
              <a:graphicFrameLocks noChangeAspect="1"/>
            </wp:cNvGraphicFramePr>
            <a:graphic>
              <a:graphicData uri="http://schemas.openxmlformats.org/drawingml/2006/picture">
                <pic:pic>
                  <pic:nvPicPr>
                    <pic:cNvPr id="0" name="equation_22.png"/>
                    <pic:cNvPicPr/>
                  </pic:nvPicPr>
                  <pic:blipFill>
                    <a:blip r:embed="rId34"/>
                    <a:stretch>
                      <a:fillRect/>
                    </a:stretch>
                  </pic:blipFill>
                  <pic:spPr>
                    <a:xfrm>
                      <a:off x="0" y="0"/>
                      <a:ext cx="3499104" cy="481583"/>
                    </a:xfrm>
                    <a:prstGeom prst="rect"/>
                  </pic:spPr>
                </pic:pic>
              </a:graphicData>
            </a:graphic>
          </wp:inline>
        </w:drawing>
      </w:r>
    </w:p>
    <w:p>
      <w:pPr>
        <w:pStyle w:val="BodyText"/>
        <w:spacing w:after="60" w:line="288" w:lineRule="auto"/>
        <w:ind w:firstLine="420"/>
      </w:pPr>
      <w:r>
        <w:t>公式 （22）表示gamma_pa=1时，机械手用一次不可中断动作搬运完整晶圆对；gamma_pa=0时，两片晶圆仍分别占用同一机械手并由公式 （20）排序。</w:t>
      </w:r>
    </w:p>
    <w:p>
      <w:pPr>
        <w:pStyle w:val="BodyText"/>
        <w:spacing w:after="60" w:line="288" w:lineRule="auto"/>
        <w:ind w:firstLine="420"/>
      </w:pPr>
      <w:r>
        <w:t>对晶圆w进入和离开受限设备区段r的事件，有</w:t>
      </w:r>
    </w:p>
    <w:p>
      <w:pPr>
        <w:keepNext w:val="0"/>
        <w:jc w:val="center"/>
      </w:pPr>
      <w:r>
        <w:drawing>
          <wp:inline xmlns:a="http://schemas.openxmlformats.org/drawingml/2006/main" xmlns:pic="http://schemas.openxmlformats.org/drawingml/2006/picture">
            <wp:extent cx="3136392" cy="326136"/>
            <wp:docPr id="26" name="Picture 26" descr="公式 23" title="公式 23"/>
            <wp:cNvGraphicFramePr>
              <a:graphicFrameLocks noChangeAspect="1"/>
            </wp:cNvGraphicFramePr>
            <a:graphic>
              <a:graphicData uri="http://schemas.openxmlformats.org/drawingml/2006/picture">
                <pic:pic>
                  <pic:nvPicPr>
                    <pic:cNvPr id="0" name="equation_23.png"/>
                    <pic:cNvPicPr/>
                  </pic:nvPicPr>
                  <pic:blipFill>
                    <a:blip r:embed="rId35"/>
                    <a:stretch>
                      <a:fillRect/>
                    </a:stretch>
                  </pic:blipFill>
                  <pic:spPr>
                    <a:xfrm>
                      <a:off x="0" y="0"/>
                      <a:ext cx="3136392" cy="326136"/>
                    </a:xfrm>
                    <a:prstGeom prst="rect"/>
                  </pic:spPr>
                </pic:pic>
              </a:graphicData>
            </a:graphic>
          </wp:inline>
        </w:drawing>
      </w:r>
    </w:p>
    <w:p>
      <w:pPr>
        <w:pStyle w:val="BodyText"/>
        <w:spacing w:after="60" w:line="288" w:lineRule="auto"/>
        <w:ind w:firstLine="420"/>
      </w:pPr>
      <w:r>
        <w:t>公式 （23）表示晶圆在上装载锁、工艺腔室、下装载锁或受限制搬运区段中的物理停留时间不得超过上限。装载锁的资源占用窗口还覆盖放片、抽气/放气、另一侧取片和压力复位，因此不会把“晶圆已被机械手放下”误当作“槽位已经可复用”。</w:t>
      </w:r>
    </w:p>
    <w:p>
      <w:pPr>
        <w:pStyle w:val="Heading2"/>
      </w:pPr>
      <w:r>
        <w:t>吞吐量优先、排程质量次级优化</w:t>
      </w:r>
    </w:p>
    <w:p>
      <w:pPr>
        <w:pStyle w:val="BodyText"/>
        <w:spacing w:after="60" w:line="288" w:lineRule="auto"/>
        <w:ind w:firstLine="420"/>
      </w:pPr>
      <w:r>
        <w:t>令C_w为产品晶圆w完成下装载锁返回并回到装载端口的时刻，第一阶段为</w:t>
      </w:r>
    </w:p>
    <w:p>
      <w:pPr>
        <w:keepNext w:val="0"/>
        <w:jc w:val="center"/>
      </w:pPr>
      <w:r>
        <w:drawing>
          <wp:inline xmlns:a="http://schemas.openxmlformats.org/drawingml/2006/main" xmlns:pic="http://schemas.openxmlformats.org/drawingml/2006/picture">
            <wp:extent cx="3861816" cy="393192"/>
            <wp:docPr id="27" name="Picture 27" descr="公式 24" title="公式 24"/>
            <wp:cNvGraphicFramePr>
              <a:graphicFrameLocks noChangeAspect="1"/>
            </wp:cNvGraphicFramePr>
            <a:graphic>
              <a:graphicData uri="http://schemas.openxmlformats.org/drawingml/2006/picture">
                <pic:pic>
                  <pic:nvPicPr>
                    <pic:cNvPr id="0" name="equation_24.png"/>
                    <pic:cNvPicPr/>
                  </pic:nvPicPr>
                  <pic:blipFill>
                    <a:blip r:embed="rId36"/>
                    <a:stretch>
                      <a:fillRect/>
                    </a:stretch>
                  </pic:blipFill>
                  <pic:spPr>
                    <a:xfrm>
                      <a:off x="0" y="0"/>
                      <a:ext cx="3861816" cy="393192"/>
                    </a:xfrm>
                    <a:prstGeom prst="rect"/>
                  </pic:spPr>
                </pic:pic>
              </a:graphicData>
            </a:graphic>
          </wp:inline>
        </w:drawing>
      </w:r>
    </w:p>
    <w:p>
      <w:pPr>
        <w:pStyle w:val="BodyText"/>
        <w:spacing w:after="60" w:line="288" w:lineRule="auto"/>
        <w:ind w:firstLine="420"/>
      </w:pPr>
      <w:r>
        <w:t>公式 （24）表示最大完工时间按完整端到端路线计算，而不是按最后一次腔室加工结束计算；可行域mathcal F由公式 （1）–（23）及其对所有适用索引生成的实例约束构成。</w:t>
      </w:r>
    </w:p>
    <w:p>
      <w:pPr>
        <w:pStyle w:val="BodyText"/>
        <w:spacing w:after="60" w:line="288" w:lineRule="auto"/>
        <w:ind w:firstLine="420"/>
      </w:pPr>
      <w:r>
        <w:t>设第一阶段得到当前最好可行解widehatxi和widehat C，第二阶段固定集合mathcal D_rm fix中的离散结构，在最大完工时间容差内最小化线性排程质量：</w:t>
      </w:r>
    </w:p>
    <w:p>
      <w:pPr>
        <w:keepNext w:val="0"/>
        <w:jc w:val="center"/>
      </w:pPr>
      <w:r>
        <w:drawing>
          <wp:inline xmlns:a="http://schemas.openxmlformats.org/drawingml/2006/main" xmlns:pic="http://schemas.openxmlformats.org/drawingml/2006/picture">
            <wp:extent cx="3934968" cy="1624584"/>
            <wp:docPr id="28" name="Picture 28" descr="公式 25" title="公式 25"/>
            <wp:cNvGraphicFramePr>
              <a:graphicFrameLocks noChangeAspect="1"/>
            </wp:cNvGraphicFramePr>
            <a:graphic>
              <a:graphicData uri="http://schemas.openxmlformats.org/drawingml/2006/picture">
                <pic:pic>
                  <pic:nvPicPr>
                    <pic:cNvPr id="0" name="equation_25.png"/>
                    <pic:cNvPicPr/>
                  </pic:nvPicPr>
                  <pic:blipFill>
                    <a:blip r:embed="rId37"/>
                    <a:stretch>
                      <a:fillRect/>
                    </a:stretch>
                  </pic:blipFill>
                  <pic:spPr>
                    <a:xfrm>
                      <a:off x="0" y="0"/>
                      <a:ext cx="3934968" cy="1624584"/>
                    </a:xfrm>
                    <a:prstGeom prst="rect"/>
                  </pic:spPr>
                </pic:pic>
              </a:graphicData>
            </a:graphic>
          </wp:inline>
        </w:drawing>
      </w:r>
    </w:p>
    <w:p>
      <w:pPr>
        <w:pStyle w:val="BodyText"/>
        <w:spacing w:after="60" w:line="288" w:lineRule="auto"/>
        <w:ind w:firstLine="420"/>
      </w:pPr>
      <w:r>
        <w:t>公式 （25）表示第二阶段保持第一阶段获得的最大完工时间，并固定主要离散路线与资源次序，仅在保留的成对搬运选择和连续时刻上压缩总等待、最大等待与同一区段内相邻加工间隔的波动，并可对超过软等待上限的部分加罚。正式实验采用(λ_1,λ_2,λ_3)=(1,10,25)、ε_C=10^-6；等待软上限未启用，因此第四项在正式结果中为零。</w:t>
      </w:r>
    </w:p>
    <w:p>
      <w:pPr>
        <w:pStyle w:val="Heading2"/>
      </w:pPr>
      <w:r>
        <w:t>核心公式的覆盖范围与模型边界</w:t>
      </w:r>
    </w:p>
    <w:p>
      <w:pPr>
        <w:pStyle w:val="BodyText"/>
        <w:spacing w:after="60" w:line="288" w:lineRule="auto"/>
        <w:ind w:firstLine="420"/>
      </w:pPr>
      <w:r>
        <w:t>公式 (1)–(25)经索引展开后共同描述本文研究的有限批次、双源、4×1/2×2混流、定期清洗和有限辅助晶圆库存问题。公式 (1)–(2)表示源接口，|mathcal S|=1为单源、|mathcal S|=2且产品与辅助晶圆分属不同接口为双源；公式 (3)–(6)表示PW对位置、操作激活、持续时间和工艺先后；公式 (7)–(9)表达4×1由两个PW对构成满片批次、末批补片、旋转及后装先卸；公式 (10)–(13)表达2×2连续链、每个PW对相邻两周期加工、链首/链尾辅助晶圆及内部换片；公式 (14)–(16)表达合法清洗边界、区段容量和真实清洗动作链；公式 (17)–(18)表达辅助晶圆需求及有限库存；公式 (19)–(23)表达机械手、装载锁、腔室、辅助晶圆互斥占用、成对搬运和驻留；公式 (24)–(25)表达端到端最大完工时间优先与固定离散结构后的等待/节拍精修。纯4×1或纯2×2通过令另一模式集合为空得到。</w:t>
      </w:r>
    </w:p>
    <w:p>
      <w:pPr>
        <w:pStyle w:val="BodyText"/>
        <w:spacing w:after="60" w:line="288" w:lineRule="auto"/>
        <w:ind w:firstLine="420"/>
      </w:pPr>
      <w:r>
        <w:t>每条已激活物料路线均具有从释放到返回的有限先后链，每一对竞争同一资源的操作也必须确定先后顺序。若这些时间关系形成有向环，把环上不等式相加将要求某事件晚于自身一个正时间量，因此该组合不可能成为可行解。由此，模型通过资源排序与工艺先后约束排除排程中的循环等待。</w:t>
      </w:r>
    </w:p>
    <w:p>
      <w:pPr>
        <w:pStyle w:val="BodyText"/>
        <w:spacing w:after="60" w:line="288" w:lineRule="auto"/>
        <w:ind w:firstLine="420"/>
      </w:pPr>
      <w:r>
        <w:t>模型边界也需明确：晶圆配对、等价腔室侧位和合法清洗区段由预处理固定；动作时间在单次求解中确定；模型不描述随机故障或实时重调度。这样的边界保留了双源、两种工艺、辅助晶圆、清洗与共享资源之间的核心耦合，同时避免把没有物理差异的编号置换留给分支定界搜索。</w:t>
      </w:r>
    </w:p>
    <w:p>
      <w:pPr>
        <w:pStyle w:val="Heading1"/>
      </w:pPr>
      <w:r>
        <w:t>结构感知学习增强精确求解</w:t>
      </w:r>
    </w:p>
    <w:p>
      <w:pPr>
        <w:pStyle w:val="BodyText"/>
        <w:spacing w:after="60" w:line="288" w:lineRule="auto"/>
        <w:ind w:firstLine="420"/>
      </w:pPr>
      <w:r>
        <w:t>模型的原始难点是高质量可行解出现较晚，对偶难点是通用割分数无法说明一个割主要收紧离散选择、连续时刻还是二者耦合。本文先用结构保持二元骨架（structure-preserving binary skeleton，SPBS）构造可行起点，再在SCIP分离回调中用RDMCT-HBS选择割平面。前者改善原始界，后者改善松弛收紧过程；SCIP仍负责可行性检查、有效割生成、上下界维护和最优性证明（Achterberg(2009)；Bestuzheva et al. (2023)）。</w:t>
      </w:r>
    </w:p>
    <w:p>
      <w:pPr>
        <w:pStyle w:val="BodyText"/>
        <w:spacing w:after="60" w:line="288" w:lineRule="auto"/>
        <w:ind w:firstLine="420"/>
      </w:pPr>
      <w:r>
        <w:t>整个求解流程按“构造并验收初始解–生成候选割–预测割数量–逐个生成割序列–结构补全–继续精确搜索”执行。学习模块既不生成新的不等式，也不修改候选割系数，而是决定SCIP已生成候选行的保留前缀和输入顺序。</w:t>
      </w:r>
    </w:p>
    <w:p>
      <w:pPr>
        <w:pStyle w:val="Heading2"/>
      </w:pPr>
      <w:r>
        <w:t>SPBS初始解</w:t>
      </w:r>
    </w:p>
    <w:p>
      <w:pPr>
        <w:pStyle w:val="BodyText"/>
        <w:spacing w:after="60" w:line="288" w:lineRule="auto"/>
        <w:ind w:firstLine="420"/>
      </w:pPr>
      <w:r>
        <w:t>SPBS不直接猜测全部事件时刻，而是先确定配方能够可靠给出的离散骨架。产品晶圆按输入顺序组成晶圆对；4×1晶圆对依次映射到腔室、批次和前后侧位，2×2晶圆对按腔室轮转分配到连续链位置。批次使用、末批、链位置和末位置等激活变量随之确定。清洗计数把每个腔室的加工序列分成若干区段：4×1批次进入相应清洗区间，2×2链在达到清洗阈值时以辅助晶圆结束当前区段，并在清洗后用新的链首辅助晶圆继续。这样首先确定“加工什么、在哪个腔室加工以及何时允许清洗”，辅助晶圆的具体占用和所有连续时刻仍由模型约束完成。</w:t>
      </w:r>
    </w:p>
    <w:p>
      <w:pPr>
        <w:pStyle w:val="BodyText"/>
        <w:spacing w:after="60" w:line="288" w:lineRule="auto"/>
        <w:ind w:firstLine="420"/>
      </w:pPr>
      <w:r>
        <w:t>在资源层，SPBS根据同一工艺路线生成保守次序。ATR先安排各腔室的4×1输入和返回，并在某腔室完成其末个满片批次后尽早衔接该腔室的首个2×2晶圆对；随后按清洗区段推进链式输入与返回。装载锁槽位采用确定性的奇偶映射破除对称，VTR次序与ATR的批次推进及清洗动作保持一致。设第q个松弛配置中被固定的二元变量集合为mathcal F_q，骨架值为widehat x_j，临时模型通过</w:t>
      </w:r>
    </w:p>
    <w:p>
      <w:pPr>
        <w:keepNext w:val="0"/>
        <w:jc w:val="center"/>
      </w:pPr>
      <w:r>
        <w:drawing>
          <wp:inline xmlns:a="http://schemas.openxmlformats.org/drawingml/2006/main" xmlns:pic="http://schemas.openxmlformats.org/drawingml/2006/picture">
            <wp:extent cx="3075432" cy="332232"/>
            <wp:docPr id="29" name="Picture 29" descr="公式 26" title="公式 26"/>
            <wp:cNvGraphicFramePr>
              <a:graphicFrameLocks noChangeAspect="1"/>
            </wp:cNvGraphicFramePr>
            <a:graphic>
              <a:graphicData uri="http://schemas.openxmlformats.org/drawingml/2006/picture">
                <pic:pic>
                  <pic:nvPicPr>
                    <pic:cNvPr id="0" name="equation_26.png"/>
                    <pic:cNvPicPr/>
                  </pic:nvPicPr>
                  <pic:blipFill>
                    <a:blip r:embed="rId38"/>
                    <a:stretch>
                      <a:fillRect/>
                    </a:stretch>
                  </pic:blipFill>
                  <pic:spPr>
                    <a:xfrm>
                      <a:off x="0" y="0"/>
                      <a:ext cx="3075432" cy="332232"/>
                    </a:xfrm>
                    <a:prstGeom prst="rect"/>
                  </pic:spPr>
                </pic:pic>
              </a:graphicData>
            </a:graphic>
          </wp:inline>
        </w:drawing>
      </w:r>
    </w:p>
    <w:p>
      <w:pPr>
        <w:pStyle w:val="BodyText"/>
        <w:spacing w:after="60" w:line="288" w:lineRule="auto"/>
        <w:ind w:firstLine="420"/>
      </w:pPr>
      <w:r>
        <w:t>施加这些选择。公式 （26）表示SPBS只把当前配置认为可靠的二元选择固定为变量界；开始、完成、等待等连续变量，以及该配置未覆盖的资源次序保持自由。</w:t>
      </w:r>
    </w:p>
    <w:p>
      <w:pPr>
        <w:pStyle w:val="BodyText"/>
        <w:spacing w:after="60" w:line="288" w:lineRule="auto"/>
        <w:ind w:firstLine="420"/>
      </w:pPr>
      <w:r>
        <w:t>若最严格骨架未在分配时间内产生可行解，SPBS按实现中的五级配置逐步扩大搜索空间。第一步spbs_full固定产品/批次分配、激活、清洗区段、装载锁槽位、ATR/AL/LL次序和VTR次序；第二步spbs_relaxed_vtr释放高风险VTR次序；第三步spbs_relaxed_ll继续释放装载锁次序；第四步spbs_fixed_slots释放ATR、AL及其余资源次序但保留结构分配和槽位；第五步spbs_structure_only再释放槽位，仅保留产品分配、激活和清洗骨架。对32片及以上实例，程序从固定槽位或仅结构配置开始，以把更多预算留给可行性搜索；紧等待上限下还保留完全不固定的spbs_unrestricted尝试。</w:t>
      </w:r>
    </w:p>
    <w:p>
      <w:pPr>
        <w:pStyle w:val="BodyText"/>
        <w:spacing w:after="60" w:line="288" w:lineRule="auto"/>
        <w:ind w:firstLine="420"/>
      </w:pPr>
      <w:r>
        <w:t>每个配置都在重新建立的临时模型上把目标设为0，采用可行性优先、积极启发式、快速预求解、关闭分离并在找到第一个解后停止。获得物理排程后，程序在完整模型中固定主要离散与连续结果，只释放排程稳定性所需的二次辅助变量，重新补全并调用SCIP完整验解；只有通过检查的高精度解文件才会作为incumbent输入主模型。主模型不继承任何SPBS固定界，因而仍可改进该解并完成全局证明。正式基准将SPBS离线预计算，元数据记录被接受的配置和逐级求解状态，并用序列化LP的SHA-256哈希阻止不匹配初始解被复用；报告的PDI和主求解时间不含其构造成本。</w:t>
      </w:r>
    </w:p>
    <w:p>
      <w:pPr>
        <w:pStyle w:val="Heading2"/>
      </w:pPr>
      <w:r>
        <w:t>HEM基线与角色感知表示</w:t>
      </w:r>
    </w:p>
    <w:p>
      <w:pPr>
        <w:pStyle w:val="BodyText"/>
        <w:spacing w:after="60" w:line="288" w:lineRule="auto"/>
        <w:ind w:firstLine="420"/>
      </w:pPr>
      <w:r>
        <w:t>已有学习型割选择分别以强化学习、候选割排序和前瞻模仿处理通用MILP候选集（Tang et al. (2020)；Huang et al. (2022)；Paulus et al. (2022)）。HEM进一步指出，割选择同时包含“选哪些、选多少、按什么顺序加入”三个相互关联的决策，并用高层数量策略与低层序列策略联合处理（Wang et al. (2023b)）。本文保留HEM的层次分解和pointer解码框架，把HEM的13维实现作为直接基线，在相同训练实例、预算、随机种子、候选上限和隐藏维数下只改变输入表示与选后补全。</w:t>
      </w:r>
    </w:p>
    <w:p>
      <w:pPr>
        <w:pStyle w:val="BodyText"/>
        <w:spacing w:after="60" w:line="288" w:lineRule="auto"/>
        <w:ind w:firstLine="420"/>
      </w:pPr>
      <w:r>
        <w:t>HEM基线的13维候选向量依次包含目标平行度、割有效性、归一化支撑规模、整数支撑比例、归一化违反量、割系数的均值/最大值/最小值/标准差以及目标系数的四个对应统计量。这些量能够反映当前LP点处的割质量和数值尺度，但两个有效性相近的割仍可能分别作用于离散路线变量和连续时间变量。对本文模型而言，这一区别直接对应“改变加工/资源组合”与“收紧既定组合的时序”。</w:t>
      </w:r>
    </w:p>
    <w:p>
      <w:pPr>
        <w:pStyle w:val="BodyText"/>
        <w:spacing w:after="60" w:line="288" w:lineRule="auto"/>
        <w:ind w:firstLine="420"/>
      </w:pPr>
      <w:r>
        <w:t>在HEM的13维通用特征上，本文按求解器元数据把变量分为二元、一般整数、目标活跃连续、连续辅助和其他五类。割i在角色g上的系数质量为</w:t>
      </w:r>
    </w:p>
    <w:p>
      <w:pPr>
        <w:keepNext w:val="0"/>
        <w:jc w:val="center"/>
      </w:pPr>
      <w:r>
        <w:drawing>
          <wp:inline xmlns:a="http://schemas.openxmlformats.org/drawingml/2006/main" xmlns:pic="http://schemas.openxmlformats.org/drawingml/2006/picture">
            <wp:extent cx="2849880" cy="490727"/>
            <wp:docPr id="30" name="Picture 30" descr="公式 27" title="公式 27"/>
            <wp:cNvGraphicFramePr>
              <a:graphicFrameLocks noChangeAspect="1"/>
            </wp:cNvGraphicFramePr>
            <a:graphic>
              <a:graphicData uri="http://schemas.openxmlformats.org/drawingml/2006/picture">
                <pic:pic>
                  <pic:nvPicPr>
                    <pic:cNvPr id="0" name="equation_27.png"/>
                    <pic:cNvPicPr/>
                  </pic:nvPicPr>
                  <pic:blipFill>
                    <a:blip r:embed="rId39"/>
                    <a:stretch>
                      <a:fillRect/>
                    </a:stretch>
                  </pic:blipFill>
                  <pic:spPr>
                    <a:xfrm>
                      <a:off x="0" y="0"/>
                      <a:ext cx="2849880" cy="490727"/>
                    </a:xfrm>
                    <a:prstGeom prst="rect"/>
                  </pic:spPr>
                </pic:pic>
              </a:graphicData>
            </a:graphic>
          </wp:inline>
        </w:drawing>
      </w:r>
    </w:p>
    <w:p>
      <w:pPr>
        <w:pStyle w:val="BodyText"/>
        <w:spacing w:after="60" w:line="288" w:lineRule="auto"/>
        <w:ind w:firstLine="420"/>
      </w:pPr>
      <w:r>
        <w:t>公式 （27）表示割系数绝对质量由各数学变量角色承担的比例。五个角色质量之外，新增特征还包括双边有限界变量质量、正系数质量、离散–连续耦合度4(p_iB+p_iI)(p_iC_rm obj+p_iC_rm aux)、最大非残余角色质量和归一化角色熵，共10维；与HEM特征合并后得到23维表示。所有角色均由SCIP变量类型、目标系数和全局界识别，不读取变量名或设备标签，因此重命名变量不会改变表示。</w:t>
      </w:r>
    </w:p>
    <w:p>
      <w:pPr>
        <w:pStyle w:val="BodyText"/>
        <w:spacing w:after="60" w:line="288" w:lineRule="auto"/>
        <w:ind w:firstLine="420"/>
      </w:pPr>
      <w:r>
        <w:t>网络入口先对23维向量作层归一化，再分别投影13维通用部分和10维角色部分，并用由完整向量生成的sigmoid门进行融合。该结构使模型能够独立缩放“即时割质量”和“变量角色构成”，同时保留HEM的单层LSTM编码器、128维隐藏状态、一次glimpse及低层pointer解码器（Vinyals et al. (2015)）。因此，相对HEM的改动可以明确拆成三项：角色表示、分组门控输入适配，以及后述策略锚定的角色次模补全。</w:t>
      </w:r>
    </w:p>
    <w:p>
      <w:pPr>
        <w:pStyle w:val="Heading2"/>
      </w:pPr>
      <w:r>
        <w:t>从候选池到有序割集的逐步选择</w:t>
      </w:r>
    </w:p>
    <w:p>
      <w:pPr>
        <w:pStyle w:val="BodyText"/>
        <w:spacing w:after="60" w:line="288" w:lineRule="auto"/>
        <w:ind w:firstLine="420"/>
      </w:pPr>
      <w:r>
        <w:t>在第t次分离回调中，算法按以下顺序工作。</w:t>
      </w:r>
    </w:p>
    <w:p>
      <w:pPr>
        <w:pStyle w:val="BodyText"/>
        <w:spacing w:after="60" w:line="288" w:lineRule="auto"/>
        <w:ind w:firstLine="420"/>
      </w:pPr>
      <w:r>
        <w:t>步骤1：建立候选池。 SCIP先按自身分离器生成并验证候选行mathcal C_t。为避免对数千个稀疏行逐一遍历全部支撑，算法先用SCIP直接提供的有效性取前128个候选；有效性相同时按原始索引确定顺序，使输入池可重复。SCIP要求强制加入的割由求解器继续管理，不进入学习排序。</w:t>
      </w:r>
    </w:p>
    <w:p>
      <w:pPr>
        <w:pStyle w:val="BodyText"/>
        <w:spacing w:after="60" w:line="288" w:lineRule="auto"/>
        <w:ind w:firstLine="420"/>
      </w:pPr>
      <w:r>
        <w:t>步骤2：计算状态。 对候选池中的每一行提取13维HEM特征和10维角色特征，同时保存角色质量、主导角色和结构熵等元数据。该集合构成状态S_t。</w:t>
      </w:r>
    </w:p>
    <w:p>
      <w:pPr>
        <w:pStyle w:val="BodyText"/>
        <w:spacing w:after="60" w:line="288" w:lineRule="auto"/>
        <w:ind w:firstLine="420"/>
      </w:pPr>
      <w:r>
        <w:t>步骤3：决定保留数量。 高层策略输出经tanh限制在[-1,1]的动作，并映射为保留比例ρ_t；该比例再受全局上限0.2、SCIP本轮上限和最多16条割的实现上限共同约束，得到k_t。候选充足时至少保留两条，以避免连续回调退化为空选择。</w:t>
      </w:r>
    </w:p>
    <w:p>
      <w:pPr>
        <w:pStyle w:val="BodyText"/>
        <w:spacing w:after="60" w:line="288" w:lineRule="auto"/>
        <w:ind w:firstLine="420"/>
      </w:pPr>
      <w:r>
        <w:t>步骤4：逐个生成候选顺序。 低层pointer策略在第r步根据S_t和已选前缀i_1:r-1计算剩余候选的概率，已选索引被掩码为负无穷，因而不会重复。高层数量和低层顺序的联合策略为</w:t>
      </w:r>
    </w:p>
    <w:p>
      <w:pPr>
        <w:keepNext w:val="0"/>
        <w:jc w:val="center"/>
      </w:pPr>
      <w:r>
        <w:drawing>
          <wp:inline xmlns:a="http://schemas.openxmlformats.org/drawingml/2006/main" xmlns:pic="http://schemas.openxmlformats.org/drawingml/2006/picture">
            <wp:extent cx="3721608" cy="533400"/>
            <wp:docPr id="31" name="Picture 31" descr="公式 28" title="公式 28"/>
            <wp:cNvGraphicFramePr>
              <a:graphicFrameLocks noChangeAspect="1"/>
            </wp:cNvGraphicFramePr>
            <a:graphic>
              <a:graphicData uri="http://schemas.openxmlformats.org/drawingml/2006/picture">
                <pic:pic>
                  <pic:nvPicPr>
                    <pic:cNvPr id="0" name="equation_28.png"/>
                    <pic:cNvPicPr/>
                  </pic:nvPicPr>
                  <pic:blipFill>
                    <a:blip r:embed="rId40"/>
                    <a:stretch>
                      <a:fillRect/>
                    </a:stretch>
                  </pic:blipFill>
                  <pic:spPr>
                    <a:xfrm>
                      <a:off x="0" y="0"/>
                      <a:ext cx="3721608" cy="533400"/>
                    </a:xfrm>
                    <a:prstGeom prst="rect"/>
                  </pic:spPr>
                </pic:pic>
              </a:graphicData>
            </a:graphic>
          </wp:inline>
        </w:drawing>
      </w:r>
    </w:p>
    <w:p>
      <w:pPr>
        <w:pStyle w:val="BodyText"/>
        <w:spacing w:after="60" w:line="288" w:lineRule="auto"/>
        <w:ind w:firstLine="420"/>
      </w:pPr>
      <w:r>
        <w:t>公式 （28）表示高层先给出本轮序列长度，低层再在这个长度内逐步选择不同候选；先选的割既影响随后可选集合，也通过解码器隐藏状态影响后续概率。</w:t>
      </w:r>
    </w:p>
    <w:p>
      <w:pPr>
        <w:pStyle w:val="BodyText"/>
        <w:spacing w:after="60" w:line="288" w:lineRule="auto"/>
        <w:ind w:firstLine="420"/>
      </w:pPr>
      <w:r>
        <w:t>步骤5：束搜索解码。 训练时低层按概率随机采样以形成探索；测试时采用宽度3的束搜索。第r步把每条部分序列分别与所有未选候选连接，累加联合对数概率，再从“父束×下一候选”的全部扩展中保留得分最高的3条。重复至长度k_t后输出最高得分序列。与逐步贪心相比，束搜索保留了早期次优但后续组合概率更高的前缀；这种有限宽神经组合搜索与神经组合优化中的束解码思想一致（Choo et al. (2022)）。</w:t>
      </w:r>
    </w:p>
    <w:p>
      <w:pPr>
        <w:pStyle w:val="BodyText"/>
        <w:spacing w:after="60" w:line="288" w:lineRule="auto"/>
        <w:ind w:firstLine="420"/>
      </w:pPr>
      <w:r>
        <w:t>步骤6：角色次模补全。 仅依赖联合概率的序列仍可能反复覆盖同一变量角色。算法保留pointer序列前lceil0.25k_trceil条作为策略锚点，把其余策略顺序与按即时结构质量q_i排序的候选合并，并截取不超过2k_t条形成扩展池mathcal R_t。对候选子集Ssubseteqmathcal R_t定义</w:t>
      </w:r>
    </w:p>
    <w:p>
      <w:pPr>
        <w:keepNext w:val="0"/>
        <w:jc w:val="center"/>
      </w:pPr>
      <w:r>
        <w:drawing>
          <wp:inline xmlns:a="http://schemas.openxmlformats.org/drawingml/2006/main" xmlns:pic="http://schemas.openxmlformats.org/drawingml/2006/picture">
            <wp:extent cx="3712463" cy="920495"/>
            <wp:docPr id="32" name="Picture 32" descr="公式 29" title="公式 29"/>
            <wp:cNvGraphicFramePr>
              <a:graphicFrameLocks noChangeAspect="1"/>
            </wp:cNvGraphicFramePr>
            <a:graphic>
              <a:graphicData uri="http://schemas.openxmlformats.org/drawingml/2006/picture">
                <pic:pic>
                  <pic:nvPicPr>
                    <pic:cNvPr id="0" name="equation_29.png"/>
                    <pic:cNvPicPr/>
                  </pic:nvPicPr>
                  <pic:blipFill>
                    <a:blip r:embed="rId41"/>
                    <a:stretch>
                      <a:fillRect/>
                    </a:stretch>
                  </pic:blipFill>
                  <pic:spPr>
                    <a:xfrm>
                      <a:off x="0" y="0"/>
                      <a:ext cx="3712463" cy="920495"/>
                    </a:xfrm>
                    <a:prstGeom prst="rect"/>
                  </pic:spPr>
                </pic:pic>
              </a:graphicData>
            </a:graphic>
          </wp:inline>
        </w:drawing>
      </w:r>
    </w:p>
    <w:p>
      <w:pPr>
        <w:pStyle w:val="BodyText"/>
        <w:spacing w:after="60" w:line="288" w:lineRule="auto"/>
        <w:ind w:firstLine="420"/>
      </w:pPr>
      <w:r>
        <w:t>其中r_i为pointer顺序归一化先验，d_g为扩展池中角色g的需求占比，s_ui为候选u与i在通用质量和角色质量上的截断余弦相似度；q_i综合有效性、违反量、整数支撑、可识别角色比例、主导角色比例和结构熵。公式 （29）的第一项保留即时质量和学习顺序，平方根覆盖项使重复加入同一角色的边际收益递减，最后一项使所选割代表扩展池的主要结构。算法从锚点集合出发，每一步计算所有未选候选的F_t边际增益并加入最大者，直至达到k_t。这些非负模块项、凹函数覆盖项和设施位置项构成单调次模目标，因此固定锚点与扩展池后的贪心补全具有标准1-1/e残余近似性质（Nemhauser et al. (1978)）。</w:t>
      </w:r>
    </w:p>
    <w:p>
      <w:pPr>
        <w:pStyle w:val="BodyText"/>
        <w:spacing w:after="60" w:line="288" w:lineRule="auto"/>
        <w:ind w:firstLine="420"/>
      </w:pPr>
      <w:r>
        <w:t>最后，所选k_t条割按上述顺序置于返回数组前部，其余候选保持为未选后缀，SCIP仅把前缀加入当前LP。于是一次回调完整地实现“廉价截断–特征提取–数量预测–序列解码–结构补全–返回SCIP”。</w:t>
      </w:r>
    </w:p>
    <w:p>
      <w:pPr>
        <w:pStyle w:val="Caption"/>
        <w:keepNext/>
        <w:jc w:val="center"/>
      </w:pPr>
      <w:r>
        <w:t>表 3. 割平面选择伪代码（Algorithm 1）</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vAlign w:val="center"/>
          </w:tcPr>
          <w:p>
            <w:r/>
            <w:r>
              <w:rPr>
                <w:rFonts w:ascii="Times New Roman" w:hAnsi="Times New Roman" w:eastAsia="宋体"/>
                <w:b/>
                <w:sz w:val="17"/>
              </w:rPr>
              <w:t>项目</w:t>
            </w:r>
          </w:p>
        </w:tc>
        <w:tc>
          <w:tcPr>
            <w:tcW w:type="dxa" w:w="4706"/>
            <w:vAlign w:val="center"/>
          </w:tcPr>
          <w:p>
            <w:r/>
            <w:r>
              <w:rPr>
                <w:rFonts w:ascii="Times New Roman" w:hAnsi="Times New Roman" w:eastAsia="宋体"/>
                <w:b/>
                <w:sz w:val="17"/>
              </w:rPr>
              <w:t>逻辑</w:t>
            </w:r>
          </w:p>
        </w:tc>
      </w:tr>
      <w:tr>
        <w:tc>
          <w:tcPr>
            <w:tcW w:type="dxa" w:w="4706"/>
            <w:vAlign w:val="center"/>
          </w:tcPr>
          <w:p>
            <w:r/>
            <w:r>
              <w:rPr>
                <w:rFonts w:ascii="Times New Roman" w:hAnsi="Times New Roman" w:eastAsia="宋体"/>
                <w:b w:val="0"/>
                <w:sz w:val="17"/>
              </w:rPr>
              <w:t>输入</w:t>
            </w:r>
          </w:p>
        </w:tc>
        <w:tc>
          <w:tcPr>
            <w:tcW w:type="dxa" w:w="4706"/>
            <w:vAlign w:val="center"/>
          </w:tcPr>
          <w:p>
            <w:r/>
            <w:r>
              <w:rPr>
                <w:rFonts w:ascii="Times New Roman" w:hAnsi="Times New Roman" w:eastAsia="宋体"/>
                <w:b w:val="0"/>
                <w:sz w:val="17"/>
              </w:rPr>
              <w:t>SCIP已验证候选行mathcal C_t、高层策略π_θ^H、低层pointer策略π_θ^L、束宽B=3、本轮求解器割上限。</w:t>
            </w:r>
          </w:p>
        </w:tc>
      </w:tr>
      <w:tr>
        <w:tc>
          <w:tcPr>
            <w:tcW w:type="dxa" w:w="4706"/>
            <w:vAlign w:val="center"/>
          </w:tcPr>
          <w:p>
            <w:r/>
            <w:r>
              <w:rPr>
                <w:rFonts w:ascii="Times New Roman" w:hAnsi="Times New Roman" w:eastAsia="宋体"/>
                <w:b w:val="0"/>
                <w:sz w:val="17"/>
              </w:rPr>
              <w:t>输出</w:t>
            </w:r>
          </w:p>
        </w:tc>
        <w:tc>
          <w:tcPr>
            <w:tcW w:type="dxa" w:w="4706"/>
            <w:vAlign w:val="center"/>
          </w:tcPr>
          <w:p>
            <w:r/>
            <w:r>
              <w:rPr>
                <w:rFonts w:ascii="Times New Roman" w:hAnsi="Times New Roman" w:eastAsia="宋体"/>
                <w:b w:val="0"/>
                <w:sz w:val="17"/>
              </w:rPr>
              <w:t>有序割前缀S_t^star=(i_1,…,i_k_t)及未选后缀，交回SCIP。</w:t>
            </w:r>
          </w:p>
        </w:tc>
      </w:tr>
      <w:tr>
        <w:tc>
          <w:tcPr>
            <w:tcW w:type="dxa" w:w="4706"/>
            <w:vAlign w:val="center"/>
          </w:tcPr>
          <w:p>
            <w:r/>
            <w:r>
              <w:rPr>
                <w:rFonts w:ascii="Times New Roman" w:hAnsi="Times New Roman" w:eastAsia="宋体"/>
                <w:b w:val="0"/>
                <w:sz w:val="17"/>
              </w:rPr>
              <w:t>1</w:t>
            </w:r>
          </w:p>
        </w:tc>
        <w:tc>
          <w:tcPr>
            <w:tcW w:type="dxa" w:w="4706"/>
            <w:vAlign w:val="center"/>
          </w:tcPr>
          <w:p>
            <w:r/>
            <w:r>
              <w:rPr>
                <w:rFonts w:ascii="Times New Roman" w:hAnsi="Times New Roman" w:eastAsia="宋体"/>
                <w:b w:val="0"/>
                <w:sz w:val="17"/>
              </w:rPr>
              <w:t>按有效性降序、原始索引破同分，截取至多128行形成候选池。</w:t>
            </w:r>
          </w:p>
        </w:tc>
      </w:tr>
      <w:tr>
        <w:tc>
          <w:tcPr>
            <w:tcW w:type="dxa" w:w="4706"/>
            <w:vAlign w:val="center"/>
          </w:tcPr>
          <w:p>
            <w:r/>
            <w:r>
              <w:rPr>
                <w:rFonts w:ascii="Times New Roman" w:hAnsi="Times New Roman" w:eastAsia="宋体"/>
                <w:b w:val="0"/>
                <w:sz w:val="17"/>
              </w:rPr>
              <w:t>2</w:t>
            </w:r>
          </w:p>
        </w:tc>
        <w:tc>
          <w:tcPr>
            <w:tcW w:type="dxa" w:w="4706"/>
            <w:vAlign w:val="center"/>
          </w:tcPr>
          <w:p>
            <w:r/>
            <w:r>
              <w:rPr>
                <w:rFonts w:ascii="Times New Roman" w:hAnsi="Times New Roman" w:eastAsia="宋体"/>
                <w:b w:val="0"/>
                <w:sz w:val="17"/>
              </w:rPr>
              <w:t>对每行计算13维HEM特征、10维角色特征及角色质量元数据。</w:t>
            </w:r>
          </w:p>
        </w:tc>
      </w:tr>
      <w:tr>
        <w:tc>
          <w:tcPr>
            <w:tcW w:type="dxa" w:w="4706"/>
            <w:vAlign w:val="center"/>
          </w:tcPr>
          <w:p>
            <w:r/>
            <w:r>
              <w:rPr>
                <w:rFonts w:ascii="Times New Roman" w:hAnsi="Times New Roman" w:eastAsia="宋体"/>
                <w:b w:val="0"/>
                <w:sz w:val="17"/>
              </w:rPr>
              <w:t>3</w:t>
            </w:r>
          </w:p>
        </w:tc>
        <w:tc>
          <w:tcPr>
            <w:tcW w:type="dxa" w:w="4706"/>
            <w:vAlign w:val="center"/>
          </w:tcPr>
          <w:p>
            <w:r/>
            <w:r>
              <w:rPr>
                <w:rFonts w:ascii="Times New Roman" w:hAnsi="Times New Roman" w:eastAsia="宋体"/>
                <w:b w:val="0"/>
                <w:sz w:val="17"/>
              </w:rPr>
              <w:t>用π_θ^H预测保留比例，并经0.2比例上限、SCIP上限和16条实现上限得到k_t。</w:t>
            </w:r>
          </w:p>
        </w:tc>
      </w:tr>
      <w:tr>
        <w:tc>
          <w:tcPr>
            <w:tcW w:type="dxa" w:w="4706"/>
            <w:vAlign w:val="center"/>
          </w:tcPr>
          <w:p>
            <w:r/>
            <w:r>
              <w:rPr>
                <w:rFonts w:ascii="Times New Roman" w:hAnsi="Times New Roman" w:eastAsia="宋体"/>
                <w:b w:val="0"/>
                <w:sz w:val="17"/>
              </w:rPr>
              <w:t>4</w:t>
            </w:r>
          </w:p>
        </w:tc>
        <w:tc>
          <w:tcPr>
            <w:tcW w:type="dxa" w:w="4706"/>
            <w:vAlign w:val="center"/>
          </w:tcPr>
          <w:p>
            <w:r/>
            <w:r>
              <w:rPr>
                <w:rFonts w:ascii="Times New Roman" w:hAnsi="Times New Roman" w:eastAsia="宋体"/>
                <w:b w:val="0"/>
                <w:sz w:val="17"/>
              </w:rPr>
              <w:t>以空序列和对数概率0初始化束集合mathcal B_0。</w:t>
            </w:r>
          </w:p>
        </w:tc>
      </w:tr>
      <w:tr>
        <w:tc>
          <w:tcPr>
            <w:tcW w:type="dxa" w:w="4706"/>
            <w:vAlign w:val="center"/>
          </w:tcPr>
          <w:p>
            <w:r/>
            <w:r>
              <w:rPr>
                <w:rFonts w:ascii="Times New Roman" w:hAnsi="Times New Roman" w:eastAsia="宋体"/>
                <w:b w:val="0"/>
                <w:sz w:val="17"/>
              </w:rPr>
              <w:t>5</w:t>
            </w:r>
          </w:p>
        </w:tc>
        <w:tc>
          <w:tcPr>
            <w:tcW w:type="dxa" w:w="4706"/>
            <w:vAlign w:val="center"/>
          </w:tcPr>
          <w:p>
            <w:r/>
            <w:r>
              <w:rPr>
                <w:rFonts w:ascii="Times New Roman" w:hAnsi="Times New Roman" w:eastAsia="宋体"/>
                <w:b w:val="0"/>
                <w:sz w:val="17"/>
              </w:rPr>
              <w:t>对r=1,…,k_t，扩展mathcal B_r-1中每个前缀与全部未选候选，掩码重复索引并累加pointer对数概率。</w:t>
            </w:r>
          </w:p>
        </w:tc>
      </w:tr>
      <w:tr>
        <w:tc>
          <w:tcPr>
            <w:tcW w:type="dxa" w:w="4706"/>
            <w:vAlign w:val="center"/>
          </w:tcPr>
          <w:p>
            <w:r/>
            <w:r>
              <w:rPr>
                <w:rFonts w:ascii="Times New Roman" w:hAnsi="Times New Roman" w:eastAsia="宋体"/>
                <w:b w:val="0"/>
                <w:sz w:val="17"/>
              </w:rPr>
              <w:t>6</w:t>
            </w:r>
          </w:p>
        </w:tc>
        <w:tc>
          <w:tcPr>
            <w:tcW w:type="dxa" w:w="4706"/>
            <w:vAlign w:val="center"/>
          </w:tcPr>
          <w:p>
            <w:r/>
            <w:r>
              <w:rPr>
                <w:rFonts w:ascii="Times New Roman" w:hAnsi="Times New Roman" w:eastAsia="宋体"/>
                <w:b w:val="0"/>
                <w:sz w:val="17"/>
              </w:rPr>
              <w:t>从全部“父束–下一候选”组合中保留联合概率最高的3条，得到mathcal B_r；取mathcal B_k_t的首序列。</w:t>
            </w:r>
          </w:p>
        </w:tc>
      </w:tr>
      <w:tr>
        <w:tc>
          <w:tcPr>
            <w:tcW w:type="dxa" w:w="4706"/>
            <w:vAlign w:val="center"/>
          </w:tcPr>
          <w:p>
            <w:r/>
            <w:r>
              <w:rPr>
                <w:rFonts w:ascii="Times New Roman" w:hAnsi="Times New Roman" w:eastAsia="宋体"/>
                <w:b w:val="0"/>
                <w:sz w:val="17"/>
              </w:rPr>
              <w:t>7</w:t>
            </w:r>
          </w:p>
        </w:tc>
        <w:tc>
          <w:tcPr>
            <w:tcW w:type="dxa" w:w="4706"/>
            <w:vAlign w:val="center"/>
          </w:tcPr>
          <w:p>
            <w:r/>
            <w:r>
              <w:rPr>
                <w:rFonts w:ascii="Times New Roman" w:hAnsi="Times New Roman" w:eastAsia="宋体"/>
                <w:b w:val="0"/>
                <w:sz w:val="17"/>
              </w:rPr>
              <w:t>固定该序列前lceil0.25k_trceil条为策略锚点A_t。</w:t>
            </w:r>
          </w:p>
        </w:tc>
      </w:tr>
      <w:tr>
        <w:tc>
          <w:tcPr>
            <w:tcW w:type="dxa" w:w="4706"/>
            <w:vAlign w:val="center"/>
          </w:tcPr>
          <w:p>
            <w:r/>
            <w:r>
              <w:rPr>
                <w:rFonts w:ascii="Times New Roman" w:hAnsi="Times New Roman" w:eastAsia="宋体"/>
                <w:b w:val="0"/>
                <w:sz w:val="17"/>
              </w:rPr>
              <w:t>8</w:t>
            </w:r>
          </w:p>
        </w:tc>
        <w:tc>
          <w:tcPr>
            <w:tcW w:type="dxa" w:w="4706"/>
            <w:vAlign w:val="center"/>
          </w:tcPr>
          <w:p>
            <w:r/>
            <w:r>
              <w:rPr>
                <w:rFonts w:ascii="Times New Roman" w:hAnsi="Times New Roman" w:eastAsia="宋体"/>
                <w:b w:val="0"/>
                <w:sz w:val="17"/>
              </w:rPr>
              <w:t>合并剩余pointer顺序与结构质量顺序，去重并截取至多2k_t条得到扩展池mathcal R_t。</w:t>
            </w:r>
          </w:p>
        </w:tc>
      </w:tr>
      <w:tr>
        <w:tc>
          <w:tcPr>
            <w:tcW w:type="dxa" w:w="4706"/>
            <w:vAlign w:val="center"/>
          </w:tcPr>
          <w:p>
            <w:r/>
            <w:r>
              <w:rPr>
                <w:rFonts w:ascii="Times New Roman" w:hAnsi="Times New Roman" w:eastAsia="宋体"/>
                <w:b w:val="0"/>
                <w:sz w:val="17"/>
              </w:rPr>
              <w:t>9</w:t>
            </w:r>
          </w:p>
        </w:tc>
        <w:tc>
          <w:tcPr>
            <w:tcW w:type="dxa" w:w="4706"/>
            <w:vAlign w:val="center"/>
          </w:tcPr>
          <w:p>
            <w:r/>
            <w:r>
              <w:rPr>
                <w:rFonts w:ascii="Times New Roman" w:hAnsi="Times New Roman" w:eastAsia="宋体"/>
                <w:b w:val="0"/>
                <w:sz w:val="17"/>
              </w:rPr>
              <w:t>初始化S≤ftarrow A_t；当|S|&lt;k_t时，逐个计算i∈mathcal R_tsetminus S的边际增益F_t(S∪i )-F_t(S)。</w:t>
            </w:r>
          </w:p>
        </w:tc>
      </w:tr>
      <w:tr>
        <w:tc>
          <w:tcPr>
            <w:tcW w:type="dxa" w:w="4706"/>
            <w:vAlign w:val="center"/>
          </w:tcPr>
          <w:p>
            <w:r/>
            <w:r>
              <w:rPr>
                <w:rFonts w:ascii="Times New Roman" w:hAnsi="Times New Roman" w:eastAsia="宋体"/>
                <w:b w:val="0"/>
                <w:sz w:val="17"/>
              </w:rPr>
              <w:t>10</w:t>
            </w:r>
          </w:p>
        </w:tc>
        <w:tc>
          <w:tcPr>
            <w:tcW w:type="dxa" w:w="4706"/>
            <w:vAlign w:val="center"/>
          </w:tcPr>
          <w:p>
            <w:r/>
            <w:r>
              <w:rPr>
                <w:rFonts w:ascii="Times New Roman" w:hAnsi="Times New Roman" w:eastAsia="宋体"/>
                <w:b w:val="0"/>
                <w:sz w:val="17"/>
              </w:rPr>
              <w:t>加入边际增益最大的候选，重复步骤9直至|S|=k_t。</w:t>
            </w:r>
          </w:p>
        </w:tc>
      </w:tr>
      <w:tr>
        <w:tc>
          <w:tcPr>
            <w:tcW w:type="dxa" w:w="4706"/>
            <w:vAlign w:val="center"/>
          </w:tcPr>
          <w:p>
            <w:r/>
            <w:r>
              <w:rPr>
                <w:rFonts w:ascii="Times New Roman" w:hAnsi="Times New Roman" w:eastAsia="宋体"/>
                <w:b w:val="0"/>
                <w:sz w:val="17"/>
              </w:rPr>
              <w:t>11</w:t>
            </w:r>
          </w:p>
        </w:tc>
        <w:tc>
          <w:tcPr>
            <w:tcW w:type="dxa" w:w="4706"/>
            <w:vAlign w:val="center"/>
          </w:tcPr>
          <w:p>
            <w:r/>
            <w:r>
              <w:rPr>
                <w:rFonts w:ascii="Times New Roman" w:hAnsi="Times New Roman" w:eastAsia="宋体"/>
                <w:b w:val="0"/>
                <w:sz w:val="17"/>
              </w:rPr>
              <w:t>按“锚点原顺序+补全选择顺序”返回S_t^star；其余候选保持在后缀且不加入当前LP。</w:t>
            </w:r>
          </w:p>
        </w:tc>
      </w:tr>
    </w:tbl>
    <w:p>
      <w:pPr>
        <w:pStyle w:val="Heading2"/>
      </w:pPr>
      <w:r>
        <w:t>强化学习训练与精确求解接口</w:t>
      </w:r>
    </w:p>
    <w:p>
      <w:pPr>
        <w:pStyle w:val="BodyText"/>
        <w:spacing w:after="60" w:line="288" w:lineRule="auto"/>
        <w:ind w:firstLine="420"/>
      </w:pPr>
      <w:r>
        <w:t>一次SCIP限时求解构成一条rollout，终端代价为该求解的PDI。当前策略在每个满足条件的割选择回调中执行；训练记录该rollout首次有效候选集上的高层比例和低层随机序列，并把完整求解的PDI反馈给两层策略。以R=-PDI写成回报后，低层采用</w:t>
      </w:r>
    </w:p>
    <w:p>
      <w:pPr>
        <w:keepNext w:val="0"/>
        <w:jc w:val="center"/>
      </w:pPr>
      <w:r>
        <w:drawing>
          <wp:inline xmlns:a="http://schemas.openxmlformats.org/drawingml/2006/main" xmlns:pic="http://schemas.openxmlformats.org/drawingml/2006/picture">
            <wp:extent cx="3465576" cy="740664"/>
            <wp:docPr id="33" name="Picture 33" descr="公式 30" title="公式 30"/>
            <wp:cNvGraphicFramePr>
              <a:graphicFrameLocks noChangeAspect="1"/>
            </wp:cNvGraphicFramePr>
            <a:graphic>
              <a:graphicData uri="http://schemas.openxmlformats.org/drawingml/2006/picture">
                <pic:pic>
                  <pic:nvPicPr>
                    <pic:cNvPr id="0" name="equation_30.png"/>
                    <pic:cNvPicPr/>
                  </pic:nvPicPr>
                  <pic:blipFill>
                    <a:blip r:embed="rId42"/>
                    <a:stretch>
                      <a:fillRect/>
                    </a:stretch>
                  </pic:blipFill>
                  <pic:spPr>
                    <a:xfrm>
                      <a:off x="0" y="0"/>
                      <a:ext cx="3465576" cy="740664"/>
                    </a:xfrm>
                    <a:prstGeom prst="rect"/>
                  </pic:spPr>
                </pic:pic>
              </a:graphicData>
            </a:graphic>
          </wp:inline>
        </w:drawing>
      </w:r>
    </w:p>
    <w:p>
      <w:pPr>
        <w:pStyle w:val="BodyText"/>
        <w:spacing w:after="60" w:line="288" w:lineRule="auto"/>
        <w:ind w:firstLine="420"/>
      </w:pPr>
      <w:r>
        <w:t>公式 （30）表示带指数移动平均基线的批量REINFORCE估计；B为rollout批量，τ_b为第b条被记录的割序列。代码等价地最小化以PDI为代价的优势加权对数概率，并按序列长度平均低层对数概率，防止长割序列仅因项数更多而产生过大梯度。高层使用相同PDI代价和独立EMA基线，每两个epoch更新一次；两层梯度范数均截断为2。该实现借鉴A3C以并行环境降低样本相关性的思想，但参数更新由中央学习器在收齐批数据后同步完成，算法本身是并行层次REINFORCE而不是异步演员–评论家（Williams(1992)；Mnih et al. (2016)）。</w:t>
      </w:r>
    </w:p>
    <w:p>
      <w:pPr>
        <w:pStyle w:val="BodyText"/>
        <w:spacing w:after="60" w:line="288" w:lineRule="auto"/>
        <w:ind w:firstLine="420"/>
      </w:pPr>
      <w:r>
        <w:t>训练集含五个实例和五个随机种子。每个种子使用两个worker，每个worker每个epoch完成四条30 s/1024 MB rollout，合计八条，训练60个epoch；低层和高层Adam初始学习率分别为10^-4和5×10^-4，每10个epoch乘0.96。训练使用随机解码，正式推理使用宽度3的束搜索。每个方法–种子组合固定使用epoch 60参数，不利用基准集或测试集选择checkpoint；13维HEM、23维仅特征和23维完整方法分别训练，避免把不同输入含义或补全环境的权重混用。</w:t>
      </w:r>
    </w:p>
    <w:p>
      <w:pPr>
        <w:pStyle w:val="BodyText"/>
        <w:spacing w:after="60" w:line="288" w:lineRule="auto"/>
        <w:ind w:firstLine="420"/>
      </w:pPr>
      <w:r>
        <w:t>RDMCT-HBS只排序并选择SCIP已生成的有效割，SPBS只提交经完整模型检查的可行解；二者均不改变目标、约束、整数性或界逻辑。因此，学习模块影响的是搜索路径和限时内上下界收敛速度，而可行性和最优性仍具有与默认SCIP相同的含义。</w:t>
      </w:r>
    </w:p>
    <w:p>
      <w:pPr>
        <w:pStyle w:val="Heading1"/>
      </w:pPr>
      <w:r>
        <w:t>计算结果与分析</w:t>
      </w:r>
    </w:p>
    <w:p>
      <w:pPr>
        <w:pStyle w:val="Heading2"/>
      </w:pPr>
      <w:r>
        <w:t>实验设计与指标</w:t>
      </w:r>
    </w:p>
    <w:p>
      <w:pPr>
        <w:pStyle w:val="BodyText"/>
        <w:spacing w:after="60" w:line="288" w:lineRule="auto"/>
        <w:ind w:firstLine="420"/>
      </w:pPr>
      <w:r>
        <w:t>正式证据矩阵由七组互补实验构成：4次小规模精确求解核查模型实现的一致性；2700次标称实验比较20个制造实例上的七种求解配置，其中150次构成相同晶圆数的精确工艺模式比较；960次配对实验评价预计算SPBS输入；1500次实验比较三种相同总预算工作流；300次析因实验识别规模、混流构成和加工尺度与难度的关联；80次单因素实验检查参数扰动下的可运行性；729次分布偏移实验检查40–64片批次的可行排程交付。六组正式benchmark共6269次，加上4次精确核查共6273次；其中保存的6041个incumbent均通过SCIP检查及针对同一序列化MILP的独立后处理验解，未发现无效排程。</w:t>
      </w:r>
    </w:p>
    <w:p>
      <w:pPr>
        <w:pStyle w:val="BodyText"/>
        <w:spacing w:after="60" w:line="288" w:lineRule="auto"/>
        <w:ind w:firstLine="420"/>
      </w:pPr>
      <w:r>
        <w:t>实验统一冻结MILP、SCIP版本、实例和随机种子，并在每个比较族内使用相同时间与内存限制。主指标PDI为归一化原始–对偶gap在共同时间窗[0,T]上的积分，PDI=∈t_0^Tg(t) ,mathrm dt，越低表示越早缩小界差。PDI为0要求gap在几乎整个计时窗内为0；终点gap为0只表示运行结束时证明最优，不能推出PDI为0。制造实例是推断单位：先在实例内聚合随机重复，再对配对实例差异计算非参数95% bootstrap区间和Wilcoxon符号秩检验，并在预设分析族内作Holm校正（Gleixner et al. (2021)）。限时运行保留在汇总中，避免把随机种子误当成独立制造证据。完整环境、预算、容差、实例清单和超参数见补充材料。</w:t>
      </w:r>
    </w:p>
    <w:p>
      <w:pPr>
        <w:pStyle w:val="Heading2"/>
      </w:pPr>
      <w:r>
        <w:t>工艺模式与两阶段运行价值</w:t>
      </w:r>
    </w:p>
    <w:p>
      <w:pPr>
        <w:pStyle w:val="BodyText"/>
        <w:spacing w:after="60" w:line="288" w:lineRule="auto"/>
        <w:ind w:firstLine="420"/>
      </w:pPr>
      <w:r>
        <w:t>多空间CT的稳态研究通常以周期或吞吐率评价设备效率（Gu et al. (2024)）。为对应本文的有限批次场景，本实验同时报告精确最大完工时间和由其换算的等效吞吐率。</w:t>
      </w:r>
    </w:p>
    <w:p>
      <w:pPr>
        <w:pStyle w:val="BodyText"/>
        <w:spacing w:after="60" w:line="288" w:lineRule="auto"/>
        <w:ind w:firstLine="420"/>
      </w:pPr>
      <w:r>
        <w:t>图 4在相同拓扑、搬运/清洗参数、加工尺度和600 s预算下，对8片和16片批次分别比较纯4×1、纯2×2和1:1混跑。六个构型均达到零终止gap；每个构型由5个求解器种子与5个训练种子的25次重复确认。</w:t>
      </w:r>
    </w:p>
    <w:p>
      <w:pPr>
        <w:keepNext/>
        <w:jc w:val="center"/>
      </w:pPr>
      <w:r>
        <w:drawing>
          <wp:inline xmlns:a="http://schemas.openxmlformats.org/drawingml/2006/main" xmlns:pic="http://schemas.openxmlformats.org/drawingml/2006/picture">
            <wp:extent cx="2993136" cy="4056888"/>
            <wp:docPr id="34" name="Picture 34" descr="图 4" title="图 4"/>
            <wp:cNvGraphicFramePr>
              <a:graphicFrameLocks noChangeAspect="1"/>
            </wp:cNvGraphicFramePr>
            <a:graphic>
              <a:graphicData uri="http://schemas.openxmlformats.org/drawingml/2006/picture">
                <pic:pic>
                  <pic:nvPicPr>
                    <pic:cNvPr id="0" name="figure_04.png"/>
                    <pic:cNvPicPr/>
                  </pic:nvPicPr>
                  <pic:blipFill>
                    <a:blip r:embed="rId43"/>
                    <a:stretch>
                      <a:fillRect/>
                    </a:stretch>
                  </pic:blipFill>
                  <pic:spPr>
                    <a:xfrm>
                      <a:off x="0" y="0"/>
                      <a:ext cx="2993136" cy="4056888"/>
                    </a:xfrm>
                    <a:prstGeom prst="rect"/>
                  </pic:spPr>
                </pic:pic>
              </a:graphicData>
            </a:graphic>
          </wp:inline>
        </w:drawing>
      </w:r>
    </w:p>
    <w:p>
      <w:pPr>
        <w:pStyle w:val="Caption"/>
        <w:jc w:val="center"/>
      </w:pPr>
      <w:r>
        <w:t>图 4. 相同晶圆数下的工艺模式效率。a，精确最优C_max；b，等效吞吐率3600n/C_max；c，纯2×2和混跑相对纯4×1的完工时间增幅。每点为25次精确重复，总计150次；图中标注具体数值。</w:t>
      </w:r>
    </w:p>
    <w:p>
      <w:pPr>
        <w:pStyle w:val="BodyText"/>
        <w:spacing w:after="60" w:line="288" w:lineRule="auto"/>
        <w:ind w:firstLine="420"/>
      </w:pPr>
      <w:r>
        <w:t>8片时三种模式的C_max为610、768和834 s，吞吐率为47.21、37.50和34.53片/h；16片时相应数值为944、1136和1170 s，以及61.02、50.70和49.23片/h。结果表明，在配方不强制指定模式且单次加工时间相同的8片和16片批次中，纯4×1均取得最短最大完工时间和最高等效吞吐率。</w:t>
      </w:r>
    </w:p>
    <w:p>
      <w:pPr>
        <w:pStyle w:val="BodyText"/>
        <w:spacing w:after="60" w:line="288" w:lineRule="auto"/>
        <w:ind w:firstLine="420"/>
      </w:pPr>
      <w:r>
        <w:t>等待时间约束会进一步影响制造系统的产出和控制表现（Lee et al. (2018)）。同为600 s总预算时，完整两阶段工作流采用540 s主求解加至多60 s精修，单阶段对照将600 s全部用于主求解。图 5显示，两阶段工作流的路线总等待、最大等待、节拍变异系数和节拍偏差分别降低51.91%、68.89%、39.70%和94.05%，四项实例级配对差异经Holm校正后均显著，表明两阶段工作流能够在相同总预算下明显改善排程等待与节拍质量。</w:t>
      </w:r>
    </w:p>
    <w:p>
      <w:pPr>
        <w:pStyle w:val="BodyText"/>
        <w:spacing w:after="60" w:line="288" w:lineRule="auto"/>
        <w:ind w:firstLine="420"/>
      </w:pPr>
      <w:r>
        <w:t>二次目标对照与完整线性精修均使用540+至多60 s。线性精修的节拍偏差为22.04，较二次目标的60.18降低63.38%，该配对差异经Holm校正后显著（p=0.0377）；路线总等待、最大等待和节拍变异系数整体接近。结果表明，线性精修在相同预算下能够获得更规则的加工节拍。</w:t>
      </w:r>
    </w:p>
    <w:p>
      <w:pPr>
        <w:keepNext/>
        <w:jc w:val="center"/>
      </w:pPr>
      <w:r>
        <w:drawing>
          <wp:inline xmlns:a="http://schemas.openxmlformats.org/drawingml/2006/main" xmlns:pic="http://schemas.openxmlformats.org/drawingml/2006/picture">
            <wp:extent cx="2816352" cy="3084576"/>
            <wp:docPr id="35" name="Picture 35" descr="图 5" title="图 5"/>
            <wp:cNvGraphicFramePr>
              <a:graphicFrameLocks noChangeAspect="1"/>
            </wp:cNvGraphicFramePr>
            <a:graphic>
              <a:graphicData uri="http://schemas.openxmlformats.org/drawingml/2006/picture">
                <pic:pic>
                  <pic:nvPicPr>
                    <pic:cNvPr id="0" name="figure_05.png"/>
                    <pic:cNvPicPr/>
                  </pic:nvPicPr>
                  <pic:blipFill>
                    <a:blip r:embed="rId44"/>
                    <a:stretch>
                      <a:fillRect/>
                    </a:stretch>
                  </pic:blipFill>
                  <pic:spPr>
                    <a:xfrm>
                      <a:off x="0" y="0"/>
                      <a:ext cx="2816352" cy="3084576"/>
                    </a:xfrm>
                    <a:prstGeom prst="rect"/>
                  </pic:spPr>
                </pic:pic>
              </a:graphicData>
            </a:graphic>
          </wp:inline>
        </w:drawing>
      </w:r>
    </w:p>
    <w:p>
      <w:pPr>
        <w:pStyle w:val="Caption"/>
        <w:jc w:val="center"/>
      </w:pPr>
      <w:r>
        <w:t>图 5. 相同600 s总预算下的最终排程质量。a–d依次为路线总等待、路线最大等待、节拍变异系数和节拍偏差；共1500次运行，柱顶标注观察均值。</w:t>
      </w:r>
    </w:p>
    <w:p>
      <w:pPr>
        <w:pStyle w:val="Heading2"/>
      </w:pPr>
      <w:r>
        <w:t>SPBS与结构感知割选择</w:t>
      </w:r>
    </w:p>
    <w:p>
      <w:pPr>
        <w:pStyle w:val="BodyText"/>
        <w:spacing w:after="60" w:line="288" w:lineRule="auto"/>
        <w:ind w:firstLine="420"/>
      </w:pPr>
      <w:r>
        <w:t>预计算SPBS的配对实验包含48个实例、每个实例10个配对种子。相对无初始解条件，SPBS将限时内incumbent获得率由51.67%提高至100%，增加48.33个百分点（95%区间[34.58,62.29]）；平均PDI由27473.05降至20278.78，降低7194.27或26.19%（95%区间[5145.78,9317.61]）。两项配对差异经Holm校正后仍显著（p=2.55×10^-5和p=3.46×10^-8）。结果表明，SPBS能够显著提高限时内完整可行排程的获得率，并改善原始–对偶搜索效率。</w:t>
      </w:r>
    </w:p>
    <w:p>
      <w:pPr>
        <w:keepNext/>
        <w:jc w:val="center"/>
      </w:pPr>
      <w:r>
        <w:drawing>
          <wp:inline xmlns:a="http://schemas.openxmlformats.org/drawingml/2006/main" xmlns:pic="http://schemas.openxmlformats.org/drawingml/2006/picture">
            <wp:extent cx="2816352" cy="2660904"/>
            <wp:docPr id="36" name="Picture 36" descr="图 6" title="图 6"/>
            <wp:cNvGraphicFramePr>
              <a:graphicFrameLocks noChangeAspect="1"/>
            </wp:cNvGraphicFramePr>
            <a:graphic>
              <a:graphicData uri="http://schemas.openxmlformats.org/drawingml/2006/picture">
                <pic:pic>
                  <pic:nvPicPr>
                    <pic:cNvPr id="0" name="figure_06.png"/>
                    <pic:cNvPicPr/>
                  </pic:nvPicPr>
                  <pic:blipFill>
                    <a:blip r:embed="rId45"/>
                    <a:stretch>
                      <a:fillRect/>
                    </a:stretch>
                  </pic:blipFill>
                  <pic:spPr>
                    <a:xfrm>
                      <a:off x="0" y="0"/>
                      <a:ext cx="2816352" cy="2660904"/>
                    </a:xfrm>
                    <a:prstGeom prst="rect"/>
                  </pic:spPr>
                </pic:pic>
              </a:graphicData>
            </a:graphic>
          </wp:inline>
        </w:drawing>
      </w:r>
    </w:p>
    <w:p>
      <w:pPr>
        <w:pStyle w:val="Caption"/>
        <w:jc w:val="center"/>
      </w:pPr>
      <w:r>
        <w:t>图 6. 预计算SPBS对原始搜索的影响。a，可行incumbent获得率；b，平均PDI；每个条件n=480，图中标注观察值。</w:t>
      </w:r>
    </w:p>
    <w:p>
      <w:pPr>
        <w:pStyle w:val="BodyText"/>
        <w:spacing w:after="60" w:line="288" w:lineRule="auto"/>
        <w:ind w:firstLine="420"/>
      </w:pPr>
      <w:r>
        <w:t>在所有策略共享同一SPBS的2700次标称比较中，HEM-13D作为直接基线，RDMCT-HBS与其使用相同训练实例、随机种子、候选上限、隐藏维数和求解预算。相对HEM-13D，RDMCT-HBS的平均PDI由16823.18降至16585.70，降低1.41%；平均求解时间由219.65 s降至218.32 s，降低0.61%；平均终止gap由127.24%降至126.01%，降低0.97%；证明最优率由62.4%提高到63.2%，增加0.80个百分点。其500次运行全部获得可行解（图 7）。其余五种配置用于给出默认求解、替代选择与模块消融背景；从13维表示到23维角色表示产生最大的均值改善，角色补全与束解码进一步形成完整方法。</w:t>
      </w:r>
    </w:p>
    <w:p>
      <w:pPr>
        <w:keepNext/>
        <w:jc w:val="center"/>
      </w:pPr>
      <w:r>
        <w:drawing>
          <wp:inline xmlns:a="http://schemas.openxmlformats.org/drawingml/2006/main" xmlns:pic="http://schemas.openxmlformats.org/drawingml/2006/picture">
            <wp:extent cx="2471928" cy="5602224"/>
            <wp:docPr id="37" name="Picture 37" descr="图 7" title="图 7"/>
            <wp:cNvGraphicFramePr>
              <a:graphicFrameLocks noChangeAspect="1"/>
            </wp:cNvGraphicFramePr>
            <a:graphic>
              <a:graphicData uri="http://schemas.openxmlformats.org/drawingml/2006/picture">
                <pic:pic>
                  <pic:nvPicPr>
                    <pic:cNvPr id="0" name="figure_07.png"/>
                    <pic:cNvPicPr/>
                  </pic:nvPicPr>
                  <pic:blipFill>
                    <a:blip r:embed="rId46"/>
                    <a:stretch>
                      <a:fillRect/>
                    </a:stretch>
                  </pic:blipFill>
                  <pic:spPr>
                    <a:xfrm>
                      <a:off x="0" y="0"/>
                      <a:ext cx="2471928" cy="5602224"/>
                    </a:xfrm>
                    <a:prstGeom prst="rect"/>
                  </pic:spPr>
                </pic:pic>
              </a:graphicData>
            </a:graphic>
          </wp:inline>
        </w:drawing>
      </w:r>
    </w:p>
    <w:p>
      <w:pPr>
        <w:pStyle w:val="Caption"/>
        <w:jc w:val="center"/>
      </w:pPr>
      <w:r>
        <w:t>图 7. 共同SPBS下七种求解指导配置的标称比较。HEM-13D为直接基线，RDMCT-HBS为主比较对象，其余五种方法提供默认求解、替代策略和模块消融背景。四个分面报告平均PDI、平均求解时间、平均终止gap和证明最优率，共2700次运行；图内直接标注相对HEM的改进幅度及各方法具体数值。黑色菱形表示RDMCT-HBS，带斜线背景的空心圆表示HEM基线。</w:t>
      </w:r>
    </w:p>
    <w:p>
      <w:pPr>
        <w:pStyle w:val="BodyText"/>
        <w:spacing w:after="60" w:line="288" w:lineRule="auto"/>
        <w:ind w:firstLine="420"/>
      </w:pPr>
      <w:r>
        <w:t>以HEM为直接基线，RDMCT-HBS在PDI、求解时间、终止gap和证明最优率四项指标上均取得改善；在全部七种配置中，其平均PDI和平均求解时间最低。结果表明，角色感知表示、策略锚定补全与束解码能够在保留HEM层次决策框架的同时改善有限时间搜索轨迹。</w:t>
      </w:r>
    </w:p>
    <w:p>
      <w:pPr>
        <w:pStyle w:val="Heading2"/>
      </w:pPr>
      <w:r>
        <w:t>规模、混流构成与求解难度</w:t>
      </w:r>
    </w:p>
    <w:p>
      <w:pPr>
        <w:pStyle w:val="BodyText"/>
        <w:spacing w:after="60" w:line="288" w:lineRule="auto"/>
        <w:ind w:firstLine="420"/>
      </w:pPr>
      <w:r>
        <w:t>析因设计包含4×5×3=60个晶圆数–配方构成–加工尺度单元，每个单元使用5个求解器种子，共300次运行。图 8显示明显的规模转折：8片和16片的75次运行均证明最优，平均PDI分别为28.13和1876.54，平均求解时间为0.34和33.86 s；24片和32片的证明最优率降至36%和20%，平均PDI升至31155.94和32959.89，平均求解时间升至408.55和433.20 s。</w:t>
      </w:r>
    </w:p>
    <w:p>
      <w:pPr>
        <w:pStyle w:val="BodyText"/>
        <w:spacing w:after="60" w:line="288" w:lineRule="auto"/>
        <w:ind w:firstLine="420"/>
      </w:pPr>
      <w:r>
        <w:t>预设PDI析因模型的R^2=0.998。在1:1混跑条件下，24片和32片的附加交互系数分别为37729.48和40788.63，而加工尺度主效应及其预设交互项的95%区间均包含0。因此，在所测0.9–1.1加工尺度范围内，求解难度主要由批次规模与混流构成的交互驱动，加工尺度的影响相对较小。</w:t>
      </w:r>
    </w:p>
    <w:p>
      <w:pPr>
        <w:keepNext/>
        <w:jc w:val="center"/>
      </w:pPr>
      <w:r>
        <w:drawing>
          <wp:inline xmlns:a="http://schemas.openxmlformats.org/drawingml/2006/main" xmlns:pic="http://schemas.openxmlformats.org/drawingml/2006/picture">
            <wp:extent cx="2343912" cy="3535680"/>
            <wp:docPr id="38" name="Picture 38" descr="图 8" title="图 8"/>
            <wp:cNvGraphicFramePr>
              <a:graphicFrameLocks noChangeAspect="1"/>
            </wp:cNvGraphicFramePr>
            <a:graphic>
              <a:graphicData uri="http://schemas.openxmlformats.org/drawingml/2006/picture">
                <pic:pic>
                  <pic:nvPicPr>
                    <pic:cNvPr id="0" name="figure_08.png"/>
                    <pic:cNvPicPr/>
                  </pic:nvPicPr>
                  <pic:blipFill>
                    <a:blip r:embed="rId47"/>
                    <a:stretch>
                      <a:fillRect/>
                    </a:stretch>
                  </pic:blipFill>
                  <pic:spPr>
                    <a:xfrm>
                      <a:off x="0" y="0"/>
                      <a:ext cx="2343912" cy="3535680"/>
                    </a:xfrm>
                    <a:prstGeom prst="rect"/>
                  </pic:spPr>
                </pic:pic>
              </a:graphicData>
            </a:graphic>
          </wp:inline>
        </w:drawing>
      </w:r>
    </w:p>
    <w:p>
      <w:pPr>
        <w:pStyle w:val="Caption"/>
        <w:jc w:val="center"/>
      </w:pPr>
      <w:r>
        <w:t>图 8. 300次析因实验中的规模转折。a，平均PDI；b，证明最优率；c，平均求解时间。每个规模含75次运行，图中标注观察值。</w:t>
      </w:r>
    </w:p>
    <w:p>
      <w:pPr>
        <w:pStyle w:val="Heading2"/>
      </w:pPr>
      <w:r>
        <w:t>参数扰动下的可运行性</w:t>
      </w:r>
    </w:p>
    <w:p>
      <w:pPr>
        <w:pStyle w:val="BodyText"/>
        <w:spacing w:after="60" w:line="288" w:lineRule="auto"/>
        <w:ind w:firstLine="420"/>
      </w:pPr>
      <w:r>
        <w:t>既有研究表明，清洗动作及其触发条件会改变CT的机器人动作序列、周期时间和晶圆延迟（Yu and Lee(2020)；Li et al. (2022)）。据此，单因素敏感性实验覆盖搬运、加工、清洗间隔和真空区辅助晶圆库存的8个预设场景，共80次运行。全部运行均获得并验解可行排程，其中20次证明最优；场景平均PDI位于28899.41–42478.32之间。较长清洗间隔对应最低平均PDI，较慢搬运对应最高平均PDI，表明清洗频率和共享机械手搬运节拍会明显改变搜索难度；同时，框架在全部预设扰动场景下均稳定获得可行排程。</w:t>
      </w:r>
    </w:p>
    <w:p>
      <w:pPr>
        <w:pStyle w:val="Heading2"/>
      </w:pPr>
      <w:r>
        <w:t>分布偏移下的可行排程交付</w:t>
      </w:r>
    </w:p>
    <w:p>
      <w:pPr>
        <w:pStyle w:val="BodyText"/>
        <w:spacing w:after="60" w:line="288" w:lineRule="auto"/>
        <w:ind w:firstLine="420"/>
      </w:pPr>
      <w:r>
        <w:t>分布偏移测试把批次扩大到40–64片并改变混流组成，9个构型共形成729次运行。全部729次运行均返回通过SCIP和独立后处理检查的incumbent，说明所构建的SPBS–MILP–SCIP求解链路在更大规模和分布偏移条件下仍能稳定交付可验证排程。</w:t>
      </w:r>
    </w:p>
    <w:p>
      <w:pPr>
        <w:keepNext/>
        <w:jc w:val="center"/>
      </w:pPr>
      <w:r>
        <w:drawing>
          <wp:inline xmlns:a="http://schemas.openxmlformats.org/drawingml/2006/main" xmlns:pic="http://schemas.openxmlformats.org/drawingml/2006/picture">
            <wp:extent cx="3142488" cy="3429000"/>
            <wp:docPr id="39" name="Picture 39" descr="图 9" title="图 9"/>
            <wp:cNvGraphicFramePr>
              <a:graphicFrameLocks noChangeAspect="1"/>
            </wp:cNvGraphicFramePr>
            <a:graphic>
              <a:graphicData uri="http://schemas.openxmlformats.org/drawingml/2006/picture">
                <pic:pic>
                  <pic:nvPicPr>
                    <pic:cNvPr id="0" name="figure_09.png"/>
                    <pic:cNvPicPr/>
                  </pic:nvPicPr>
                  <pic:blipFill>
                    <a:blip r:embed="rId48"/>
                    <a:stretch>
                      <a:fillRect/>
                    </a:stretch>
                  </pic:blipFill>
                  <pic:spPr>
                    <a:xfrm>
                      <a:off x="0" y="0"/>
                      <a:ext cx="3142488" cy="3429000"/>
                    </a:xfrm>
                    <a:prstGeom prst="rect"/>
                  </pic:spPr>
                </pic:pic>
              </a:graphicData>
            </a:graphic>
          </wp:inline>
        </w:drawing>
      </w:r>
    </w:p>
    <w:p>
      <w:pPr>
        <w:pStyle w:val="Caption"/>
        <w:jc w:val="center"/>
      </w:pPr>
      <w:r>
        <w:t>图 9. 40–64片分布偏移实验。a，七种配置的实例优先平均PDI；b，平均终止gap。共729次运行，所有运行均获得经检查的可行排程，点旁标注具体数值。</w:t>
      </w:r>
    </w:p>
    <w:p>
      <w:pPr>
        <w:pStyle w:val="BodyText"/>
        <w:spacing w:after="60" w:line="288" w:lineRule="auto"/>
        <w:ind w:firstLine="420"/>
      </w:pPr>
      <w:r>
        <w:t>在分布偏移实验中，自适应割选择取得最低平均PDI（70915.54）和终止gap（160.78%）；RDMCT-HBS的相应数值为73919.15和170.02%，默认SCIP为73670.99和171.35%。不同方法在大规模实例上的排序发生变化，但共享SPBS–MILP–SCIP链路在全部729次运行中均稳定获得经检查的可行排程。</w:t>
      </w:r>
    </w:p>
    <w:p>
      <w:pPr>
        <w:pStyle w:val="Heading2"/>
      </w:pPr>
      <w:r>
        <w:t>工业解释与综合结论</w:t>
      </w:r>
    </w:p>
    <w:p>
      <w:pPr>
        <w:pStyle w:val="BodyText"/>
        <w:spacing w:after="60" w:line="288" w:lineRule="auto"/>
        <w:ind w:firstLine="420"/>
      </w:pPr>
      <w:r>
        <w:t>综合实验结果可得到三点工业结论：在配方未限定时，纯4×1在8片和16片批次中具有最高吞吐效率；两阶段工作流在相同总预算下能够显著改善等待与节拍质量；SPBS与结构感知割选择分别从原始可行解和限时搜索轨迹两侧提升求解性能。析因、敏感性和分布偏移实验进一步表明，批次规模与混流构成是求解难度的主要驱动因素，所构建框架能够在参数扰动和40–64片大规模实例上持续交付经检查的可行排程。</w:t>
      </w:r>
    </w:p>
    <w:p>
      <w:pPr>
        <w:pStyle w:val="Heading1"/>
      </w:pPr>
      <w:r>
        <w:t>结论</w:t>
      </w:r>
    </w:p>
    <w:p>
      <w:pPr>
        <w:pStyle w:val="BodyText"/>
        <w:spacing w:after="60" w:line="288" w:lineRule="auto"/>
        <w:ind w:firstLine="420"/>
      </w:pPr>
      <w:r>
        <w:t>本文面向双源旋转腔半导体组合设备，建立了统一描述4×1并行加工、2×2链式加工、可复用辅助晶圆、清洗和共享搬运的有限时域两阶段MILP，并进一步提出SPBS初始解和结构感知层次割选择方法RDMCT-HBS。模型以两片产品晶圆组成的PW对为最小调度单位，明确表达4×1的两个PW对同步加工一次和2×2的每个PW对在相邻周期加工两次。精确工艺模式比较表明，纯4×1在8片和16片批次中均取得最短最大完工时间和最高等效吞吐率。相同600 s总预算下，两阶段工作流使路线总等待、最大等待、节拍变异系数和节拍偏差分别降低51.91%、68.89%、39.70%和94.05%。SPBS将限时可行解率由51.67%提高到100%，并使平均PDI降低26.19%；相对直接基线HEM-13D，RDMCT-HBS的PDI、求解时间和终止gap分别降低1.41%、0.61%和0.97%，证明最优率提高0.80个百分点。析因实验显示，批次规模与混流构成的交互是求解难度的主要驱动因素；在40–64片分布偏移测试中，729次运行均获得经检查的可行排程。</w:t>
      </w:r>
    </w:p>
    <w:p>
      <w:pPr>
        <w:pStyle w:val="BodyText"/>
        <w:spacing w:after="60" w:line="288" w:lineRule="auto"/>
        <w:ind w:firstLine="420"/>
      </w:pPr>
      <w:r>
        <w:t>上述结果表明，将设备结构同时嵌入MILP建模、两阶段运行质量优化、原始初始解构造和割选择，可以兼顾制造排程质量与有限时间精确搜索效率。后续工作将进一步研究随机到达、设备扰动和在线重调度，并评估SPBS构造、滚动优化与产线级部署的整体收益。</w:t>
      </w:r>
    </w:p>
    <w:p>
      <w:pPr>
        <w:pStyle w:val="Heading1"/>
      </w:pPr>
      <w:r>
        <w:t>CRediT作者贡献声明</w:t>
      </w:r>
    </w:p>
    <w:p>
      <w:pPr>
        <w:pStyle w:val="BodyText"/>
        <w:spacing w:after="60" w:line="288" w:lineRule="auto"/>
        <w:ind w:firstLine="420"/>
      </w:pPr>
      <w:r>
        <w:t>魏林聪负责概念设计、方法设计、软件实现、验证、形式分析、研究实施、数据管理、可视化、初稿撰写以及审阅与编辑；邵立珍负责概念设计、方法设计、形式分析、验证、审阅与编辑以及项目管理；王蔚负责形式分析、研究实施、审阅与编辑以及监督指导。全体作者审阅并批准最终稿。</w:t>
      </w:r>
    </w:p>
    <w:p>
      <w:pPr>
        <w:pStyle w:val="Heading1"/>
      </w:pPr>
      <w:r>
        <w:t>利益冲突声明</w:t>
      </w:r>
    </w:p>
    <w:p>
      <w:pPr>
        <w:pStyle w:val="BodyText"/>
        <w:spacing w:after="60" w:line="288" w:lineRule="auto"/>
        <w:ind w:firstLine="420"/>
      </w:pPr>
      <w:r>
        <w:t>作者声明不存在可能影响本文工作的已知财务利益或个人关系。</w:t>
      </w:r>
    </w:p>
    <w:p>
      <w:pPr>
        <w:pStyle w:val="Heading1"/>
      </w:pPr>
      <w:r>
        <w:t>数据与代码可用性</w:t>
      </w:r>
    </w:p>
    <w:p>
      <w:pPr>
        <w:pStyle w:val="BodyText"/>
        <w:spacing w:after="60" w:line="288" w:lineRule="auto"/>
        <w:ind w:firstLine="420"/>
      </w:pPr>
      <w:r>
        <w:t>支撑本文结果的数据、数学实例、训练模型和源代码可向通信作者合理申请。正式发表版 将给出永久公共归档地址。</w:t>
      </w:r>
    </w:p>
    <w:p>
      <w:pPr>
        <w:pStyle w:val="Heading1"/>
      </w:pPr>
      <w:r>
        <w:t>稿件准备过程中生成式AI和AI辅助技术的声明</w:t>
      </w:r>
    </w:p>
    <w:p>
      <w:pPr>
        <w:pStyle w:val="BodyText"/>
        <w:spacing w:after="60" w:line="288" w:lineRule="auto"/>
        <w:ind w:firstLine="420"/>
      </w:pPr>
      <w:r>
        <w:t>在本稿准备过程中，作者使用OpenAI ChatGPT和Codex改进语言和可读性、检查LaTeX一致性并辅助软件调试。使用上述工具后，作者按需要审阅和编辑相关内容，并对出版物的全部内容承担责任。</w:t>
      </w:r>
    </w:p>
    <w:p>
      <w:pPr>
        <w:pStyle w:val="BodyText"/>
        <w:spacing w:after="60" w:line="288" w:lineRule="auto"/>
        <w:ind w:firstLine="420"/>
      </w:pPr>
      <w:r>
        <w:t>0pt</w:t>
      </w:r>
    </w:p>
    <w:p>
      <w:pPr>
        <w:pStyle w:val="Heading1"/>
      </w:pPr>
      <w:r>
        <w:t>参考文献</w:t>
      </w:r>
    </w:p>
    <w:p>
      <w:pPr>
        <w:pStyle w:val="BodyText"/>
        <w:spacing w:after="60"/>
        <w:ind w:left="420" w:hanging="420"/>
      </w:pPr>
      <w:r>
        <w:t>authorPan, C.R., authorZhou, M.C., authorQiao, Y., authorWu, N.Q., year2018. titleScheduling cluster tools in semiconductor manufacturing: Recent advances and challenges. journalIEEE Transactions on Automation Science and Engineering volume15, number2, pages586–601. : 10.1109/TASE.2016.2642997.</w:t>
      </w:r>
    </w:p>
    <w:p>
      <w:pPr>
        <w:pStyle w:val="BodyText"/>
        <w:spacing w:after="60"/>
        <w:ind w:left="420" w:hanging="420"/>
      </w:pPr>
      <w:r>
        <w:t>authorGu, L., authorWu, N., authorQiao, Y., authorZhang, S., authorLi, T., year2024. titleScheduling cluster tools with multi-space process modules and a multi-finger-arm robot in wafer fabrication subject to wafer residency time constraints. journalApplied Sciences volume14, pages9490. : 10.3390/app14209490.</w:t>
      </w:r>
    </w:p>
    <w:p>
      <w:pPr>
        <w:pStyle w:val="BodyText"/>
        <w:spacing w:after="60"/>
        <w:ind w:left="420" w:hanging="420"/>
      </w:pPr>
      <w:r>
        <w:t>authorAchterberg, T., year2009. titleSCIP: Solving constraint integer programs. journalMathematical Programming Computation volume1, pages1–41. : 10.1007/s12532-008-0001-1.</w:t>
      </w:r>
    </w:p>
    <w:p>
      <w:pPr>
        <w:pStyle w:val="BodyText"/>
        <w:spacing w:after="60"/>
        <w:ind w:left="420" w:hanging="420"/>
      </w:pPr>
      <w:r>
        <w:t>authorBestuzheva, K., authorBesancon, M., authorChen, W.K., authorChmiela, A., authorDonkiewicz, T., authorvan Doornmalen, J., authorEifler, L., authorGaul, O., authorGamrath, G., authorGleixner, A., authorGottwald, L., authorGraczyk, C., authorHalbig, K., authorHoen, A., authorHojny, C., authorvan der Hulst, R., authorKoch, T., authorL "ubbecke, M.E., authorMaher, S.J., authorMatter, F., authorM "uhmer, E., authorM "uller, B., authorPfetsch, M.E., authorSchl "osser, F., authorSerrano, F., authorShinano, Y., authorSofranac, B., authorTurner, M., authorVigerske, S., authorWegscheider, F., authorWellner, P., authorWeninger, D., authorWitzig, J., year2023. titleEnabling research through the SCIP optimization suite 8.0. journalACM Transactions on Mathematical Software volume49, pages22:1–22:21. : 10.1145/3585516.</w:t>
      </w:r>
    </w:p>
    <w:p>
      <w:pPr>
        <w:pStyle w:val="BodyText"/>
        <w:spacing w:after="60"/>
        <w:ind w:left="420" w:hanging="420"/>
      </w:pPr>
      <w:r>
        <w:t>authorChoo, J., authorKwon, Y.D., authorKim, J., authorJae, J., authorHottung, A., authorTierney, K., authorGwon, Y., year2022. titleSimulation-guided beam search for neural combinatorial optimization, in: booktitleAdvances in Neural Information Processing Systems. https://papers.nips.cc/paper_files/paper/2022/hash/39b9b60f0d149eabd1fff2d7c7d5afc4-Abstract-Conference.html, : 10.52202/068431-0637.</w:t>
      </w:r>
    </w:p>
    <w:p>
      <w:pPr>
        <w:pStyle w:val="BodyText"/>
        <w:spacing w:after="60"/>
        <w:ind w:left="420" w:hanging="420"/>
      </w:pPr>
      <w:r>
        <w:t>authorGleixner, A., authorHendel, G., authorGamrath, G., authorAchterberg, T., authorBastubbe, M., authorBerthold, T., authorChristophel, P., authorJarck, K., authorKoch, T., authorLinderoth, J., authorLubbecke, M.E., authorMittelmann, H.D., authorOzyurt, D., authorRalphs, T.K., authorSalvagnin, D., authorShinano, Y., year2021. titleMIPLIB 2017: Data-driven compilation of the 6th mixed-integer programming library. journalMathematical Programming Computation volume13, pages443–490. : 10.1007/s12532-020-00194-3.</w:t>
      </w:r>
    </w:p>
    <w:p>
      <w:pPr>
        <w:pStyle w:val="BodyText"/>
        <w:spacing w:after="60"/>
        <w:ind w:left="420" w:hanging="420"/>
      </w:pPr>
      <w:r>
        <w:t>authorGu, L., authorWu, N., authorQiao, Y., authorZhang, S., year2024. titleScheduling of Multi-finger-robotic Cluster Tools with Multi-space Process Modules, in: booktitle2024 International Conference on Networking, Sensing and Control (ICNSC), publisherIEEE. : 10.1109/ICNSC62968.2024.10760109.</w:t>
      </w:r>
    </w:p>
    <w:p>
      <w:pPr>
        <w:pStyle w:val="BodyText"/>
        <w:spacing w:after="60"/>
        <w:ind w:left="420" w:hanging="420"/>
      </w:pPr>
      <w:r>
        <w:t>authorHong, T.Y., authorHsu, C.Y., authorChen, C.L., year2026. titleSimulation-based deep reinforcement learning for process time optimization in semiconductor cluster tool and an empirical study. journalComputers &amp; Industrial Engineering volume211, pages111698. : 10.1016/j.cie.2025.111698.</w:t>
      </w:r>
    </w:p>
    <w:p>
      <w:pPr>
        <w:pStyle w:val="BodyText"/>
        <w:spacing w:after="60"/>
        <w:ind w:left="420" w:hanging="420"/>
      </w:pPr>
      <w:r>
        <w:t>authorHuang, Z., authorWang, K., authorLiu, F., authorZhen, H.L., authorZhang, W., authorYuan, M., authorHao, J., authorYu, Y., authorWang, J., year2022. titleLearning to select cuts for efficient mixed-integer programming. journalPattern Recognition volume123, pages108353. : 10.1016/j.patcog.2021.108353.</w:t>
      </w:r>
    </w:p>
    <w:p>
      <w:pPr>
        <w:pStyle w:val="BodyText"/>
        <w:spacing w:after="60"/>
        <w:ind w:left="420" w:hanging="420"/>
      </w:pPr>
      <w:r>
        <w:t>authorKim, H., authorKim, H.J., authorLee, J.H., authorLee, T.E., year2013. titleScheduling dual-armed cluster tools with cleaning processes. journalInternational Journal of Production Research volume51, pages3671–3687. : 10.1080/00207543.2012.758392.</w:t>
      </w:r>
    </w:p>
    <w:p>
      <w:pPr>
        <w:pStyle w:val="BodyText"/>
        <w:spacing w:after="60"/>
        <w:ind w:left="420" w:hanging="420"/>
      </w:pPr>
      <w:r>
        <w:t>authorKim, H.J., authorLee, J.H., year2025. titleScheduling cluster tools for concurrent processing: Deep reinforcement learning with adaptive search. journalIEEE Transactions on Automation Science and Engineering volume22, pages3783–3796. : 10.1109/TASE.2024.3399818.</w:t>
      </w:r>
    </w:p>
    <w:p>
      <w:pPr>
        <w:pStyle w:val="BodyText"/>
        <w:spacing w:after="60"/>
        <w:ind w:left="420" w:hanging="420"/>
      </w:pPr>
      <w:r>
        <w:t>authorLee, J.H., authorZhao, C., authorLi, J., authorPapadopoulos, C.T., year2018. titleAnalysis, design, and control of Bernoulli production lines with waiting time constraints. journalJournal of Manufacturing Systems volume46, pages208–220. : 10.1016/j.jmsy.2018.01.001.</w:t>
      </w:r>
    </w:p>
    <w:p>
      <w:pPr>
        <w:pStyle w:val="BodyText"/>
        <w:spacing w:after="60"/>
        <w:ind w:left="420" w:hanging="420"/>
      </w:pPr>
      <w:r>
        <w:t>authorLi, C., authorYang, F., authorZhen, L., year2022. titleEfficient scheduling approaches to time-constrained single-armed cluster tools with condition-based chamber cleaning operations. journalInternational Journal of Production Research volume60, pages3555–3568. : 10.1080/00207543.2021.1926568.</w:t>
      </w:r>
    </w:p>
    <w:p>
      <w:pPr>
        <w:pStyle w:val="BodyText"/>
        <w:spacing w:after="60"/>
        <w:ind w:left="420" w:hanging="420"/>
      </w:pPr>
      <w:r>
        <w:t>authorMnih, V., authorBadia, A.P., authorMirza, M., authorGraves, A., authorLillicrap, T.P., authorHarley, T., authorSilver, D., authorKavukcuoglu, K., year2016. titleAsynchronous methods for deep reinforcement learning, in: booktitleProceedings of the 33rd International Conference on Machine Learning, publisherPMLR. pp. pages1928–1937. https://proceedings.mlr.press/v48/mniha16.html.</w:t>
      </w:r>
    </w:p>
    <w:p>
      <w:pPr>
        <w:pStyle w:val="BodyText"/>
        <w:spacing w:after="60"/>
        <w:ind w:left="420" w:hanging="420"/>
      </w:pPr>
      <w:r>
        <w:t>authorNemhauser, G.L., authorWolsey, L.A., authorFisher, M.L., year1978. titleAn analysis of approximations for maximizing submodular set functions–-i. journalMathematical Programming volume14, pages265–294. : 10.1007/BF01588971.</w:t>
      </w:r>
    </w:p>
    <w:p>
      <w:pPr>
        <w:pStyle w:val="BodyText"/>
        <w:spacing w:after="60"/>
        <w:ind w:left="420" w:hanging="420"/>
      </w:pPr>
      <w:r>
        <w:t>authorPaulus, M.B., authorZarpellon, G., authorKrause, A., authorCharlin, L., authorMaddison, C., year2022. titleLearning to cut by looking ahead: Cutting plane selection via imitation learning, in: booktitleProceedings of the 39th International Conference on Machine Learning, publisherPMLR. pp. pages17584–17600. https://proceedings.mlr.press/v162/paulus22a.html.</w:t>
      </w:r>
    </w:p>
    <w:p>
      <w:pPr>
        <w:pStyle w:val="BodyText"/>
        <w:spacing w:after="60"/>
        <w:ind w:left="420" w:hanging="420"/>
      </w:pPr>
      <w:r>
        <w:t>authorPerkinson, T.L., authorMcLarty, P.K., authorGyurcsik, R.S., authorCavin, R.K., year1994. titleSingle-wafer cluster tool performance: An analysis of throughput. journalIEEE Transactions on Semiconductor Manufacturing volume7, pages369–373. : 10.1109/66.311340.</w:t>
      </w:r>
    </w:p>
    <w:p>
      <w:pPr>
        <w:pStyle w:val="BodyText"/>
        <w:spacing w:after="60"/>
        <w:ind w:left="420" w:hanging="420"/>
      </w:pPr>
      <w:r>
        <w:t>authorQiao, Y., authorWu, N.Q., authorZhou, M.C., year2012. titlePetri net modeling and wafer sojourn time analysis of single-arm cluster tools with residency time constraints and activity time variation. journalIEEE Transactions on Semiconductor Manufacturing volume25, pages432–446. : 10.1109/TSM.2012.2199338.</w:t>
      </w:r>
    </w:p>
    <w:p>
      <w:pPr>
        <w:pStyle w:val="BodyText"/>
        <w:spacing w:after="60"/>
        <w:ind w:left="420" w:hanging="420"/>
      </w:pPr>
      <w:r>
        <w:t>authorQiao, Y., authorWu, N., authorZhou, M.C., year2014. titleScheduling of dual-arm cluster tools with wafer revisiting and residency time constraints. journalIEEE Transactions on Industrial Informatics volume10, pages286–300. : 10.1109/TII.2013.2272702.</w:t>
      </w:r>
    </w:p>
    <w:p>
      <w:pPr>
        <w:pStyle w:val="BodyText"/>
        <w:spacing w:after="60"/>
        <w:ind w:left="420" w:hanging="420"/>
      </w:pPr>
      <w:r>
        <w:t>authorQiao, Y., authorLu, Y., authorLi, J., authorZhang, S., authorWu, N., authorLiu, B., year2022. titleAn efficient binary integer programming model for residency time-constrained cluster tools with chamber cleaning requirements. journalIEEE Transactions on Automation Science and Engineering volume19, pages1757–1771. : 10.1109/TASE.2021.3122576.</w:t>
      </w:r>
    </w:p>
    <w:p>
      <w:pPr>
        <w:pStyle w:val="BodyText"/>
        <w:spacing w:after="60"/>
        <w:ind w:left="420" w:hanging="420"/>
      </w:pPr>
      <w:r>
        <w:t>authorRostami, S., authorHamidzadeh, B., year2002. titleOptimal scheduling techniques for cluster tools with process-module and transport-module residency constraints. journalIEEE Transactions on Semiconductor Manufacturing volume15, pages341–349. : 10.1109/TSM.2002.801379.</w:t>
      </w:r>
    </w:p>
    <w:p>
      <w:pPr>
        <w:pStyle w:val="BodyText"/>
        <w:spacing w:after="60"/>
        <w:ind w:left="420" w:hanging="420"/>
      </w:pPr>
      <w:r>
        <w:t>authorTang, Y., authorAgrawal, S., authorFaenza, Y., year2020. titleReinforcement learning for integer programming: Learning to cut, in: booktitleProceedings of the 37th International Conference on Machine Learning, publisherPMLR. pp. pages9367–9376. https://proceedings.mlr.press/v119/tang20a.html.</w:t>
      </w:r>
    </w:p>
    <w:p>
      <w:pPr>
        <w:pStyle w:val="BodyText"/>
        <w:spacing w:after="60"/>
        <w:ind w:left="420" w:hanging="420"/>
      </w:pPr>
      <w:r>
        <w:t>authorVinyals, O., authorFortunato, M., authorJaitly, N., year2015. titlePointer networks, in: booktitleAdvances in Neural Information Processing Systems, pp. pages2692–2700.</w:t>
      </w:r>
    </w:p>
    <w:p>
      <w:pPr>
        <w:pStyle w:val="BodyText"/>
        <w:spacing w:after="60"/>
        <w:ind w:left="420" w:hanging="420"/>
      </w:pPr>
      <w:r>
        <w:t>authorWang, J., authorHu, H., authorPan, C., authorZhou, Y., authorLi, L., year2020. titleScheduling dual-arm cluster tools with multiple wafer types and residency time constraints. journalIEEE/CAA Journal of Automatica Sinica volume7, pages776–789. : 10.1109/JAS.2020.1003150.</w:t>
      </w:r>
    </w:p>
    <w:p>
      <w:pPr>
        <w:pStyle w:val="BodyText"/>
        <w:spacing w:after="60"/>
        <w:ind w:left="420" w:hanging="420"/>
      </w:pPr>
      <w:r>
        <w:t>authorWang, J., authorLiu, C., authorZhou, M.C., authorAbusorrah, A., year2025. titleVirtual cell-based scheduling approach to single-robotic-arm cluster tools subject to wafer residency time constraints. journalIEEE Transactions on Automation Science and Engineering volume22, pages240–251. : 10.1109/TASE.2024.3349380.</w:t>
      </w:r>
    </w:p>
    <w:p>
      <w:pPr>
        <w:pStyle w:val="BodyText"/>
        <w:spacing w:after="60"/>
        <w:ind w:left="420" w:hanging="420"/>
      </w:pPr>
      <w:r>
        <w:t>authorWang, Z., authorLi, X., authorWang, J., authorKuang, Y., authorYuan, M., authorZeng, J., authorZhang, Y., authorWu, F., year2023b. titleLearning cut selection for mixed-integer linear programming via hierarchical sequence model, in: booktitleProceedings of the Eleventh International Conference on Learning Representations. https://openreview.net/forum?id=Zob4P9bRNcK.</w:t>
      </w:r>
    </w:p>
    <w:p>
      <w:pPr>
        <w:pStyle w:val="BodyText"/>
        <w:spacing w:after="60"/>
        <w:ind w:left="420" w:hanging="420"/>
      </w:pPr>
      <w:r>
        <w:t>authorWilliams, R.J., year1992. titleSimple statistical gradient-following algorithms for connectionist reinforcement learning. journalMachine Learning volume8, pages229–256. : 10.1007/BF00992696.</w:t>
      </w:r>
    </w:p>
    <w:p>
      <w:pPr>
        <w:pStyle w:val="BodyText"/>
        <w:spacing w:after="60"/>
        <w:ind w:left="420" w:hanging="420"/>
      </w:pPr>
      <w:r>
        <w:t>authorWu, N.Q., authorZhou, M.C., year2010. titleA closed-form solution for schedulability and optimal scheduling of dual-arm cluster tools with wafer residency time constraint based on steady schedule analysis. journalIEEE Transactions on Automation Science and Engineering volume7, pages303–315. : 10.1109/TASE.2008.2008633.</w:t>
      </w:r>
    </w:p>
    <w:p>
      <w:pPr>
        <w:pStyle w:val="BodyText"/>
        <w:spacing w:after="60"/>
        <w:ind w:left="420" w:hanging="420"/>
      </w:pPr>
      <w:r>
        <w:t>authorYang, F., authorLi, C., authorZhen, L., authorZhang, C., authorWu, N., year2025. titleScheduling residency time-constrained single-armed cluster tools with two-wafer types via mixed integer programming model. journalExpert Systems with Applications volume288, pages128209. : 10.1016/j.eswa.2025.128209.</w:t>
      </w:r>
    </w:p>
    <w:p>
      <w:pPr>
        <w:pStyle w:val="BodyText"/>
        <w:spacing w:after="60"/>
        <w:ind w:left="420" w:hanging="420"/>
      </w:pPr>
      <w:r>
        <w:t>authorYu, T.S., authorLee, T.E., year2020. titleWafer delay analysis and control of dual-armed cluster tools with chamber cleaning operations. journalInternational Journal of Production Research volume58, pages434–447. : 10.1080/00207543.2019.1593547.</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面向旋转腔半导体组合设备的系统级调度： 可配置源接口两阶段MILP与结构感知精确搜索</dc:title>
  <dc:subject>Journal of Manufacturing Systems 中文审阅稿</dc:subject>
  <dc:creator>邵立珍；魏林聪；王蔚</dc:creator>
  <cp:keywords/>
  <dc:description>generated by python-docx</dc:description>
  <cp:lastModifiedBy/>
  <cp:revision>1</cp:revision>
  <dcterms:created xsi:type="dcterms:W3CDTF">2013-12-23T23:15:00Z</dcterms:created>
  <dcterms:modified xsi:type="dcterms:W3CDTF">2013-12-23T23:15:00Z</dcterms:modified>
  <cp:category/>
</cp:coreProperties>
</file>