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SANGGABIZ  •  CATATAN KERJA</w:t>
      </w:r>
    </w:p>
    <w:p>
      <w:pPr>
        <w:pStyle w:val="Heading1"/>
        <w:spacing w:after="80" w:before="80"/>
      </w:pPr>
      <w:r>
        <w:rPr>
          <w:rFonts w:ascii="Arial" w:cs="Arial" w:eastAsia="Arial" w:hAnsi="Arial"/>
          <w:b/>
          <w:bCs/>
          <w:color w:val="212659"/>
          <w:sz w:val="40"/>
          <w:szCs w:val="40"/>
        </w:rPr>
        <w:t xml:space="preserve">Langkah Mematangkan Ide Proposal</w:t>
      </w:r>
    </w:p>
    <w:p>
      <w:pPr>
        <w:pBdr>
          <w:bottom w:val="single" w:color="9FB6C9" w:sz="6" w:space="8"/>
        </w:pBdr>
        <w:spacing w:after="200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Pelatihan Guru SLB/Inklusif — Balikpapan, Kalimantan Timur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Tujuan: dari info yang masih minim, kita bisa sampai ke proposal yang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masuk akal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dan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bisa dijual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0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Kunci asumsi dasar dulu (1 kali tanya ke Pak Priyo)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Ada beberapa hal yang kalau salah tebak, seluruh proposal ikut salah. Jadi sarannya kirim satu pesan berisi pertanyaan ini: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Siapa pemberi dana/kliennya?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Di chat sempat muncul "pertamini" dan "KPC". Kalau ternyata CSR Pertamina (misalnya kilang Balikpapan), bahasa proposalnya harus bahasa CSR: dampak, KPI, dan wilayah ring perusahaan.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Skala: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kira-kira berapa guru atau berapa sekolah?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Range budget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walau kasar. "Asal murah" itu sulit didesain tanpa angka.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kapan pelaksanaannya? Apakah harus selesai tahun anggaran 2026?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Apakah klien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sudah punya ekspektasi topik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atau kita bebas mengusulkan?</w:t>
      </w:r>
    </w:p>
    <w:p>
      <w:pPr>
        <w:pBdr>
          <w:left w:val="none"/>
        </w:pBdr>
        <w:shd w:fill="E4F3F5" w:color="auto" w:val="clear"/>
        <w:spacing w:after="160" w:before="120" w:line="290"/>
        <w:ind w:left="120" w:right="120"/>
      </w:pPr>
      <w:r>
        <w:rPr>
          <w:rFonts w:ascii="Arial" w:cs="Arial" w:eastAsia="Arial" w:hAnsi="Arial"/>
          <w:b/>
          <w:bCs/>
          <w:color w:val="34BDCF"/>
          <w:sz w:val="22"/>
          <w:szCs w:val="22"/>
        </w:rPr>
        <w:t xml:space="preserve">Catatan: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Kalau jawabannya lama, kita jalan terus dengan asumsi tertulis, lalu dikoreksi belakangan.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1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Peta konteks lokal (riset oleh Claude)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Jumlah dan sebaran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SLB di Balikpapan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negeri maupun swasta, plus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sekolah penyelenggara inklusif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Jenis kekhususan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yang dilayani: tunanetra, tunarungu, tunagrahita, tunadaksa, autis, dan lain-lain. Dari sini kelihatan disabilitas mana yang paling dominan.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Siapa yang berwenang. Poin kritis: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SLB umumnya kewenangan Disdik Provinsi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sedangkan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SD/SMP inklusif kewenangan Disdik Kota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 Ini menentukan pemda mana yang "diketok", dan bisa jadi dua pintu yang berbeda.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Regulasi yang bisa jadi pijakan, misalnya aturan soal akomodasi yang layak dan Unit Layanan Disabilitas (versi terbaru perlu dicek).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2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Rumuskan masalah prioritas (hipotesis → validasi)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Hipotesis awal untuk masalah yang umum di lapangan: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Banyak guru di sekolah inklusif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bukan lulusan Pendidikan Luar Biasa (PLB)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Guru lemah di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asesmen awal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dan penyusunan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Program Pembelajaran Individual (PPI)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Guru kesulitan mengadaptasi Kurikulum Merdeka untuk anak berkebutuhan khusus (ABK).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Media dan teknologi asistif masih minim.</w:t>
      </w:r>
    </w:p>
    <w:p>
      <w:pPr>
        <w:pBdr>
          <w:left w:val="none"/>
        </w:pBdr>
        <w:shd w:fill="E4F3F5" w:color="auto" w:val="clear"/>
        <w:spacing w:after="160" w:before="120" w:line="290"/>
        <w:ind w:left="120" w:right="120"/>
      </w:pPr>
      <w:r>
        <w:rPr>
          <w:rFonts w:ascii="Arial" w:cs="Arial" w:eastAsia="Arial" w:hAnsi="Arial"/>
          <w:b/>
          <w:bCs/>
          <w:color w:val="34BDCF"/>
          <w:sz w:val="22"/>
          <w:szCs w:val="22"/>
        </w:rPr>
        <w:t xml:space="preserve">Validasi murah: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ngobrol 15 menit dengan 2–3 kepala SLB atau guru lewat jaringan Nauval/Unmul. Penting supaya proposal tidak terdengar generik.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3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Pilih fokus tajam + judul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Kritik utama: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jangan "Pelatihan Pendidikan Inklusif" umum.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Itu sudah banyak dibuat dinas dan sulit dibedakan. Lebih baik pilih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1 kompetensi inti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dengan output nyata.</w:t>
      </w:r>
    </w:p>
    <w:p>
      <w:pPr>
        <w:pBdr>
          <w:left w:val="none"/>
        </w:pBdr>
        <w:shd w:fill="E4F3F5" w:color="auto" w:val="clear"/>
        <w:spacing w:after="160" w:before="120" w:line="290"/>
        <w:ind w:left="120" w:right="120"/>
      </w:pPr>
      <w:r>
        <w:rPr>
          <w:rFonts w:ascii="Arial" w:cs="Arial" w:eastAsia="Arial" w:hAnsi="Arial"/>
          <w:b/>
          <w:bCs/>
          <w:color w:val="34BDCF"/>
          <w:sz w:val="22"/>
          <w:szCs w:val="22"/>
        </w:rPr>
        <w:t xml:space="preserve">Contoh: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"Setiap guru pulang membawa 1 PPI jadi untuk siswanya."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Setelah Langkah 1–2 selesai, disiapkan 3–5 opsi judul.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4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Desain program yang hemat tapi berdampak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Ide supaya murah tanpa terlihat murahan: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Blended: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pre-learning daring, lalu luring 2–3 hari di Balikpapan, lalu pendampingan praktik daring 2–4 minggu.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Fasilitator lokal + 1 narasumber kunci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supaya mobilisasi minim.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Mahasiswa sebagai asisten lapangan.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Perlu dicek dulu apakah Unmul atau kampus lain di Kaltim punya prodi PLB atau psikologi yang relevan.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Model Training of Trainers (ToT):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latih guru inti, lalu mereka mengimbaskan ke rekan di sekolahnya. Dampaknya bisa diklaim berlipat, dan ini disukai CSR maupun pemda.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5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Mitra &amp; ekosistem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Pemetaan pihak yang dilibatkan: Disdik Provinsi/Kota, kampus lokal, MKKS/KKG guru SLB, Unit Layanan Disabilitas, dan komunitas orang tua. Setiap mitra diberi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peran jelas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bukan sekadar logo.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6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Dampak terukur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Ukuran yang diusulkan: pre-post test, produk nyata (PPI atau media ajar), dan jumlah siswa yang terdampak secara tidak langsung. Kalau kliennya CSR, ini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bagian yang paling dibaca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7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Skenario paket (jawaban untuk "asal murah")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Tiga paket: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Hemat / Standar / Ideal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, dengan perbedaan di durasi, jumlah peserta, dan pendampingan. Angka dan nama mentor jadi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placeholder untuk tim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8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Risiko &amp; mitigasi</w:t>
      </w:r>
    </w:p>
    <w:p>
      <w:pPr>
        <w:spacing w:after="12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Contoh risikonya: izin dinas lambat, guru sulit meninggalkan kelas, atau akses peserta difabel ke lokasi (ada juga guru yang difabel). Lalu kerangka proposal disusun dari semua langkah di atas.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34BDCF"/>
          <w:spacing w:val="30"/>
          <w:sz w:val="18"/>
          <w:szCs w:val="18"/>
        </w:rPr>
        <w:t xml:space="preserve">LANGKAH BERIKUTNYA</w:t>
      </w: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212659"/>
          <w:sz w:val="28"/>
          <w:szCs w:val="28"/>
        </w:rPr>
        <w:t xml:space="preserve">Usulan eksekusi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Claude mulai dari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Langkah 1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(riset data SLB Balikpapan).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Paralel: Muchson kirim pertanyaan </w:t>
      </w:r>
      <w:r>
        <w:rPr>
          <w:rFonts w:ascii="Arial" w:cs="Arial" w:eastAsia="Arial" w:hAnsi="Arial"/>
          <w:b/>
          <w:bCs/>
          <w:color w:val="212659"/>
          <w:sz w:val="22"/>
          <w:szCs w:val="22"/>
        </w:rPr>
        <w:t xml:space="preserve">Langkah 0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ke grup.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FB6C9"/>
        <w:sz w:val="17"/>
        <w:szCs w:val="17"/>
      </w:rPr>
      <w:t xml:space="preserve">Sanggabiz  |  Proposal Pelatihan Guru SLB/Inklusif Kaltim     </w:t>
    </w:r>
    <w:r>
      <w:rPr>
        <w:rFonts w:ascii="Arial" w:cs="Arial" w:eastAsia="Arial" w:hAnsi="Arial"/>
        <w:color w:val="9FB6C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color w:val="34BDC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2026-10-07T11:54:13.997Z</dcterms:created>
  <dcterms:modified xsi:type="dcterms:W3CDTF">2026-10-07T11:54:14.002Z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