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92647"/>
          <w:sz w:val="28"/>
        </w:rPr>
        <w:t>SANGGABIZ</w:t>
      </w:r>
    </w:p>
    <w:p>
      <w:pPr>
        <w:spacing w:before="240"/>
        <w:jc w:val="center"/>
      </w:pPr>
      <w:r>
        <w:rPr>
          <w:b/>
          <w:color w:val="C88A00"/>
          <w:sz w:val="20"/>
        </w:rPr>
        <w:t>CONTOH PEDOMAN KERJA</w:t>
      </w:r>
    </w:p>
    <w:p>
      <w:pPr>
        <w:spacing w:before="120"/>
        <w:jc w:val="center"/>
      </w:pPr>
      <w:r>
        <w:rPr>
          <w:b/>
          <w:color w:val="092647"/>
          <w:sz w:val="56"/>
        </w:rPr>
        <w:t>Pedoman Pendampingan Teknis</w:t>
      </w:r>
    </w:p>
    <w:p>
      <w:pPr>
        <w:spacing w:after="400"/>
        <w:jc w:val="center"/>
      </w:pPr>
      <w:r>
        <w:rPr>
          <w:color w:val="2F7E9D"/>
          <w:sz w:val="32"/>
        </w:rPr>
        <w:t>LPTK Penyelenggara PPG, 2026</w:t>
      </w:r>
    </w:p>
    <w:p>
      <w:pPr>
        <w:spacing w:after="1200"/>
        <w:jc w:val="center"/>
      </w:pPr>
      <w:r>
        <w:rPr>
          <w:i/>
          <w:color w:val="5B6670"/>
          <w:sz w:val="24"/>
        </w:rPr>
        <w:t>Metodologi Evidence-Based Continuous Quality Improvement</w:t>
      </w:r>
    </w:p>
    <w:tbl>
      <w:tblPr>
        <w:tblW w:type="auto" w:w="0"/>
        <w:jc w:val="center"/>
        <w:tblLook w:firstColumn="1" w:firstRow="1" w:lastColumn="0" w:lastRow="0" w:noHBand="0" w:noVBand="1" w:val="04A0"/>
      </w:tblPr>
      <w:tblGrid>
        <w:gridCol w:w="9752"/>
      </w:tblGrid>
      <w:tr>
        <w:tc>
          <w:tcPr>
            <w:tcW w:type="dxa" w:w="8504"/>
            <w:shd w:val="clear" w:fill="FFF4C2"/>
            <w:tcBorders>
              <w:top w:val="single" w:sz="6" w:color="C8930A"/>
              <w:left w:val="single" w:sz="6" w:color="C8930A"/>
              <w:bottom w:val="single" w:sz="6" w:color="C8930A"/>
              <w:right w:val="single" w:sz="6" w:color="C8930A"/>
            </w:tcBorders>
          </w:tcPr>
          <w:p>
            <w:pPr>
              <w:jc w:val="center"/>
            </w:pPr>
            <w:r>
              <w:rPr>
                <w:i/>
                <w:color w:val="5A4206"/>
                <w:sz w:val="19"/>
              </w:rPr>
              <w:t>STATUS: DRAF/CONTOH, BELUM FINAL. Disusun Sanggabiz berdasar RFP dan TOR untuk menunjukkan kesiapan kerja pada Proposal Teknis RFP No. 0648/TF-JKT/VIII/2026. Masih memerlukan masukan dan penyempurnaan lebih lanjut dari tim sebelum dipakai final. Ini bukan Pedoman Pendampingan 2026 resmi dari Direktorat PPG, dan akan diselaraskan dengan pedoman resmi tersebut saat kick-off.</w:t>
            </w:r>
          </w:p>
        </w:tc>
      </w:tr>
    </w:tbl>
    <w:p/>
    <w:p/>
    <w:p/>
    <w:p/>
    <w:p/>
    <w:p/>
    <w:p>
      <w:pPr>
        <w:jc w:val="center"/>
      </w:pPr>
      <w:r>
        <w:rPr>
          <w:color w:val="5B6670"/>
          <w:sz w:val="19"/>
        </w:rPr>
        <w:t>Versi 1, 30 September 2026</w:t>
      </w:r>
    </w:p>
    <w:p>
      <w:pPr>
        <w:jc w:val="center"/>
      </w:pPr>
      <w:r>
        <w:rPr>
          <w:color w:val="5B6670"/>
          <w:sz w:val="19"/>
        </w:rPr>
        <w:t>Disusun untuk Tanoto Foundation</w:t>
      </w:r>
    </w:p>
    <w:p>
      <w:r>
        <w:br w:type="page"/>
      </w:r>
    </w:p>
    <w:p>
      <w:pPr>
        <w:spacing w:after="200"/>
        <w:pBdr>
          <w:bottom w:val="single" w:sz="10" w:color="B0C0CF"/>
        </w:pBdr>
      </w:pPr>
      <w:r>
        <w:rPr>
          <w:b/>
          <w:color w:val="092647"/>
          <w:sz w:val="18"/>
        </w:rPr>
        <w:t>SANGGABIZ</w:t>
      </w:r>
      <w:r>
        <w:rPr>
          <w:color w:val="5B6670"/>
          <w:sz w:val="16"/>
        </w:rPr>
        <w:t xml:space="preserve">   |   Pedoman Pendampingan Teknis, draf/contoh, belum final</w:t>
      </w:r>
    </w:p>
    <w:p>
      <w:pPr>
        <w:spacing w:before="280" w:after="120"/>
        <w:pBdr>
          <w:bottom w:val="single" w:sz="14" w:color="FFC00C"/>
        </w:pBdr>
      </w:pPr>
      <w:r>
        <w:rPr>
          <w:b/>
          <w:color w:val="092647"/>
          <w:sz w:val="30"/>
        </w:rPr>
        <w:t>1.  Pengantar dan Dasar</w:t>
      </w:r>
    </w:p>
    <w:p>
      <w:pPr>
        <w:spacing w:after="120"/>
      </w:pPr>
      <w:r>
        <w:rPr>
          <w:b w:val="0"/>
          <w:i w:val="0"/>
          <w:color w:val="222222"/>
          <w:sz w:val="20"/>
        </w:rPr>
        <w:t>Pedoman ini menjelaskan cara kerja tim pelaksana dalam mengoordinasikan pendampingan teknis di 12 LPTK penyelenggara PPG, sesuai RFP No. 0648/TF-JKT/VIII/2026 dari Tanoto Foundation dan TOR PPG Technical Assistance 2026. Pedoman ini adalah dokumen kerja internal tim, bukan pengganti Pedoman Pendampingan 2026 resmi yang diterbitkan Direktorat PPG.</w:t>
      </w:r>
    </w:p>
    <w:p>
      <w:pPr>
        <w:spacing w:before="200" w:after="80"/>
      </w:pPr>
      <w:r>
        <w:rPr>
          <w:b/>
          <w:color w:val="2F7E9D"/>
          <w:sz w:val="23"/>
        </w:rPr>
        <w:t>1.1 Tujuan</w:t>
      </w:r>
    </w:p>
    <w:p>
      <w:pPr>
        <w:pStyle w:val="ListBullet"/>
        <w:spacing w:after="60"/>
      </w:pPr>
      <w:r>
        <w:rPr>
          <w:sz w:val="20"/>
        </w:rPr>
        <w:t>Memberi satu acuan kerja yang sama bagi seluruh tim, sehingga setiap kunjungan dan laporan memakai standar yang konsisten.</w:t>
      </w:r>
    </w:p>
    <w:p>
      <w:pPr>
        <w:pStyle w:val="ListBullet"/>
        <w:spacing w:after="60"/>
      </w:pPr>
      <w:r>
        <w:rPr>
          <w:sz w:val="20"/>
        </w:rPr>
        <w:t>Menjelaskan kapan dan bagaimana tiap instrumen dipakai, siapa penanggung jawabnya, dan luaran apa yang dihasilkan.</w:t>
      </w:r>
    </w:p>
    <w:p>
      <w:pPr>
        <w:pStyle w:val="ListBullet"/>
        <w:spacing w:after="60"/>
      </w:pPr>
      <w:r>
        <w:rPr>
          <w:sz w:val="20"/>
        </w:rPr>
        <w:t>Menjadi dokumen hidup yang diperbarui begitu Pedoman Pendampingan 2026 resmi diterima dari Direktorat PPG.</w:t>
      </w:r>
    </w:p>
    <w:p>
      <w:pPr>
        <w:spacing w:before="200" w:after="80"/>
      </w:pPr>
      <w:r>
        <w:rPr>
          <w:b/>
          <w:color w:val="2F7E9D"/>
          <w:sz w:val="23"/>
        </w:rPr>
        <w:t>1.2 Ruang Lingkup</w:t>
      </w:r>
    </w:p>
    <w:p>
      <w:pPr>
        <w:spacing w:after="120"/>
      </w:pPr>
      <w:r>
        <w:rPr>
          <w:b w:val="0"/>
          <w:i w:val="0"/>
          <w:color w:val="222222"/>
          <w:sz w:val="20"/>
        </w:rPr>
        <w:t>Pedoman ini mencakup seluruh pekerjaan mitra pelaksana sesuai RFP bagian C.4: menyiapkan perangkat pendampingan, mengoordinasikan kunjungan luring 12 LPTK, memfasilitasi tindak lanjut dan pemantauan, menyusun studi komparatif, serta menyusun analisis, laporan, dan rekomendasi. Pendampingan substantif ke LPTK sendiri dilakukan oleh Tim Pendamping Nasional yang ditetapkan Direktorat PPG, bukan oleh mitra pelaksana.</w:t>
      </w:r>
    </w:p>
    <w:p>
      <w:pPr>
        <w:spacing w:before="200" w:after="80"/>
      </w:pPr>
      <w:r>
        <w:rPr>
          <w:b/>
          <w:color w:val="2F7E9D"/>
          <w:sz w:val="23"/>
        </w:rPr>
        <w:t>1.3 Dasar Rujukan</w:t>
      </w:r>
    </w:p>
    <w:tbl>
      <w:tblPr>
        <w:tblW w:type="auto" w:w="0"/>
        <w:jc w:val="center"/>
        <w:tblLayout w:type="autofit"/>
        <w:tblLook w:firstColumn="1" w:firstRow="1" w:lastColumn="0" w:lastRow="0" w:noHBand="0" w:noVBand="1" w:val="04A0"/>
      </w:tblPr>
      <w:tblGrid>
        <w:gridCol w:w="4876"/>
        <w:gridCol w:w="4876"/>
      </w:tblGrid>
      <w:tr>
        <w:tc>
          <w:tcPr>
            <w:tcW w:type="dxa" w:w="3969"/>
            <w:shd w:val="clear" w:fill="092647"/>
            <w:tcBorders>
              <w:top w:val="single" w:sz="4" w:color="B0C0CF"/>
              <w:left w:val="single" w:sz="4" w:color="B0C0CF"/>
              <w:bottom w:val="single" w:sz="4" w:color="B0C0CF"/>
              <w:right w:val="single" w:sz="4" w:color="B0C0CF"/>
            </w:tcBorders>
            <w:vAlign w:val="center"/>
          </w:tcPr>
          <w:p>
            <w:r>
              <w:rPr>
                <w:b/>
                <w:color w:val="FFFFFF"/>
                <w:sz w:val="18"/>
              </w:rPr>
              <w:t>Dokumen</w:t>
            </w:r>
          </w:p>
        </w:tc>
        <w:tc>
          <w:tcPr>
            <w:tcW w:type="dxa" w:w="5669"/>
            <w:shd w:val="clear" w:fill="092647"/>
            <w:tcBorders>
              <w:top w:val="single" w:sz="4" w:color="B0C0CF"/>
              <w:left w:val="single" w:sz="4" w:color="B0C0CF"/>
              <w:bottom w:val="single" w:sz="4" w:color="B0C0CF"/>
              <w:right w:val="single" w:sz="4" w:color="B0C0CF"/>
            </w:tcBorders>
            <w:vAlign w:val="center"/>
          </w:tcPr>
          <w:p>
            <w:r>
              <w:rPr>
                <w:b/>
                <w:color w:val="FFFFFF"/>
                <w:sz w:val="18"/>
              </w:rPr>
              <w:t>Fungsi</w:t>
            </w:r>
          </w:p>
        </w:tc>
      </w:tr>
      <w:tr>
        <w:tc>
          <w:tcPr>
            <w:tcW w:type="dxa" w:w="3969"/>
            <w:tcBorders>
              <w:top w:val="single" w:sz="4" w:color="B0C0CF"/>
              <w:left w:val="single" w:sz="4" w:color="B0C0CF"/>
              <w:bottom w:val="single" w:sz="4" w:color="B0C0CF"/>
              <w:right w:val="single" w:sz="4" w:color="B0C0CF"/>
            </w:tcBorders>
            <w:vAlign w:val="center"/>
          </w:tcPr>
          <w:p>
            <w:r>
              <w:rPr>
                <w:sz w:val="18"/>
              </w:rPr>
              <w:t>RFP No. 0648/TF-JKT/VIII/2026</w:t>
            </w:r>
          </w:p>
        </w:tc>
        <w:tc>
          <w:tcPr>
            <w:tcW w:type="dxa" w:w="5669"/>
            <w:tcBorders>
              <w:top w:val="single" w:sz="4" w:color="B0C0CF"/>
              <w:left w:val="single" w:sz="4" w:color="B0C0CF"/>
              <w:bottom w:val="single" w:sz="4" w:color="B0C0CF"/>
              <w:right w:val="single" w:sz="4" w:color="B0C0CF"/>
            </w:tcBorders>
            <w:vAlign w:val="center"/>
          </w:tcPr>
          <w:p>
            <w:r>
              <w:rPr>
                <w:sz w:val="18"/>
              </w:rPr>
              <w:t>Dasar kontraktual: ruang lingkup, luaran, anggaran, jadwal</w:t>
            </w:r>
          </w:p>
        </w:tc>
      </w:tr>
      <w:tr>
        <w:tc>
          <w:tcPr>
            <w:tcW w:type="dxa" w:w="3969"/>
            <w:tcBorders>
              <w:top w:val="single" w:sz="4" w:color="B0C0CF"/>
              <w:left w:val="single" w:sz="4" w:color="B0C0CF"/>
              <w:bottom w:val="single" w:sz="4" w:color="B0C0CF"/>
              <w:right w:val="single" w:sz="4" w:color="B0C0CF"/>
            </w:tcBorders>
            <w:shd w:val="clear" w:fill="EEF2F6"/>
            <w:vAlign w:val="center"/>
          </w:tcPr>
          <w:p>
            <w:r>
              <w:rPr>
                <w:sz w:val="18"/>
              </w:rPr>
              <w:t>TOR PPG Technical Assistance 2026</w:t>
            </w:r>
          </w:p>
        </w:tc>
        <w:tc>
          <w:tcPr>
            <w:tcW w:type="dxa" w:w="5669"/>
            <w:tcBorders>
              <w:top w:val="single" w:sz="4" w:color="B0C0CF"/>
              <w:left w:val="single" w:sz="4" w:color="B0C0CF"/>
              <w:bottom w:val="single" w:sz="4" w:color="B0C0CF"/>
              <w:right w:val="single" w:sz="4" w:color="B0C0CF"/>
            </w:tcBorders>
            <w:shd w:val="clear" w:fill="EEF2F6"/>
            <w:vAlign w:val="center"/>
          </w:tcPr>
          <w:p>
            <w:r>
              <w:rPr>
                <w:sz w:val="18"/>
              </w:rPr>
              <w:t>Konteks, temuan Supervisi 2025, Teori Perubahan, daftar LPTK</w:t>
            </w:r>
          </w:p>
        </w:tc>
      </w:tr>
      <w:tr>
        <w:tc>
          <w:tcPr>
            <w:tcW w:type="dxa" w:w="3969"/>
            <w:tcBorders>
              <w:top w:val="single" w:sz="4" w:color="B0C0CF"/>
              <w:left w:val="single" w:sz="4" w:color="B0C0CF"/>
              <w:bottom w:val="single" w:sz="4" w:color="B0C0CF"/>
              <w:right w:val="single" w:sz="4" w:color="B0C0CF"/>
            </w:tcBorders>
            <w:vAlign w:val="center"/>
          </w:tcPr>
          <w:p>
            <w:r>
              <w:rPr>
                <w:sz w:val="18"/>
              </w:rPr>
              <w:t>Permendikbudristek 53/2023</w:t>
            </w:r>
          </w:p>
        </w:tc>
        <w:tc>
          <w:tcPr>
            <w:tcW w:type="dxa" w:w="5669"/>
            <w:tcBorders>
              <w:top w:val="single" w:sz="4" w:color="B0C0CF"/>
              <w:left w:val="single" w:sz="4" w:color="B0C0CF"/>
              <w:bottom w:val="single" w:sz="4" w:color="B0C0CF"/>
              <w:right w:val="single" w:sz="4" w:color="B0C0CF"/>
            </w:tcBorders>
            <w:vAlign w:val="center"/>
          </w:tcPr>
          <w:p>
            <w:r>
              <w:rPr>
                <w:sz w:val="18"/>
              </w:rPr>
              <w:t>Dasar SPMI dan siklus PPEPP</w:t>
            </w:r>
          </w:p>
        </w:tc>
      </w:tr>
      <w:tr>
        <w:tc>
          <w:tcPr>
            <w:tcW w:type="dxa" w:w="3969"/>
            <w:tcBorders>
              <w:top w:val="single" w:sz="4" w:color="B0C0CF"/>
              <w:left w:val="single" w:sz="4" w:color="B0C0CF"/>
              <w:bottom w:val="single" w:sz="4" w:color="B0C0CF"/>
              <w:right w:val="single" w:sz="4" w:color="B0C0CF"/>
            </w:tcBorders>
            <w:shd w:val="clear" w:fill="EEF2F6"/>
            <w:vAlign w:val="center"/>
          </w:tcPr>
          <w:p>
            <w:r>
              <w:rPr>
                <w:sz w:val="18"/>
              </w:rPr>
              <w:t>IAPSK 3.0 ISK LAMDIK, 26 Mei 2026</w:t>
            </w:r>
          </w:p>
        </w:tc>
        <w:tc>
          <w:tcPr>
            <w:tcW w:type="dxa" w:w="5669"/>
            <w:tcBorders>
              <w:top w:val="single" w:sz="4" w:color="B0C0CF"/>
              <w:left w:val="single" w:sz="4" w:color="B0C0CF"/>
              <w:bottom w:val="single" w:sz="4" w:color="B0C0CF"/>
              <w:right w:val="single" w:sz="4" w:color="B0C0CF"/>
            </w:tcBorders>
            <w:shd w:val="clear" w:fill="EEF2F6"/>
            <w:vAlign w:val="center"/>
          </w:tcPr>
          <w:p>
            <w:r>
              <w:rPr>
                <w:sz w:val="18"/>
              </w:rPr>
              <w:t>Rubrik dan ambang elemen akreditasi Unggul</w:t>
            </w:r>
          </w:p>
        </w:tc>
      </w:tr>
      <w:tr>
        <w:tc>
          <w:tcPr>
            <w:tcW w:type="dxa" w:w="3969"/>
            <w:tcBorders>
              <w:top w:val="single" w:sz="4" w:color="B0C0CF"/>
              <w:left w:val="single" w:sz="4" w:color="B0C0CF"/>
              <w:bottom w:val="single" w:sz="4" w:color="B0C0CF"/>
              <w:right w:val="single" w:sz="4" w:color="B0C0CF"/>
            </w:tcBorders>
            <w:vAlign w:val="center"/>
          </w:tcPr>
          <w:p>
            <w:r>
              <w:rPr>
                <w:sz w:val="18"/>
              </w:rPr>
              <w:t>Pedoman Pendampingan 2026 (Direktorat PPG)</w:t>
            </w:r>
          </w:p>
        </w:tc>
        <w:tc>
          <w:tcPr>
            <w:tcW w:type="dxa" w:w="5669"/>
            <w:tcBorders>
              <w:top w:val="single" w:sz="4" w:color="B0C0CF"/>
              <w:left w:val="single" w:sz="4" w:color="B0C0CF"/>
              <w:bottom w:val="single" w:sz="4" w:color="B0C0CF"/>
              <w:right w:val="single" w:sz="4" w:color="B0C0CF"/>
            </w:tcBorders>
            <w:vAlign w:val="center"/>
          </w:tcPr>
          <w:p>
            <w:r>
              <w:rPr>
                <w:sz w:val="18"/>
              </w:rPr>
              <w:t>Rujukan utama begitu diterbitkan resmi, menggantikan asumsi di pedoman ini</w:t>
            </w:r>
          </w:p>
        </w:tc>
      </w:tr>
    </w:tbl>
    <w:p>
      <w:r>
        <w:br w:type="page"/>
      </w:r>
    </w:p>
    <w:p>
      <w:pPr>
        <w:spacing w:after="200"/>
        <w:pBdr>
          <w:bottom w:val="single" w:sz="10" w:color="B0C0CF"/>
        </w:pBdr>
      </w:pPr>
      <w:r>
        <w:rPr>
          <w:b/>
          <w:color w:val="092647"/>
          <w:sz w:val="18"/>
        </w:rPr>
        <w:t>SANGGABIZ</w:t>
      </w:r>
      <w:r>
        <w:rPr>
          <w:color w:val="5B6670"/>
          <w:sz w:val="16"/>
        </w:rPr>
        <w:t xml:space="preserve">   |   Pedoman Pendampingan Teknis, draf/contoh, belum final</w:t>
      </w:r>
    </w:p>
    <w:p>
      <w:pPr>
        <w:spacing w:before="280" w:after="120"/>
        <w:pBdr>
          <w:bottom w:val="single" w:sz="14" w:color="FFC00C"/>
        </w:pBdr>
      </w:pPr>
      <w:r>
        <w:rPr>
          <w:b/>
          <w:color w:val="092647"/>
          <w:sz w:val="30"/>
        </w:rPr>
        <w:t>2.  Metodologi: Evidence-Based Continuous Quality Improvement</w:t>
      </w:r>
    </w:p>
    <w:p>
      <w:pPr>
        <w:spacing w:after="120"/>
      </w:pPr>
      <w:r>
        <w:rPr>
          <w:b w:val="0"/>
          <w:i w:val="0"/>
          <w:color w:val="222222"/>
          <w:sz w:val="20"/>
        </w:rPr>
        <w:t>Metodologi ini menggabungkan dua prinsip yang sudah mapan. Continuous Quality Improvement adalah cara kerja siklus mutu yang berakar dari Plan-Do-Check-Act atau Siklus Deming, dan menjadi dasar filosofi SPMI atau Sistem Penjaminan Mutu Internal di Indonesia. Evidence-based practice adalah prinsip bahwa setiap rekomendasi dan kesimpulan harus berbasis bukti yang dapat ditelusuri, bukan asumsi. Pekerjaan tim dibagi menjadi lima fase berikut, yang dipetakan langsung ke lima poin ruang lingkup mitra pelaksana pada RFP bagian C.4.</w:t>
      </w:r>
    </w:p>
    <w:tbl>
      <w:tblPr>
        <w:tblW w:type="auto" w:w="0"/>
        <w:jc w:val="center"/>
        <w:tblLayout w:type="autofit"/>
        <w:tblLook w:firstColumn="1" w:firstRow="1" w:lastColumn="0" w:lastRow="0" w:noHBand="0" w:noVBand="1" w:val="04A0"/>
      </w:tblPr>
      <w:tblGrid>
        <w:gridCol w:w="2438"/>
        <w:gridCol w:w="2438"/>
        <w:gridCol w:w="2438"/>
        <w:gridCol w:w="2438"/>
      </w:tblGrid>
      <w:tr>
        <w:tc>
          <w:tcPr>
            <w:tcW w:type="dxa" w:w="1814"/>
            <w:shd w:val="clear" w:fill="092647"/>
            <w:tcBorders>
              <w:top w:val="single" w:sz="4" w:color="B0C0CF"/>
              <w:left w:val="single" w:sz="4" w:color="B0C0CF"/>
              <w:bottom w:val="single" w:sz="4" w:color="B0C0CF"/>
              <w:right w:val="single" w:sz="4" w:color="B0C0CF"/>
            </w:tcBorders>
            <w:vAlign w:val="center"/>
          </w:tcPr>
          <w:p>
            <w:r>
              <w:rPr>
                <w:b/>
                <w:color w:val="FFFFFF"/>
                <w:sz w:val="17"/>
              </w:rPr>
              <w:t>Fase</w:t>
            </w:r>
          </w:p>
        </w:tc>
        <w:tc>
          <w:tcPr>
            <w:tcW w:type="dxa" w:w="1474"/>
            <w:shd w:val="clear" w:fill="092647"/>
            <w:tcBorders>
              <w:top w:val="single" w:sz="4" w:color="B0C0CF"/>
              <w:left w:val="single" w:sz="4" w:color="B0C0CF"/>
              <w:bottom w:val="single" w:sz="4" w:color="B0C0CF"/>
              <w:right w:val="single" w:sz="4" w:color="B0C0CF"/>
            </w:tcBorders>
            <w:vAlign w:val="center"/>
          </w:tcPr>
          <w:p>
            <w:r>
              <w:rPr>
                <w:b/>
                <w:color w:val="FFFFFF"/>
                <w:sz w:val="17"/>
              </w:rPr>
              <w:t>Setara RFP C.4</w:t>
            </w:r>
          </w:p>
        </w:tc>
        <w:tc>
          <w:tcPr>
            <w:tcW w:type="dxa" w:w="4252"/>
            <w:shd w:val="clear" w:fill="092647"/>
            <w:tcBorders>
              <w:top w:val="single" w:sz="4" w:color="B0C0CF"/>
              <w:left w:val="single" w:sz="4" w:color="B0C0CF"/>
              <w:bottom w:val="single" w:sz="4" w:color="B0C0CF"/>
              <w:right w:val="single" w:sz="4" w:color="B0C0CF"/>
            </w:tcBorders>
            <w:vAlign w:val="center"/>
          </w:tcPr>
          <w:p>
            <w:r>
              <w:rPr>
                <w:b/>
                <w:color w:val="FFFFFF"/>
                <w:sz w:val="17"/>
              </w:rPr>
              <w:t>Aktivitas utama</w:t>
            </w:r>
          </w:p>
        </w:tc>
        <w:tc>
          <w:tcPr>
            <w:tcW w:type="dxa" w:w="2098"/>
            <w:shd w:val="clear" w:fill="092647"/>
            <w:tcBorders>
              <w:top w:val="single" w:sz="4" w:color="B0C0CF"/>
              <w:left w:val="single" w:sz="4" w:color="B0C0CF"/>
              <w:bottom w:val="single" w:sz="4" w:color="B0C0CF"/>
              <w:right w:val="single" w:sz="4" w:color="B0C0CF"/>
            </w:tcBorders>
            <w:vAlign w:val="center"/>
          </w:tcPr>
          <w:p>
            <w:r>
              <w:rPr>
                <w:b/>
                <w:color w:val="FFFFFF"/>
                <w:sz w:val="17"/>
              </w:rPr>
              <w:t>Luaran</w:t>
            </w:r>
          </w:p>
        </w:tc>
      </w:tr>
      <w:tr>
        <w:tc>
          <w:tcPr>
            <w:tcW w:type="dxa" w:w="1814"/>
            <w:tcBorders>
              <w:top w:val="single" w:sz="4" w:color="B0C0CF"/>
              <w:left w:val="single" w:sz="4" w:color="B0C0CF"/>
              <w:bottom w:val="single" w:sz="4" w:color="B0C0CF"/>
              <w:right w:val="single" w:sz="4" w:color="B0C0CF"/>
            </w:tcBorders>
            <w:vAlign w:val="center"/>
          </w:tcPr>
          <w:p>
            <w:r>
              <w:rPr>
                <w:sz w:val="17"/>
              </w:rPr>
              <w:t>01 Diagnose</w:t>
            </w:r>
          </w:p>
        </w:tc>
        <w:tc>
          <w:tcPr>
            <w:tcW w:type="dxa" w:w="1474"/>
            <w:tcBorders>
              <w:top w:val="single" w:sz="4" w:color="B0C0CF"/>
              <w:left w:val="single" w:sz="4" w:color="B0C0CF"/>
              <w:bottom w:val="single" w:sz="4" w:color="B0C0CF"/>
              <w:right w:val="single" w:sz="4" w:color="B0C0CF"/>
            </w:tcBorders>
            <w:vAlign w:val="center"/>
          </w:tcPr>
          <w:p>
            <w:r>
              <w:rPr>
                <w:sz w:val="17"/>
              </w:rPr>
              <w:t>Poin 1 (awal)</w:t>
            </w:r>
          </w:p>
        </w:tc>
        <w:tc>
          <w:tcPr>
            <w:tcW w:type="dxa" w:w="4252"/>
            <w:tcBorders>
              <w:top w:val="single" w:sz="4" w:color="B0C0CF"/>
              <w:left w:val="single" w:sz="4" w:color="B0C0CF"/>
              <w:bottom w:val="single" w:sz="4" w:color="B0C0CF"/>
              <w:right w:val="single" w:sz="4" w:color="B0C0CF"/>
            </w:tcBorders>
            <w:vAlign w:val="center"/>
          </w:tcPr>
          <w:p>
            <w:r>
              <w:rPr>
                <w:sz w:val="17"/>
              </w:rPr>
              <w:t>Telaah baseline dari hasil Supervisi 2025 dan RTL 12 LPTK, skor awal 1 sampai 4 pada lima elemen</w:t>
            </w:r>
          </w:p>
        </w:tc>
        <w:tc>
          <w:tcPr>
            <w:tcW w:type="dxa" w:w="2098"/>
            <w:tcBorders>
              <w:top w:val="single" w:sz="4" w:color="B0C0CF"/>
              <w:left w:val="single" w:sz="4" w:color="B0C0CF"/>
              <w:bottom w:val="single" w:sz="4" w:color="B0C0CF"/>
              <w:right w:val="single" w:sz="4" w:color="B0C0CF"/>
            </w:tcBorders>
            <w:vAlign w:val="center"/>
          </w:tcPr>
          <w:p>
            <w:r>
              <w:rPr>
                <w:sz w:val="17"/>
              </w:rPr>
              <w:t>Baseline per LPTK</w:t>
            </w:r>
          </w:p>
        </w:tc>
      </w:tr>
      <w:tr>
        <w:tc>
          <w:tcPr>
            <w:tcW w:type="dxa" w:w="1814"/>
            <w:tcBorders>
              <w:top w:val="single" w:sz="4" w:color="B0C0CF"/>
              <w:left w:val="single" w:sz="4" w:color="B0C0CF"/>
              <w:bottom w:val="single" w:sz="4" w:color="B0C0CF"/>
              <w:right w:val="single" w:sz="4" w:color="B0C0CF"/>
            </w:tcBorders>
            <w:shd w:val="clear" w:fill="EEF2F6"/>
            <w:vAlign w:val="center"/>
          </w:tcPr>
          <w:p>
            <w:r>
              <w:rPr>
                <w:sz w:val="17"/>
              </w:rPr>
              <w:t>02 Design</w:t>
            </w:r>
          </w:p>
        </w:tc>
        <w:tc>
          <w:tcPr>
            <w:tcW w:type="dxa" w:w="1474"/>
            <w:tcBorders>
              <w:top w:val="single" w:sz="4" w:color="B0C0CF"/>
              <w:left w:val="single" w:sz="4" w:color="B0C0CF"/>
              <w:bottom w:val="single" w:sz="4" w:color="B0C0CF"/>
              <w:right w:val="single" w:sz="4" w:color="B0C0CF"/>
            </w:tcBorders>
            <w:shd w:val="clear" w:fill="EEF2F6"/>
            <w:vAlign w:val="center"/>
          </w:tcPr>
          <w:p>
            <w:r>
              <w:rPr>
                <w:sz w:val="17"/>
              </w:rPr>
              <w:t>Poin 1 (lanjutan)</w:t>
            </w:r>
          </w:p>
        </w:tc>
        <w:tc>
          <w:tcPr>
            <w:tcW w:type="dxa" w:w="4252"/>
            <w:tcBorders>
              <w:top w:val="single" w:sz="4" w:color="B0C0CF"/>
              <w:left w:val="single" w:sz="4" w:color="B0C0CF"/>
              <w:bottom w:val="single" w:sz="4" w:color="B0C0CF"/>
              <w:right w:val="single" w:sz="4" w:color="B0C0CF"/>
            </w:tcBorders>
            <w:shd w:val="clear" w:fill="EEF2F6"/>
            <w:vAlign w:val="center"/>
          </w:tcPr>
          <w:p>
            <w:r>
              <w:rPr>
                <w:sz w:val="17"/>
              </w:rPr>
              <w:t>Penyusunan atau penyempurnaan pedoman, modul, dan instrumen, rencana kerja berklaster</w:t>
            </w:r>
          </w:p>
        </w:tc>
        <w:tc>
          <w:tcPr>
            <w:tcW w:type="dxa" w:w="2098"/>
            <w:tcBorders>
              <w:top w:val="single" w:sz="4" w:color="B0C0CF"/>
              <w:left w:val="single" w:sz="4" w:color="B0C0CF"/>
              <w:bottom w:val="single" w:sz="4" w:color="B0C0CF"/>
              <w:right w:val="single" w:sz="4" w:color="B0C0CF"/>
            </w:tcBorders>
            <w:shd w:val="clear" w:fill="EEF2F6"/>
            <w:vAlign w:val="center"/>
          </w:tcPr>
          <w:p>
            <w:r>
              <w:rPr>
                <w:sz w:val="17"/>
              </w:rPr>
              <w:t>Instrumen, rencana kerja, jadwal</w:t>
            </w:r>
          </w:p>
        </w:tc>
      </w:tr>
      <w:tr>
        <w:tc>
          <w:tcPr>
            <w:tcW w:type="dxa" w:w="1814"/>
            <w:tcBorders>
              <w:top w:val="single" w:sz="4" w:color="B0C0CF"/>
              <w:left w:val="single" w:sz="4" w:color="B0C0CF"/>
              <w:bottom w:val="single" w:sz="4" w:color="B0C0CF"/>
              <w:right w:val="single" w:sz="4" w:color="B0C0CF"/>
            </w:tcBorders>
            <w:vAlign w:val="center"/>
          </w:tcPr>
          <w:p>
            <w:r>
              <w:rPr>
                <w:sz w:val="17"/>
              </w:rPr>
              <w:t>03 Deliver</w:t>
            </w:r>
          </w:p>
        </w:tc>
        <w:tc>
          <w:tcPr>
            <w:tcW w:type="dxa" w:w="1474"/>
            <w:tcBorders>
              <w:top w:val="single" w:sz="4" w:color="B0C0CF"/>
              <w:left w:val="single" w:sz="4" w:color="B0C0CF"/>
              <w:bottom w:val="single" w:sz="4" w:color="B0C0CF"/>
              <w:right w:val="single" w:sz="4" w:color="B0C0CF"/>
            </w:tcBorders>
            <w:vAlign w:val="center"/>
          </w:tcPr>
          <w:p>
            <w:r>
              <w:rPr>
                <w:sz w:val="17"/>
              </w:rPr>
              <w:t>Poin 2</w:t>
            </w:r>
          </w:p>
        </w:tc>
        <w:tc>
          <w:tcPr>
            <w:tcW w:type="dxa" w:w="4252"/>
            <w:tcBorders>
              <w:top w:val="single" w:sz="4" w:color="B0C0CF"/>
              <w:left w:val="single" w:sz="4" w:color="B0C0CF"/>
              <w:bottom w:val="single" w:sz="4" w:color="B0C0CF"/>
              <w:right w:val="single" w:sz="4" w:color="B0C0CF"/>
            </w:tcBorders>
            <w:vAlign w:val="center"/>
          </w:tcPr>
          <w:p>
            <w:r>
              <w:rPr>
                <w:sz w:val="17"/>
              </w:rPr>
              <w:t>Pendampingan luring 12 LPTK, workshop, FGD, telaah teknis, penyusunan rencana aksi</w:t>
            </w:r>
          </w:p>
        </w:tc>
        <w:tc>
          <w:tcPr>
            <w:tcW w:type="dxa" w:w="2098"/>
            <w:tcBorders>
              <w:top w:val="single" w:sz="4" w:color="B0C0CF"/>
              <w:left w:val="single" w:sz="4" w:color="B0C0CF"/>
              <w:bottom w:val="single" w:sz="4" w:color="B0C0CF"/>
              <w:right w:val="single" w:sz="4" w:color="B0C0CF"/>
            </w:tcBorders>
            <w:vAlign w:val="center"/>
          </w:tcPr>
          <w:p>
            <w:r>
              <w:rPr>
                <w:sz w:val="17"/>
              </w:rPr>
              <w:t>Laporan Pendampingan per LPTK</w:t>
            </w:r>
          </w:p>
        </w:tc>
      </w:tr>
      <w:tr>
        <w:tc>
          <w:tcPr>
            <w:tcW w:type="dxa" w:w="1814"/>
            <w:tcBorders>
              <w:top w:val="single" w:sz="4" w:color="B0C0CF"/>
              <w:left w:val="single" w:sz="4" w:color="B0C0CF"/>
              <w:bottom w:val="single" w:sz="4" w:color="B0C0CF"/>
              <w:right w:val="single" w:sz="4" w:color="B0C0CF"/>
            </w:tcBorders>
            <w:shd w:val="clear" w:fill="EEF2F6"/>
            <w:vAlign w:val="center"/>
          </w:tcPr>
          <w:p>
            <w:r>
              <w:rPr>
                <w:sz w:val="17"/>
              </w:rPr>
              <w:t>04 Monitor &amp; Verify</w:t>
            </w:r>
          </w:p>
        </w:tc>
        <w:tc>
          <w:tcPr>
            <w:tcW w:type="dxa" w:w="1474"/>
            <w:tcBorders>
              <w:top w:val="single" w:sz="4" w:color="B0C0CF"/>
              <w:left w:val="single" w:sz="4" w:color="B0C0CF"/>
              <w:bottom w:val="single" w:sz="4" w:color="B0C0CF"/>
              <w:right w:val="single" w:sz="4" w:color="B0C0CF"/>
            </w:tcBorders>
            <w:shd w:val="clear" w:fill="EEF2F6"/>
            <w:vAlign w:val="center"/>
          </w:tcPr>
          <w:p>
            <w:r>
              <w:rPr>
                <w:sz w:val="17"/>
              </w:rPr>
              <w:t>Poin 3</w:t>
            </w:r>
          </w:p>
        </w:tc>
        <w:tc>
          <w:tcPr>
            <w:tcW w:type="dxa" w:w="4252"/>
            <w:tcBorders>
              <w:top w:val="single" w:sz="4" w:color="B0C0CF"/>
              <w:left w:val="single" w:sz="4" w:color="B0C0CF"/>
              <w:bottom w:val="single" w:sz="4" w:color="B0C0CF"/>
              <w:right w:val="single" w:sz="4" w:color="B0C0CF"/>
            </w:tcBorders>
            <w:shd w:val="clear" w:fill="EEF2F6"/>
            <w:vAlign w:val="center"/>
          </w:tcPr>
          <w:p>
            <w:r>
              <w:rPr>
                <w:sz w:val="17"/>
              </w:rPr>
              <w:t>Pemantauan RTL, konsultasi berkala, verifikasi bukti perbaikan</w:t>
            </w:r>
          </w:p>
        </w:tc>
        <w:tc>
          <w:tcPr>
            <w:tcW w:type="dxa" w:w="2098"/>
            <w:tcBorders>
              <w:top w:val="single" w:sz="4" w:color="B0C0CF"/>
              <w:left w:val="single" w:sz="4" w:color="B0C0CF"/>
              <w:bottom w:val="single" w:sz="4" w:color="B0C0CF"/>
              <w:right w:val="single" w:sz="4" w:color="B0C0CF"/>
            </w:tcBorders>
            <w:shd w:val="clear" w:fill="EEF2F6"/>
            <w:vAlign w:val="center"/>
          </w:tcPr>
          <w:p>
            <w:r>
              <w:rPr>
                <w:sz w:val="17"/>
              </w:rPr>
              <w:t>RTL Tracker, Evidence Register terisi</w:t>
            </w:r>
          </w:p>
        </w:tc>
      </w:tr>
      <w:tr>
        <w:tc>
          <w:tcPr>
            <w:tcW w:type="dxa" w:w="1814"/>
            <w:tcBorders>
              <w:top w:val="single" w:sz="4" w:color="B0C0CF"/>
              <w:left w:val="single" w:sz="4" w:color="B0C0CF"/>
              <w:bottom w:val="single" w:sz="4" w:color="B0C0CF"/>
              <w:right w:val="single" w:sz="4" w:color="B0C0CF"/>
            </w:tcBorders>
            <w:vAlign w:val="center"/>
          </w:tcPr>
          <w:p>
            <w:r>
              <w:rPr>
                <w:sz w:val="17"/>
              </w:rPr>
              <w:t>05 Evaluate &amp; Improve</w:t>
            </w:r>
          </w:p>
        </w:tc>
        <w:tc>
          <w:tcPr>
            <w:tcW w:type="dxa" w:w="1474"/>
            <w:tcBorders>
              <w:top w:val="single" w:sz="4" w:color="B0C0CF"/>
              <w:left w:val="single" w:sz="4" w:color="B0C0CF"/>
              <w:bottom w:val="single" w:sz="4" w:color="B0C0CF"/>
              <w:right w:val="single" w:sz="4" w:color="B0C0CF"/>
            </w:tcBorders>
            <w:vAlign w:val="center"/>
          </w:tcPr>
          <w:p>
            <w:r>
              <w:rPr>
                <w:sz w:val="17"/>
              </w:rPr>
              <w:t>Poin 4 dan 5</w:t>
            </w:r>
          </w:p>
        </w:tc>
        <w:tc>
          <w:tcPr>
            <w:tcW w:type="dxa" w:w="4252"/>
            <w:tcBorders>
              <w:top w:val="single" w:sz="4" w:color="B0C0CF"/>
              <w:left w:val="single" w:sz="4" w:color="B0C0CF"/>
              <w:bottom w:val="single" w:sz="4" w:color="B0C0CF"/>
              <w:right w:val="single" w:sz="4" w:color="B0C0CF"/>
            </w:tcBorders>
            <w:vAlign w:val="center"/>
          </w:tcPr>
          <w:p>
            <w:r>
              <w:rPr>
                <w:sz w:val="17"/>
              </w:rPr>
              <w:t>Studi komparatif, analisis pelaksanaan PPL, sintesis lintas LPTK, rekomendasi</w:t>
            </w:r>
          </w:p>
        </w:tc>
        <w:tc>
          <w:tcPr>
            <w:tcW w:type="dxa" w:w="2098"/>
            <w:tcBorders>
              <w:top w:val="single" w:sz="4" w:color="B0C0CF"/>
              <w:left w:val="single" w:sz="4" w:color="B0C0CF"/>
              <w:bottom w:val="single" w:sz="4" w:color="B0C0CF"/>
              <w:right w:val="single" w:sz="4" w:color="B0C0CF"/>
            </w:tcBorders>
            <w:vAlign w:val="center"/>
          </w:tcPr>
          <w:p>
            <w:r>
              <w:rPr>
                <w:sz w:val="17"/>
              </w:rPr>
              <w:t>Paket Laporan Akhir</w:t>
            </w:r>
          </w:p>
        </w:tc>
      </w:tr>
    </w:tbl>
    <w:tbl>
      <w:tblPr>
        <w:tblW w:type="auto" w:w="0"/>
        <w:jc w:val="center"/>
        <w:tblLook w:firstColumn="1" w:firstRow="1" w:lastColumn="0" w:lastRow="0" w:noHBand="0" w:noVBand="1" w:val="04A0"/>
      </w:tblPr>
      <w:tblGrid>
        <w:gridCol w:w="9752"/>
      </w:tblGrid>
      <w:tr>
        <w:tc>
          <w:tcPr>
            <w:tcW w:type="dxa" w:w="9752"/>
            <w:shd w:val="clear" w:fill="FFF4C2"/>
            <w:tcBorders>
              <w:top w:val="single" w:sz="6" w:color="C8930A"/>
              <w:left w:val="single" w:sz="6" w:color="C8930A"/>
              <w:bottom w:val="single" w:sz="6" w:color="C8930A"/>
              <w:right w:val="single" w:sz="6" w:color="C8930A"/>
            </w:tcBorders>
          </w:tcPr>
          <w:p>
            <w:r>
              <w:rPr>
                <w:i/>
                <w:color w:val="5A4206"/>
                <w:sz w:val="18"/>
              </w:rPr>
              <w:t>Fase 02 Design menghasilkan Rubrik Observasi PPL dan Panduan FGD Pemetaan PPL, yaitu dua instrumen di folder yang sama dengan dokumen ini. Keduanya dipakai langsung pada Fase 03 Deliver.</w:t>
            </w:r>
          </w:p>
        </w:tc>
      </w:tr>
    </w:tbl>
    <w:p>
      <w:pPr>
        <w:spacing w:after="80"/>
      </w:pPr>
    </w:p>
    <w:p>
      <w:pPr>
        <w:spacing w:before="280" w:after="120"/>
        <w:pBdr>
          <w:bottom w:val="single" w:sz="14" w:color="FFC00C"/>
        </w:pBdr>
      </w:pPr>
      <w:r>
        <w:rPr>
          <w:b/>
          <w:color w:val="092647"/>
          <w:sz w:val="30"/>
        </w:rPr>
        <w:t>3.  Tata Kelola dan Batas Peran</w:t>
      </w:r>
    </w:p>
    <w:p>
      <w:pPr>
        <w:spacing w:before="200" w:after="80"/>
      </w:pPr>
      <w:r>
        <w:rPr>
          <w:b/>
          <w:color w:val="2F7E9D"/>
          <w:sz w:val="23"/>
        </w:rPr>
        <w:t>3.1 Tiga Lapis Pengawasan</w:t>
      </w:r>
    </w:p>
    <w:tbl>
      <w:tblPr>
        <w:tblW w:type="auto" w:w="0"/>
        <w:jc w:val="center"/>
        <w:tblLayout w:type="autofit"/>
        <w:tblLook w:firstColumn="1" w:firstRow="1" w:lastColumn="0" w:lastRow="0" w:noHBand="0" w:noVBand="1" w:val="04A0"/>
      </w:tblPr>
      <w:tblGrid>
        <w:gridCol w:w="3251"/>
        <w:gridCol w:w="3251"/>
        <w:gridCol w:w="3251"/>
      </w:tblGrid>
      <w:tr>
        <w:tc>
          <w:tcPr>
            <w:tcW w:type="dxa" w:w="2154"/>
            <w:shd w:val="clear" w:fill="092647"/>
            <w:tcBorders>
              <w:top w:val="single" w:sz="4" w:color="B0C0CF"/>
              <w:left w:val="single" w:sz="4" w:color="B0C0CF"/>
              <w:bottom w:val="single" w:sz="4" w:color="B0C0CF"/>
              <w:right w:val="single" w:sz="4" w:color="B0C0CF"/>
            </w:tcBorders>
            <w:vAlign w:val="center"/>
          </w:tcPr>
          <w:p>
            <w:r>
              <w:rPr>
                <w:b/>
                <w:color w:val="FFFFFF"/>
                <w:sz w:val="17"/>
              </w:rPr>
              <w:t>Lapis</w:t>
            </w:r>
          </w:p>
        </w:tc>
        <w:tc>
          <w:tcPr>
            <w:tcW w:type="dxa" w:w="4252"/>
            <w:shd w:val="clear" w:fill="092647"/>
            <w:tcBorders>
              <w:top w:val="single" w:sz="4" w:color="B0C0CF"/>
              <w:left w:val="single" w:sz="4" w:color="B0C0CF"/>
              <w:bottom w:val="single" w:sz="4" w:color="B0C0CF"/>
              <w:right w:val="single" w:sz="4" w:color="B0C0CF"/>
            </w:tcBorders>
            <w:vAlign w:val="center"/>
          </w:tcPr>
          <w:p>
            <w:r>
              <w:rPr>
                <w:b/>
                <w:color w:val="FFFFFF"/>
                <w:sz w:val="17"/>
              </w:rPr>
              <w:t>Anggota</w:t>
            </w:r>
          </w:p>
        </w:tc>
        <w:tc>
          <w:tcPr>
            <w:tcW w:type="dxa" w:w="3231"/>
            <w:shd w:val="clear" w:fill="092647"/>
            <w:tcBorders>
              <w:top w:val="single" w:sz="4" w:color="B0C0CF"/>
              <w:left w:val="single" w:sz="4" w:color="B0C0CF"/>
              <w:bottom w:val="single" w:sz="4" w:color="B0C0CF"/>
              <w:right w:val="single" w:sz="4" w:color="B0C0CF"/>
            </w:tcBorders>
            <w:vAlign w:val="center"/>
          </w:tcPr>
          <w:p>
            <w:r>
              <w:rPr>
                <w:b/>
                <w:color w:val="FFFFFF"/>
                <w:sz w:val="17"/>
              </w:rPr>
              <w:t>Fungsi</w:t>
            </w:r>
          </w:p>
        </w:tc>
      </w:tr>
      <w:tr>
        <w:tc>
          <w:tcPr>
            <w:tcW w:type="dxa" w:w="2154"/>
            <w:tcBorders>
              <w:top w:val="single" w:sz="4" w:color="B0C0CF"/>
              <w:left w:val="single" w:sz="4" w:color="B0C0CF"/>
              <w:bottom w:val="single" w:sz="4" w:color="B0C0CF"/>
              <w:right w:val="single" w:sz="4" w:color="B0C0CF"/>
            </w:tcBorders>
            <w:vAlign w:val="center"/>
          </w:tcPr>
          <w:p>
            <w:r>
              <w:rPr>
                <w:sz w:val="17"/>
              </w:rPr>
              <w:t>Steering Committee</w:t>
            </w:r>
          </w:p>
        </w:tc>
        <w:tc>
          <w:tcPr>
            <w:tcW w:type="dxa" w:w="4252"/>
            <w:tcBorders>
              <w:top w:val="single" w:sz="4" w:color="B0C0CF"/>
              <w:left w:val="single" w:sz="4" w:color="B0C0CF"/>
              <w:bottom w:val="single" w:sz="4" w:color="B0C0CF"/>
              <w:right w:val="single" w:sz="4" w:color="B0C0CF"/>
            </w:tcBorders>
            <w:vAlign w:val="center"/>
          </w:tcPr>
          <w:p>
            <w:r>
              <w:rPr>
                <w:sz w:val="17"/>
              </w:rPr>
              <w:t>Kemendikdasmen (Direktorat PPG), Tanoto Foundation, Direktur Sanggabiz</w:t>
            </w:r>
          </w:p>
        </w:tc>
        <w:tc>
          <w:tcPr>
            <w:tcW w:type="dxa" w:w="3231"/>
            <w:tcBorders>
              <w:top w:val="single" w:sz="4" w:color="B0C0CF"/>
              <w:left w:val="single" w:sz="4" w:color="B0C0CF"/>
              <w:bottom w:val="single" w:sz="4" w:color="B0C0CF"/>
              <w:right w:val="single" w:sz="4" w:color="B0C0CF"/>
            </w:tcBorders>
            <w:vAlign w:val="center"/>
          </w:tcPr>
          <w:p>
            <w:r>
              <w:rPr>
                <w:sz w:val="17"/>
              </w:rPr>
              <w:t>Arah strategis, keputusan lingkup, jadwal, anggaran</w:t>
            </w:r>
          </w:p>
        </w:tc>
      </w:tr>
      <w:tr>
        <w:tc>
          <w:tcPr>
            <w:tcW w:type="dxa" w:w="2154"/>
            <w:tcBorders>
              <w:top w:val="single" w:sz="4" w:color="B0C0CF"/>
              <w:left w:val="single" w:sz="4" w:color="B0C0CF"/>
              <w:bottom w:val="single" w:sz="4" w:color="B0C0CF"/>
              <w:right w:val="single" w:sz="4" w:color="B0C0CF"/>
            </w:tcBorders>
            <w:shd w:val="clear" w:fill="EEF2F6"/>
            <w:vAlign w:val="center"/>
          </w:tcPr>
          <w:p>
            <w:r>
              <w:rPr>
                <w:sz w:val="17"/>
              </w:rPr>
              <w:t>Technical Committee</w:t>
            </w:r>
          </w:p>
        </w:tc>
        <w:tc>
          <w:tcPr>
            <w:tcW w:type="dxa" w:w="4252"/>
            <w:tcBorders>
              <w:top w:val="single" w:sz="4" w:color="B0C0CF"/>
              <w:left w:val="single" w:sz="4" w:color="B0C0CF"/>
              <w:bottom w:val="single" w:sz="4" w:color="B0C0CF"/>
              <w:right w:val="single" w:sz="4" w:color="B0C0CF"/>
            </w:tcBorders>
            <w:shd w:val="clear" w:fill="EEF2F6"/>
            <w:vAlign w:val="center"/>
          </w:tcPr>
          <w:p>
            <w:r>
              <w:rPr>
                <w:sz w:val="17"/>
              </w:rPr>
              <w:t>Perwakilan Direktorat PPG/TPN, unsur Kemdiktisaintek, Project Manager, Advisor, Analis</w:t>
            </w:r>
          </w:p>
        </w:tc>
        <w:tc>
          <w:tcPr>
            <w:tcW w:type="dxa" w:w="3231"/>
            <w:tcBorders>
              <w:top w:val="single" w:sz="4" w:color="B0C0CF"/>
              <w:left w:val="single" w:sz="4" w:color="B0C0CF"/>
              <w:bottom w:val="single" w:sz="4" w:color="B0C0CF"/>
              <w:right w:val="single" w:sz="4" w:color="B0C0CF"/>
            </w:tcBorders>
            <w:shd w:val="clear" w:fill="EEF2F6"/>
            <w:vAlign w:val="center"/>
          </w:tcPr>
          <w:p>
            <w:r>
              <w:rPr>
                <w:sz w:val="17"/>
              </w:rPr>
              <w:t>Menjaga mutu luaran, instrumen, jadwal kunjungan</w:t>
            </w:r>
          </w:p>
        </w:tc>
      </w:tr>
      <w:tr>
        <w:tc>
          <w:tcPr>
            <w:tcW w:type="dxa" w:w="2154"/>
            <w:tcBorders>
              <w:top w:val="single" w:sz="4" w:color="B0C0CF"/>
              <w:left w:val="single" w:sz="4" w:color="B0C0CF"/>
              <w:bottom w:val="single" w:sz="4" w:color="B0C0CF"/>
              <w:right w:val="single" w:sz="4" w:color="B0C0CF"/>
            </w:tcBorders>
            <w:vAlign w:val="center"/>
          </w:tcPr>
          <w:p>
            <w:r>
              <w:rPr>
                <w:sz w:val="17"/>
              </w:rPr>
              <w:t>Advisory Board</w:t>
            </w:r>
          </w:p>
        </w:tc>
        <w:tc>
          <w:tcPr>
            <w:tcW w:type="dxa" w:w="4252"/>
            <w:tcBorders>
              <w:top w:val="single" w:sz="4" w:color="B0C0CF"/>
              <w:left w:val="single" w:sz="4" w:color="B0C0CF"/>
              <w:bottom w:val="single" w:sz="4" w:color="B0C0CF"/>
              <w:right w:val="single" w:sz="4" w:color="B0C0CF"/>
            </w:tcBorders>
            <w:vAlign w:val="center"/>
          </w:tcPr>
          <w:p>
            <w:r>
              <w:rPr>
                <w:sz w:val="17"/>
              </w:rPr>
              <w:t>Ahli PPG, akreditasi, penjaminan mutu, evaluasi</w:t>
            </w:r>
          </w:p>
        </w:tc>
        <w:tc>
          <w:tcPr>
            <w:tcW w:type="dxa" w:w="3231"/>
            <w:tcBorders>
              <w:top w:val="single" w:sz="4" w:color="B0C0CF"/>
              <w:left w:val="single" w:sz="4" w:color="B0C0CF"/>
              <w:bottom w:val="single" w:sz="4" w:color="B0C0CF"/>
              <w:right w:val="single" w:sz="4" w:color="B0C0CF"/>
            </w:tcBorders>
            <w:vAlign w:val="center"/>
          </w:tcPr>
          <w:p>
            <w:r>
              <w:rPr>
                <w:sz w:val="17"/>
              </w:rPr>
              <w:t>Reviu metodologi dan draf laporan</w:t>
            </w:r>
          </w:p>
        </w:tc>
      </w:tr>
    </w:tbl>
    <w:p>
      <w:pPr>
        <w:spacing w:before="200" w:after="80"/>
      </w:pPr>
      <w:r>
        <w:rPr>
          <w:b/>
          <w:color w:val="2F7E9D"/>
          <w:sz w:val="23"/>
        </w:rPr>
        <w:t>3.2 Batas Peran Mitra Pelaksana</w:t>
      </w:r>
    </w:p>
    <w:p>
      <w:pPr>
        <w:spacing w:after="120"/>
      </w:pPr>
      <w:r>
        <w:rPr>
          <w:b w:val="0"/>
          <w:i w:val="0"/>
          <w:color w:val="222222"/>
          <w:sz w:val="20"/>
        </w:rPr>
        <w:t>Mitra pelaksana tidak menggantikan Tim Pendamping Nasional dan tidak menjanjikan pendampingan akreditasi yang bersifat substantif. Peran mitra adalah memastikan pendampingan itu terkoordinasi, terdata, dan terbukti. Koordinasi dengan Kemdiktisaintek dilakukan melalui Direktorat PPG, bukan langsung, sesuai struktur tim pendampingan bersama.</w:t>
      </w:r>
    </w:p>
    <w:p>
      <w:pPr>
        <w:spacing w:after="200"/>
        <w:pBdr>
          <w:bottom w:val="single" w:sz="10" w:color="B0C0CF"/>
        </w:pBdr>
      </w:pPr>
      <w:r>
        <w:rPr>
          <w:b/>
          <w:color w:val="092647"/>
          <w:sz w:val="18"/>
        </w:rPr>
        <w:t>SANGGABIZ</w:t>
      </w:r>
      <w:r>
        <w:rPr>
          <w:color w:val="5B6670"/>
          <w:sz w:val="16"/>
        </w:rPr>
        <w:t xml:space="preserve">   |   Pedoman Pendampingan Teknis, draf/contoh, belum final</w:t>
      </w:r>
    </w:p>
    <w:p>
      <w:pPr>
        <w:spacing w:before="280" w:after="120"/>
        <w:pBdr>
          <w:bottom w:val="single" w:sz="14" w:color="FFC00C"/>
        </w:pBdr>
      </w:pPr>
      <w:r>
        <w:rPr>
          <w:b/>
          <w:color w:val="092647"/>
          <w:sz w:val="30"/>
        </w:rPr>
        <w:t>4.  Prosedur Kerja per Fase</w:t>
      </w:r>
    </w:p>
    <w:p>
      <w:pPr>
        <w:spacing w:before="200" w:after="80"/>
      </w:pPr>
      <w:r>
        <w:rPr>
          <w:b/>
          <w:color w:val="2F7E9D"/>
          <w:sz w:val="23"/>
        </w:rPr>
        <w:t>Fase 01. Diagnose, sebelum kunjungan pertama</w:t>
      </w:r>
    </w:p>
    <w:p>
      <w:pPr>
        <w:pStyle w:val="ListNumber"/>
        <w:spacing w:after="60"/>
      </w:pPr>
      <w:r>
        <w:rPr>
          <w:sz w:val="20"/>
        </w:rPr>
        <w:t>Telaah laporan Supervisi 2025 dan RTL untuk masing-masing dari 12 LPTK.</w:t>
      </w:r>
    </w:p>
    <w:p>
      <w:pPr>
        <w:pStyle w:val="ListNumber"/>
        <w:spacing w:after="60"/>
      </w:pPr>
      <w:r>
        <w:rPr>
          <w:sz w:val="20"/>
        </w:rPr>
        <w:t>Isi skor baseline 1 sampai 4 pada lima elemen memakai Readiness Scorecard, dengan status bukti tiap elemen dicatat di Evidence Register.</w:t>
      </w:r>
    </w:p>
    <w:p>
      <w:pPr>
        <w:pStyle w:val="ListNumber"/>
        <w:spacing w:after="60"/>
      </w:pPr>
      <w:r>
        <w:rPr>
          <w:sz w:val="20"/>
        </w:rPr>
        <w:t>Konfirmasi kelompok pembanding studi komparatif bersama Tanoto Foundation dan Direktorat PPG, mengacu TOR Annex 1 dan 2.</w:t>
      </w:r>
    </w:p>
    <w:p>
      <w:pPr>
        <w:pStyle w:val="ListNumber"/>
        <w:spacing w:after="60"/>
      </w:pPr>
      <w:r>
        <w:rPr>
          <w:sz w:val="20"/>
        </w:rPr>
        <w:t>Susun Laporan Awal, mencakup rencana kerja, pemetaan jadwal Tim Pendamping Nasional, dan instrumen yang akan dipakai.</w:t>
      </w:r>
    </w:p>
    <w:p>
      <w:pPr>
        <w:spacing w:before="200" w:after="80"/>
      </w:pPr>
      <w:r>
        <w:rPr>
          <w:b/>
          <w:color w:val="2F7E9D"/>
          <w:sz w:val="23"/>
        </w:rPr>
        <w:t>Fase 02. Design, sebelum dan menjelang kunjungan</w:t>
      </w:r>
    </w:p>
    <w:p>
      <w:pPr>
        <w:pStyle w:val="ListNumber"/>
        <w:spacing w:after="60"/>
      </w:pPr>
      <w:r>
        <w:rPr>
          <w:sz w:val="20"/>
        </w:rPr>
        <w:t>Sempurnakan atau susun instrumen: Rubrik Observasi PPL dan Panduan FGD Pemetaan PPL (lihat dua dokumen terkait di folder ini).</w:t>
      </w:r>
    </w:p>
    <w:p>
      <w:pPr>
        <w:pStyle w:val="ListNumber"/>
        <w:spacing w:after="60"/>
      </w:pPr>
      <w:r>
        <w:rPr>
          <w:sz w:val="20"/>
        </w:rPr>
        <w:t>Susun jadwal kunjungan berklaster mengikuti lima klaster lokasi RFP bagian C.3.</w:t>
      </w:r>
    </w:p>
    <w:p>
      <w:pPr>
        <w:pStyle w:val="ListNumber"/>
        <w:spacing w:after="60"/>
      </w:pPr>
      <w:r>
        <w:rPr>
          <w:sz w:val="20"/>
        </w:rPr>
        <w:t>Siapkan Paket Kesiapan Dokumen untuk tiap LPTK, dikirim tujuh hari sebelum kunjungan.</w:t>
      </w:r>
    </w:p>
    <w:p>
      <w:pPr>
        <w:pStyle w:val="ListNumber"/>
        <w:spacing w:after="60"/>
      </w:pPr>
      <w:r>
        <w:rPr>
          <w:sz w:val="20"/>
        </w:rPr>
        <w:t>Lakukan kick-off dan penyelarasan bersama Tanoto Foundation dan Direktorat PPG.</w:t>
      </w:r>
    </w:p>
    <w:p>
      <w:pPr>
        <w:spacing w:before="200" w:after="80"/>
      </w:pPr>
      <w:r>
        <w:rPr>
          <w:b/>
          <w:color w:val="2F7E9D"/>
          <w:sz w:val="23"/>
        </w:rPr>
        <w:t>Fase 03. Deliver, saat kunjungan luring</w:t>
      </w:r>
    </w:p>
    <w:p>
      <w:pPr>
        <w:pStyle w:val="ListNumber"/>
        <w:spacing w:after="60"/>
      </w:pPr>
      <w:r>
        <w:rPr>
          <w:sz w:val="20"/>
        </w:rPr>
        <w:t>Koordinator Lapangan mendampingi kunjungan Tim Pendamping Nasional: mengatur jadwal, kesiapan dokumen, dan kebutuhan operasional.</w:t>
      </w:r>
    </w:p>
    <w:p>
      <w:pPr>
        <w:pStyle w:val="ListNumber"/>
        <w:spacing w:after="60"/>
      </w:pPr>
      <w:r>
        <w:rPr>
          <w:sz w:val="20"/>
        </w:rPr>
        <w:t>Observasi PPL memakai Rubrik Observasi PPL, diisi bersama DPL dan guru pamong.</w:t>
      </w:r>
    </w:p>
    <w:p>
      <w:pPr>
        <w:pStyle w:val="ListNumber"/>
        <w:spacing w:after="60"/>
      </w:pPr>
      <w:r>
        <w:rPr>
          <w:sz w:val="20"/>
        </w:rPr>
        <w:t>FGD pemetaan PPL dilaksanakan memakai Panduan FGD, untuk empat kelompok informan.</w:t>
      </w:r>
    </w:p>
    <w:p>
      <w:pPr>
        <w:pStyle w:val="ListNumber"/>
        <w:spacing w:after="60"/>
      </w:pPr>
      <w:r>
        <w:rPr>
          <w:sz w:val="20"/>
        </w:rPr>
        <w:t>Setiap bukti yang terkumpul dicatat di Evidence Register dengan status: terverifikasi, diklaim, atau belum ada.</w:t>
      </w:r>
    </w:p>
    <w:p>
      <w:pPr>
        <w:pStyle w:val="ListNumber"/>
        <w:spacing w:after="60"/>
      </w:pPr>
      <w:r>
        <w:rPr>
          <w:sz w:val="20"/>
        </w:rPr>
        <w:t>Susun Laporan Pendampingan dan Paket Perbaikan Akreditasi, paling lambat 14 hari setelah kunjungan.</w:t>
      </w:r>
    </w:p>
    <w:p>
      <w:pPr>
        <w:spacing w:before="200" w:after="80"/>
      </w:pPr>
      <w:r>
        <w:rPr>
          <w:b/>
          <w:color w:val="2F7E9D"/>
          <w:sz w:val="23"/>
        </w:rPr>
        <w:t>Fase 04. Monitor and Verify, berjalan sepanjang program</w:t>
      </w:r>
    </w:p>
    <w:p>
      <w:pPr>
        <w:pStyle w:val="ListNumber"/>
        <w:spacing w:after="60"/>
      </w:pPr>
      <w:r>
        <w:rPr>
          <w:sz w:val="20"/>
        </w:rPr>
        <w:t>Perbarui RTL Tracker secara berkala: status tiap rencana tindak lanjut adalah rencana, berjalan, selesai, atau terbukti.</w:t>
      </w:r>
    </w:p>
    <w:p>
      <w:pPr>
        <w:pStyle w:val="ListNumber"/>
        <w:spacing w:after="60"/>
      </w:pPr>
      <w:r>
        <w:rPr>
          <w:sz w:val="20"/>
        </w:rPr>
        <w:t>Lakukan konsultasi berkala dengan Tim Pendamping Nasional dan LPTK untuk menghimpun bukti kemajuan.</w:t>
      </w:r>
    </w:p>
    <w:p>
      <w:pPr>
        <w:pStyle w:val="ListNumber"/>
        <w:spacing w:after="60"/>
      </w:pPr>
      <w:r>
        <w:rPr>
          <w:sz w:val="20"/>
        </w:rPr>
        <w:t>Verifikasi independen dilakukan sebelum status RTL dinaikkan dari selesai menjadi terbukti. Lihat indikator lengkap di bagian 5.</w:t>
      </w:r>
    </w:p>
    <w:p>
      <w:pPr>
        <w:spacing w:before="200" w:after="80"/>
      </w:pPr>
      <w:r>
        <w:rPr>
          <w:b/>
          <w:color w:val="2F7E9D"/>
          <w:sz w:val="23"/>
        </w:rPr>
        <w:t>Fase 05. Evaluate and Improve, menjelang akhir program</w:t>
      </w:r>
    </w:p>
    <w:p>
      <w:pPr>
        <w:pStyle w:val="ListNumber"/>
        <w:spacing w:after="60"/>
      </w:pPr>
      <w:r>
        <w:rPr>
          <w:sz w:val="20"/>
        </w:rPr>
        <w:t>Verifikasi kemajuan akhir dan analisis lintas 12 LPTK.</w:t>
      </w:r>
    </w:p>
    <w:p>
      <w:pPr>
        <w:pStyle w:val="ListNumber"/>
        <w:spacing w:after="60"/>
      </w:pPr>
      <w:r>
        <w:rPr>
          <w:sz w:val="20"/>
        </w:rPr>
        <w:t>Susun studi komparatif memakai data yang tersedia dan pengumpulan informasi daring, tanpa kunjungan lapangan tambahan.</w:t>
      </w:r>
    </w:p>
    <w:p>
      <w:pPr>
        <w:pStyle w:val="ListNumber"/>
        <w:spacing w:after="60"/>
      </w:pPr>
      <w:r>
        <w:rPr>
          <w:sz w:val="20"/>
        </w:rPr>
        <w:t>Susun sintesis praktik baik, hambatan, dan rekomendasi untuk siklus pendampingan berikutnya.</w:t>
      </w:r>
    </w:p>
    <w:p>
      <w:pPr>
        <w:pStyle w:val="ListNumber"/>
        <w:spacing w:after="60"/>
      </w:pPr>
      <w:r>
        <w:rPr>
          <w:sz w:val="20"/>
        </w:rPr>
        <w:t>Serahkan Paket Laporan Akhir dan repositori data, paling lambat 7 Desember 2026.</w:t>
      </w:r>
    </w:p>
    <w:p>
      <w:r>
        <w:br w:type="page"/>
      </w:r>
    </w:p>
    <w:p>
      <w:pPr>
        <w:spacing w:after="200"/>
        <w:pBdr>
          <w:bottom w:val="single" w:sz="10" w:color="B0C0CF"/>
        </w:pBdr>
      </w:pPr>
      <w:r>
        <w:rPr>
          <w:b/>
          <w:color w:val="092647"/>
          <w:sz w:val="18"/>
        </w:rPr>
        <w:t>SANGGABIZ</w:t>
      </w:r>
      <w:r>
        <w:rPr>
          <w:color w:val="5B6670"/>
          <w:sz w:val="16"/>
        </w:rPr>
        <w:t xml:space="preserve">   |   Pedoman Pendampingan Teknis, draf/contoh, belum final</w:t>
      </w:r>
    </w:p>
    <w:p>
      <w:pPr>
        <w:spacing w:before="280" w:after="120"/>
        <w:pBdr>
          <w:bottom w:val="single" w:sz="14" w:color="FFC00C"/>
        </w:pBdr>
      </w:pPr>
      <w:r>
        <w:rPr>
          <w:b/>
          <w:color w:val="092647"/>
          <w:sz w:val="30"/>
        </w:rPr>
        <w:t>5.  Indikator Status RTL</w:t>
      </w:r>
    </w:p>
    <w:p>
      <w:pPr>
        <w:spacing w:after="120"/>
      </w:pPr>
      <w:r>
        <w:rPr>
          <w:b w:val="0"/>
          <w:i w:val="0"/>
          <w:color w:val="222222"/>
          <w:sz w:val="20"/>
        </w:rPr>
        <w:t>Setiap rencana tindak lanjut, disingkat RTL, dinilai memakai empat status berikut. Status selesai dan terbukti dibedakan dengan sengaja, mengikuti praktik baku pelacakan tindak lanjut audit internal: tindakan yang sudah dikerjakan dan tindakan yang sudah diverifikasi efektif adalah dua tahap yang berbeda.</w:t>
      </w:r>
    </w:p>
    <w:tbl>
      <w:tblPr>
        <w:tblW w:type="auto" w:w="0"/>
        <w:jc w:val="center"/>
        <w:tblLayout w:type="autofit"/>
        <w:tblLook w:firstColumn="1" w:firstRow="1" w:lastColumn="0" w:lastRow="0" w:noHBand="0" w:noVBand="1" w:val="04A0"/>
      </w:tblPr>
      <w:tblGrid>
        <w:gridCol w:w="3251"/>
        <w:gridCol w:w="3251"/>
        <w:gridCol w:w="3251"/>
      </w:tblGrid>
      <w:tr>
        <w:tc>
          <w:tcPr>
            <w:tcW w:type="dxa" w:w="1701"/>
            <w:shd w:val="clear" w:fill="092647"/>
            <w:tcBorders>
              <w:top w:val="single" w:sz="4" w:color="B0C0CF"/>
              <w:left w:val="single" w:sz="4" w:color="B0C0CF"/>
              <w:bottom w:val="single" w:sz="4" w:color="B0C0CF"/>
              <w:right w:val="single" w:sz="4" w:color="B0C0CF"/>
            </w:tcBorders>
            <w:vAlign w:val="center"/>
          </w:tcPr>
          <w:p>
            <w:r>
              <w:rPr>
                <w:b/>
                <w:color w:val="FFFFFF"/>
                <w:sz w:val="18"/>
              </w:rPr>
              <w:t>Status</w:t>
            </w:r>
          </w:p>
        </w:tc>
        <w:tc>
          <w:tcPr>
            <w:tcW w:type="dxa" w:w="3118"/>
            <w:shd w:val="clear" w:fill="092647"/>
            <w:tcBorders>
              <w:top w:val="single" w:sz="4" w:color="B0C0CF"/>
              <w:left w:val="single" w:sz="4" w:color="B0C0CF"/>
              <w:bottom w:val="single" w:sz="4" w:color="B0C0CF"/>
              <w:right w:val="single" w:sz="4" w:color="B0C0CF"/>
            </w:tcBorders>
            <w:vAlign w:val="center"/>
          </w:tcPr>
          <w:p>
            <w:r>
              <w:rPr>
                <w:b/>
                <w:color w:val="FFFFFF"/>
                <w:sz w:val="18"/>
              </w:rPr>
              <w:t>Definisi</w:t>
            </w:r>
          </w:p>
        </w:tc>
        <w:tc>
          <w:tcPr>
            <w:tcW w:type="dxa" w:w="4819"/>
            <w:shd w:val="clear" w:fill="092647"/>
            <w:tcBorders>
              <w:top w:val="single" w:sz="4" w:color="B0C0CF"/>
              <w:left w:val="single" w:sz="4" w:color="B0C0CF"/>
              <w:bottom w:val="single" w:sz="4" w:color="B0C0CF"/>
              <w:right w:val="single" w:sz="4" w:color="B0C0CF"/>
            </w:tcBorders>
            <w:vAlign w:val="center"/>
          </w:tcPr>
          <w:p>
            <w:r>
              <w:rPr>
                <w:b/>
                <w:color w:val="FFFFFF"/>
                <w:sz w:val="18"/>
              </w:rPr>
              <w:t>Syarat</w:t>
            </w:r>
          </w:p>
        </w:tc>
      </w:tr>
      <w:tr>
        <w:tc>
          <w:tcPr>
            <w:tcW w:type="dxa" w:w="1701"/>
            <w:tcBorders>
              <w:top w:val="single" w:sz="4" w:color="B0C0CF"/>
              <w:left w:val="single" w:sz="4" w:color="B0C0CF"/>
              <w:bottom w:val="single" w:sz="4" w:color="B0C0CF"/>
              <w:right w:val="single" w:sz="4" w:color="B0C0CF"/>
            </w:tcBorders>
            <w:vAlign w:val="center"/>
          </w:tcPr>
          <w:p>
            <w:r>
              <w:rPr>
                <w:sz w:val="18"/>
              </w:rPr>
              <w:t>Rencana</w:t>
            </w:r>
          </w:p>
        </w:tc>
        <w:tc>
          <w:tcPr>
            <w:tcW w:type="dxa" w:w="3118"/>
            <w:tcBorders>
              <w:top w:val="single" w:sz="4" w:color="B0C0CF"/>
              <w:left w:val="single" w:sz="4" w:color="B0C0CF"/>
              <w:bottom w:val="single" w:sz="4" w:color="B0C0CF"/>
              <w:right w:val="single" w:sz="4" w:color="B0C0CF"/>
            </w:tcBorders>
            <w:vAlign w:val="center"/>
          </w:tcPr>
          <w:p>
            <w:r>
              <w:rPr>
                <w:sz w:val="18"/>
              </w:rPr>
              <w:t>Belum dimulai</w:t>
            </w:r>
          </w:p>
        </w:tc>
        <w:tc>
          <w:tcPr>
            <w:tcW w:type="dxa" w:w="4819"/>
            <w:tcBorders>
              <w:top w:val="single" w:sz="4" w:color="B0C0CF"/>
              <w:left w:val="single" w:sz="4" w:color="B0C0CF"/>
              <w:bottom w:val="single" w:sz="4" w:color="B0C0CF"/>
              <w:right w:val="single" w:sz="4" w:color="B0C0CF"/>
            </w:tcBorders>
            <w:vAlign w:val="center"/>
          </w:tcPr>
          <w:p>
            <w:r>
              <w:rPr>
                <w:sz w:val="18"/>
              </w:rPr>
              <w:t>RTL tercatat di rencana 2025, belum ada bukti tindakan apa pun</w:t>
            </w:r>
          </w:p>
        </w:tc>
      </w:tr>
      <w:tr>
        <w:tc>
          <w:tcPr>
            <w:tcW w:type="dxa" w:w="1701"/>
            <w:tcBorders>
              <w:top w:val="single" w:sz="4" w:color="B0C0CF"/>
              <w:left w:val="single" w:sz="4" w:color="B0C0CF"/>
              <w:bottom w:val="single" w:sz="4" w:color="B0C0CF"/>
              <w:right w:val="single" w:sz="4" w:color="B0C0CF"/>
            </w:tcBorders>
            <w:shd w:val="clear" w:fill="EEF2F6"/>
            <w:vAlign w:val="center"/>
          </w:tcPr>
          <w:p>
            <w:r>
              <w:rPr>
                <w:sz w:val="18"/>
              </w:rPr>
              <w:t>Berjalan</w:t>
            </w:r>
          </w:p>
        </w:tc>
        <w:tc>
          <w:tcPr>
            <w:tcW w:type="dxa" w:w="3118"/>
            <w:tcBorders>
              <w:top w:val="single" w:sz="4" w:color="B0C0CF"/>
              <w:left w:val="single" w:sz="4" w:color="B0C0CF"/>
              <w:bottom w:val="single" w:sz="4" w:color="B0C0CF"/>
              <w:right w:val="single" w:sz="4" w:color="B0C0CF"/>
            </w:tcBorders>
            <w:shd w:val="clear" w:fill="EEF2F6"/>
            <w:vAlign w:val="center"/>
          </w:tcPr>
          <w:p>
            <w:r>
              <w:rPr>
                <w:sz w:val="18"/>
              </w:rPr>
              <w:t>Sedang dikerjakan</w:t>
            </w:r>
          </w:p>
        </w:tc>
        <w:tc>
          <w:tcPr>
            <w:tcW w:type="dxa" w:w="4819"/>
            <w:tcBorders>
              <w:top w:val="single" w:sz="4" w:color="B0C0CF"/>
              <w:left w:val="single" w:sz="4" w:color="B0C0CF"/>
              <w:bottom w:val="single" w:sz="4" w:color="B0C0CF"/>
              <w:right w:val="single" w:sz="4" w:color="B0C0CF"/>
            </w:tcBorders>
            <w:shd w:val="clear" w:fill="EEF2F6"/>
            <w:vAlign w:val="center"/>
          </w:tcPr>
          <w:p>
            <w:r>
              <w:rPr>
                <w:sz w:val="18"/>
              </w:rPr>
              <w:t>Ada bukti awal seperti draf dokumen atau notulen rapat, belum tuntas</w:t>
            </w:r>
          </w:p>
        </w:tc>
      </w:tr>
      <w:tr>
        <w:tc>
          <w:tcPr>
            <w:tcW w:type="dxa" w:w="1701"/>
            <w:tcBorders>
              <w:top w:val="single" w:sz="4" w:color="B0C0CF"/>
              <w:left w:val="single" w:sz="4" w:color="B0C0CF"/>
              <w:bottom w:val="single" w:sz="4" w:color="B0C0CF"/>
              <w:right w:val="single" w:sz="4" w:color="B0C0CF"/>
            </w:tcBorders>
            <w:vAlign w:val="center"/>
          </w:tcPr>
          <w:p>
            <w:r>
              <w:rPr>
                <w:sz w:val="18"/>
              </w:rPr>
              <w:t>Selesai</w:t>
            </w:r>
          </w:p>
        </w:tc>
        <w:tc>
          <w:tcPr>
            <w:tcW w:type="dxa" w:w="3118"/>
            <w:tcBorders>
              <w:top w:val="single" w:sz="4" w:color="B0C0CF"/>
              <w:left w:val="single" w:sz="4" w:color="B0C0CF"/>
              <w:bottom w:val="single" w:sz="4" w:color="B0C0CF"/>
              <w:right w:val="single" w:sz="4" w:color="B0C0CF"/>
            </w:tcBorders>
            <w:vAlign w:val="center"/>
          </w:tcPr>
          <w:p>
            <w:r>
              <w:rPr>
                <w:sz w:val="18"/>
              </w:rPr>
              <w:t>Diklaim tuntas oleh LPTK</w:t>
            </w:r>
          </w:p>
        </w:tc>
        <w:tc>
          <w:tcPr>
            <w:tcW w:type="dxa" w:w="4819"/>
            <w:tcBorders>
              <w:top w:val="single" w:sz="4" w:color="B0C0CF"/>
              <w:left w:val="single" w:sz="4" w:color="B0C0CF"/>
              <w:bottom w:val="single" w:sz="4" w:color="B0C0CF"/>
              <w:right w:val="single" w:sz="4" w:color="B0C0CF"/>
            </w:tcBorders>
            <w:vAlign w:val="center"/>
          </w:tcPr>
          <w:p>
            <w:r>
              <w:rPr>
                <w:sz w:val="18"/>
              </w:rPr>
              <w:t>Output sudah jadi, namun ini laporan LPTK sendiri, status buktinya diklaim</w:t>
            </w:r>
          </w:p>
        </w:tc>
      </w:tr>
      <w:tr>
        <w:tc>
          <w:tcPr>
            <w:tcW w:type="dxa" w:w="1701"/>
            <w:tcBorders>
              <w:top w:val="single" w:sz="4" w:color="B0C0CF"/>
              <w:left w:val="single" w:sz="4" w:color="B0C0CF"/>
              <w:bottom w:val="single" w:sz="4" w:color="B0C0CF"/>
              <w:right w:val="single" w:sz="4" w:color="B0C0CF"/>
            </w:tcBorders>
            <w:shd w:val="clear" w:fill="EEF2F6"/>
            <w:vAlign w:val="center"/>
          </w:tcPr>
          <w:p>
            <w:r>
              <w:rPr>
                <w:sz w:val="18"/>
              </w:rPr>
              <w:t>Terbukti</w:t>
            </w:r>
          </w:p>
        </w:tc>
        <w:tc>
          <w:tcPr>
            <w:tcW w:type="dxa" w:w="3118"/>
            <w:tcBorders>
              <w:top w:val="single" w:sz="4" w:color="B0C0CF"/>
              <w:left w:val="single" w:sz="4" w:color="B0C0CF"/>
              <w:bottom w:val="single" w:sz="4" w:color="B0C0CF"/>
              <w:right w:val="single" w:sz="4" w:color="B0C0CF"/>
            </w:tcBorders>
            <w:shd w:val="clear" w:fill="EEF2F6"/>
            <w:vAlign w:val="center"/>
          </w:tcPr>
          <w:p>
            <w:r>
              <w:rPr>
                <w:sz w:val="18"/>
              </w:rPr>
              <w:t>Diverifikasi independen</w:t>
            </w:r>
          </w:p>
        </w:tc>
        <w:tc>
          <w:tcPr>
            <w:tcW w:type="dxa" w:w="4819"/>
            <w:tcBorders>
              <w:top w:val="single" w:sz="4" w:color="B0C0CF"/>
              <w:left w:val="single" w:sz="4" w:color="B0C0CF"/>
              <w:bottom w:val="single" w:sz="4" w:color="B0C0CF"/>
              <w:right w:val="single" w:sz="4" w:color="B0C0CF"/>
            </w:tcBorders>
            <w:shd w:val="clear" w:fill="EEF2F6"/>
            <w:vAlign w:val="center"/>
          </w:tcPr>
          <w:p>
            <w:r>
              <w:rPr>
                <w:sz w:val="18"/>
              </w:rPr>
              <w:t>Mitra atau Tim Pendamping Nasional sudah mengecek langsung, status buktinya terverifikasi</w:t>
            </w:r>
          </w:p>
        </w:tc>
      </w:tr>
    </w:tbl>
    <w:tbl>
      <w:tblPr>
        <w:tblW w:type="auto" w:w="0"/>
        <w:jc w:val="center"/>
        <w:tblLook w:firstColumn="1" w:firstRow="1" w:lastColumn="0" w:lastRow="0" w:noHBand="0" w:noVBand="1" w:val="04A0"/>
      </w:tblPr>
      <w:tblGrid>
        <w:gridCol w:w="9752"/>
      </w:tblGrid>
      <w:tr>
        <w:tc>
          <w:tcPr>
            <w:tcW w:type="dxa" w:w="9752"/>
            <w:shd w:val="clear" w:fill="FFF4C2"/>
            <w:tcBorders>
              <w:top w:val="single" w:sz="6" w:color="C8930A"/>
              <w:left w:val="single" w:sz="6" w:color="C8930A"/>
              <w:bottom w:val="single" w:sz="6" w:color="C8930A"/>
              <w:right w:val="single" w:sz="6" w:color="C8930A"/>
            </w:tcBorders>
          </w:tcPr>
          <w:p>
            <w:r>
              <w:rPr>
                <w:i/>
                <w:color w:val="5A4206"/>
                <w:sz w:val="18"/>
              </w:rPr>
              <w:t>Prinsip: selesai berarti klaim sepihak, terbukti berarti sudah dicek pihak lain. Klaim tanpa dokumen dicatat sebagai diklaim, bukan terverifikasi. Tidak ada bukti yang dibuat atau direkayasa.</w:t>
            </w:r>
          </w:p>
        </w:tc>
      </w:tr>
    </w:tbl>
    <w:p>
      <w:pPr>
        <w:spacing w:after="80"/>
      </w:pPr>
    </w:p>
    <w:p>
      <w:pPr>
        <w:spacing w:before="280" w:after="120"/>
        <w:pBdr>
          <w:bottom w:val="single" w:sz="14" w:color="FFC00C"/>
        </w:pBdr>
      </w:pPr>
      <w:r>
        <w:rPr>
          <w:b/>
          <w:color w:val="092647"/>
          <w:sz w:val="30"/>
        </w:rPr>
        <w:t>6.  Standar Mutu Luaran dan Pengelolaan Data</w:t>
      </w:r>
    </w:p>
    <w:p>
      <w:pPr>
        <w:spacing w:before="200" w:after="80"/>
      </w:pPr>
      <w:r>
        <w:rPr>
          <w:b/>
          <w:color w:val="2F7E9D"/>
          <w:sz w:val="23"/>
        </w:rPr>
        <w:t>6.1 Prinsip Mutu Luaran</w:t>
      </w:r>
    </w:p>
    <w:p>
      <w:pPr>
        <w:pStyle w:val="ListBullet"/>
        <w:spacing w:after="60"/>
      </w:pPr>
      <w:r>
        <w:rPr>
          <w:sz w:val="20"/>
        </w:rPr>
        <w:t>Ikuti format yang disepakati Direktorat PPG dan Tanoto Foundation.</w:t>
      </w:r>
    </w:p>
    <w:p>
      <w:pPr>
        <w:pStyle w:val="ListBullet"/>
        <w:spacing w:after="60"/>
      </w:pPr>
      <w:r>
        <w:rPr>
          <w:sz w:val="20"/>
        </w:rPr>
        <w:t>Bedakan jelas antara kondisi awal, kondisi terkini, rekomendasi, tindakan, dan hasil.</w:t>
      </w:r>
    </w:p>
    <w:p>
      <w:pPr>
        <w:pStyle w:val="ListBullet"/>
        <w:spacing w:after="60"/>
      </w:pPr>
      <w:r>
        <w:rPr>
          <w:sz w:val="20"/>
        </w:rPr>
        <w:t>Setiap klaim didukung bukti yang dapat ditelusuri.</w:t>
      </w:r>
    </w:p>
    <w:p>
      <w:pPr>
        <w:pStyle w:val="ListBullet"/>
        <w:spacing w:after="60"/>
      </w:pPr>
      <w:r>
        <w:rPr>
          <w:sz w:val="20"/>
        </w:rPr>
        <w:t>Setiap tindak lanjut punya penanggung jawab dan target waktu.</w:t>
      </w:r>
    </w:p>
    <w:p>
      <w:pPr>
        <w:pStyle w:val="ListBullet"/>
        <w:spacing w:after="60"/>
      </w:pPr>
      <w:r>
        <w:rPr>
          <w:sz w:val="20"/>
        </w:rPr>
        <w:t>Gabungkan analisis kuantitatif dan kualitatif secara tepat.</w:t>
      </w:r>
    </w:p>
    <w:p>
      <w:pPr>
        <w:pStyle w:val="ListBullet"/>
        <w:spacing w:after="60"/>
      </w:pPr>
      <w:r>
        <w:rPr>
          <w:sz w:val="20"/>
        </w:rPr>
        <w:t>Serahkan PDF final dan versi yang dapat diedit.</w:t>
      </w:r>
    </w:p>
    <w:p>
      <w:pPr>
        <w:pStyle w:val="ListBullet"/>
        <w:spacing w:after="60"/>
      </w:pPr>
      <w:r>
        <w:rPr>
          <w:sz w:val="20"/>
        </w:rPr>
        <w:t>Akomodasi semua komentar Direktorat PPG dan Tanoto Foundation.</w:t>
      </w:r>
    </w:p>
    <w:p>
      <w:pPr>
        <w:spacing w:before="200" w:after="80"/>
      </w:pPr>
      <w:r>
        <w:rPr>
          <w:b/>
          <w:color w:val="2F7E9D"/>
          <w:sz w:val="23"/>
        </w:rPr>
        <w:t>6.2 Pengelolaan Data</w:t>
      </w:r>
    </w:p>
    <w:p>
      <w:pPr>
        <w:pStyle w:val="ListBullet"/>
        <w:spacing w:after="60"/>
      </w:pPr>
      <w:r>
        <w:rPr>
          <w:sz w:val="20"/>
        </w:rPr>
        <w:t>Repositori terpusat dengan akses berlapis menurut peran, penamaan dan versi baku, log akses dan pencadangan.</w:t>
      </w:r>
    </w:p>
    <w:p>
      <w:pPr>
        <w:pStyle w:val="ListBullet"/>
        <w:spacing w:after="60"/>
      </w:pPr>
      <w:r>
        <w:rPr>
          <w:sz w:val="20"/>
        </w:rPr>
        <w:t>Minimasi data pribadi. Persetujuan atau consent diminta untuk FGD dan rekaman.</w:t>
      </w:r>
    </w:p>
    <w:p>
      <w:pPr>
        <w:pStyle w:val="ListBullet"/>
        <w:spacing w:after="60"/>
      </w:pPr>
      <w:r>
        <w:rPr>
          <w:sz w:val="20"/>
        </w:rPr>
        <w:t>Tidak mempublikasikan data atau hasil program tanpa persetujuan tertulis Tanoto Foundation dan Direktorat PPG.</w:t>
      </w:r>
    </w:p>
    <w:p>
      <w:r>
        <w:br w:type="page"/>
      </w:r>
    </w:p>
    <w:p>
      <w:pPr>
        <w:spacing w:after="200"/>
        <w:pBdr>
          <w:bottom w:val="single" w:sz="10" w:color="B0C0CF"/>
        </w:pBdr>
      </w:pPr>
      <w:r>
        <w:rPr>
          <w:b/>
          <w:color w:val="092647"/>
          <w:sz w:val="18"/>
        </w:rPr>
        <w:t>SANGGABIZ</w:t>
      </w:r>
      <w:r>
        <w:rPr>
          <w:color w:val="5B6670"/>
          <w:sz w:val="16"/>
        </w:rPr>
        <w:t xml:space="preserve">   |   Pedoman Pendampingan Teknis, draf/contoh, belum final</w:t>
      </w:r>
    </w:p>
    <w:p>
      <w:pPr>
        <w:spacing w:before="280" w:after="120"/>
        <w:pBdr>
          <w:bottom w:val="single" w:sz="14" w:color="FFC00C"/>
        </w:pBdr>
      </w:pPr>
      <w:r>
        <w:rPr>
          <w:b/>
          <w:color w:val="092647"/>
          <w:sz w:val="30"/>
        </w:rPr>
        <w:t>7.  Daftar Instrumen dan Alat Kerja</w:t>
      </w:r>
    </w:p>
    <w:tbl>
      <w:tblPr>
        <w:tblW w:type="auto" w:w="0"/>
        <w:jc w:val="center"/>
        <w:tblLayout w:type="autofit"/>
        <w:tblLook w:firstColumn="1" w:firstRow="1" w:lastColumn="0" w:lastRow="0" w:noHBand="0" w:noVBand="1" w:val="04A0"/>
      </w:tblPr>
      <w:tblGrid>
        <w:gridCol w:w="2438"/>
        <w:gridCol w:w="2438"/>
        <w:gridCol w:w="2438"/>
        <w:gridCol w:w="2438"/>
      </w:tblGrid>
      <w:tr>
        <w:tc>
          <w:tcPr>
            <w:tcW w:type="dxa" w:w="2268"/>
            <w:shd w:val="clear" w:fill="092647"/>
            <w:tcBorders>
              <w:top w:val="single" w:sz="4" w:color="B0C0CF"/>
              <w:left w:val="single" w:sz="4" w:color="B0C0CF"/>
              <w:bottom w:val="single" w:sz="4" w:color="B0C0CF"/>
              <w:right w:val="single" w:sz="4" w:color="B0C0CF"/>
            </w:tcBorders>
            <w:vAlign w:val="center"/>
          </w:tcPr>
          <w:p>
            <w:r>
              <w:rPr>
                <w:b/>
                <w:color w:val="FFFFFF"/>
                <w:sz w:val="17"/>
              </w:rPr>
              <w:t>Alat</w:t>
            </w:r>
          </w:p>
        </w:tc>
        <w:tc>
          <w:tcPr>
            <w:tcW w:type="dxa" w:w="2154"/>
            <w:shd w:val="clear" w:fill="092647"/>
            <w:tcBorders>
              <w:top w:val="single" w:sz="4" w:color="B0C0CF"/>
              <w:left w:val="single" w:sz="4" w:color="B0C0CF"/>
              <w:bottom w:val="single" w:sz="4" w:color="B0C0CF"/>
              <w:right w:val="single" w:sz="4" w:color="B0C0CF"/>
            </w:tcBorders>
            <w:vAlign w:val="center"/>
          </w:tcPr>
          <w:p>
            <w:r>
              <w:rPr>
                <w:b/>
                <w:color w:val="FFFFFF"/>
                <w:sz w:val="17"/>
              </w:rPr>
              <w:t>Fase</w:t>
            </w:r>
          </w:p>
        </w:tc>
        <w:tc>
          <w:tcPr>
            <w:tcW w:type="dxa" w:w="2835"/>
            <w:shd w:val="clear" w:fill="092647"/>
            <w:tcBorders>
              <w:top w:val="single" w:sz="4" w:color="B0C0CF"/>
              <w:left w:val="single" w:sz="4" w:color="B0C0CF"/>
              <w:bottom w:val="single" w:sz="4" w:color="B0C0CF"/>
              <w:right w:val="single" w:sz="4" w:color="B0C0CF"/>
            </w:tcBorders>
            <w:vAlign w:val="center"/>
          </w:tcPr>
          <w:p>
            <w:r>
              <w:rPr>
                <w:b/>
                <w:color w:val="FFFFFF"/>
                <w:sz w:val="17"/>
              </w:rPr>
              <w:t>Bentuk</w:t>
            </w:r>
          </w:p>
        </w:tc>
        <w:tc>
          <w:tcPr>
            <w:tcW w:type="dxa" w:w="2381"/>
            <w:shd w:val="clear" w:fill="092647"/>
            <w:tcBorders>
              <w:top w:val="single" w:sz="4" w:color="B0C0CF"/>
              <w:left w:val="single" w:sz="4" w:color="B0C0CF"/>
              <w:bottom w:val="single" w:sz="4" w:color="B0C0CF"/>
              <w:right w:val="single" w:sz="4" w:color="B0C0CF"/>
            </w:tcBorders>
            <w:vAlign w:val="center"/>
          </w:tcPr>
          <w:p>
            <w:r>
              <w:rPr>
                <w:b/>
                <w:color w:val="FFFFFF"/>
                <w:sz w:val="17"/>
              </w:rPr>
              <w:t>Lokasi</w:t>
            </w:r>
          </w:p>
        </w:tc>
      </w:tr>
      <w:tr>
        <w:tc>
          <w:tcPr>
            <w:tcW w:type="dxa" w:w="2268"/>
            <w:tcBorders>
              <w:top w:val="single" w:sz="4" w:color="B0C0CF"/>
              <w:left w:val="single" w:sz="4" w:color="B0C0CF"/>
              <w:bottom w:val="single" w:sz="4" w:color="B0C0CF"/>
              <w:right w:val="single" w:sz="4" w:color="B0C0CF"/>
            </w:tcBorders>
            <w:vAlign w:val="center"/>
          </w:tcPr>
          <w:p>
            <w:r>
              <w:rPr>
                <w:sz w:val="17"/>
              </w:rPr>
              <w:t>Readiness Scorecard</w:t>
            </w:r>
          </w:p>
        </w:tc>
        <w:tc>
          <w:tcPr>
            <w:tcW w:type="dxa" w:w="2154"/>
            <w:tcBorders>
              <w:top w:val="single" w:sz="4" w:color="B0C0CF"/>
              <w:left w:val="single" w:sz="4" w:color="B0C0CF"/>
              <w:bottom w:val="single" w:sz="4" w:color="B0C0CF"/>
              <w:right w:val="single" w:sz="4" w:color="B0C0CF"/>
            </w:tcBorders>
            <w:vAlign w:val="center"/>
          </w:tcPr>
          <w:p>
            <w:r>
              <w:rPr>
                <w:sz w:val="17"/>
              </w:rPr>
              <w:t>01 Diagnose, 04 Monitor &amp; Verify</w:t>
            </w:r>
          </w:p>
        </w:tc>
        <w:tc>
          <w:tcPr>
            <w:tcW w:type="dxa" w:w="2835"/>
            <w:tcBorders>
              <w:top w:val="single" w:sz="4" w:color="B0C0CF"/>
              <w:left w:val="single" w:sz="4" w:color="B0C0CF"/>
              <w:bottom w:val="single" w:sz="4" w:color="B0C0CF"/>
              <w:right w:val="single" w:sz="4" w:color="B0C0CF"/>
            </w:tcBorders>
            <w:vAlign w:val="center"/>
          </w:tcPr>
          <w:p>
            <w:r>
              <w:rPr>
                <w:sz w:val="17"/>
              </w:rPr>
              <w:t>Tabel skor 1 sampai 4 per elemen per LPTK</w:t>
            </w:r>
          </w:p>
        </w:tc>
        <w:tc>
          <w:tcPr>
            <w:tcW w:type="dxa" w:w="2381"/>
            <w:tcBorders>
              <w:top w:val="single" w:sz="4" w:color="B0C0CF"/>
              <w:left w:val="single" w:sz="4" w:color="B0C0CF"/>
              <w:bottom w:val="single" w:sz="4" w:color="B0C0CF"/>
              <w:right w:val="single" w:sz="4" w:color="B0C0CF"/>
            </w:tcBorders>
            <w:vAlign w:val="center"/>
          </w:tcPr>
          <w:p>
            <w:r>
              <w:rPr>
                <w:sz w:val="17"/>
              </w:rPr>
              <w:t>Dashboard Kesiapan Akreditasi</w:t>
            </w:r>
          </w:p>
        </w:tc>
      </w:tr>
      <w:tr>
        <w:tc>
          <w:tcPr>
            <w:tcW w:type="dxa" w:w="2268"/>
            <w:tcBorders>
              <w:top w:val="single" w:sz="4" w:color="B0C0CF"/>
              <w:left w:val="single" w:sz="4" w:color="B0C0CF"/>
              <w:bottom w:val="single" w:sz="4" w:color="B0C0CF"/>
              <w:right w:val="single" w:sz="4" w:color="B0C0CF"/>
            </w:tcBorders>
            <w:shd w:val="clear" w:fill="EEF2F6"/>
            <w:vAlign w:val="center"/>
          </w:tcPr>
          <w:p>
            <w:r>
              <w:rPr>
                <w:sz w:val="17"/>
              </w:rPr>
              <w:t>Rubrik Observasi PPL</w:t>
            </w:r>
          </w:p>
        </w:tc>
        <w:tc>
          <w:tcPr>
            <w:tcW w:type="dxa" w:w="2154"/>
            <w:tcBorders>
              <w:top w:val="single" w:sz="4" w:color="B0C0CF"/>
              <w:left w:val="single" w:sz="4" w:color="B0C0CF"/>
              <w:bottom w:val="single" w:sz="4" w:color="B0C0CF"/>
              <w:right w:val="single" w:sz="4" w:color="B0C0CF"/>
            </w:tcBorders>
            <w:shd w:val="clear" w:fill="EEF2F6"/>
            <w:vAlign w:val="center"/>
          </w:tcPr>
          <w:p>
            <w:r>
              <w:rPr>
                <w:sz w:val="17"/>
              </w:rPr>
              <w:t>02 Design, 03 Deliver</w:t>
            </w:r>
          </w:p>
        </w:tc>
        <w:tc>
          <w:tcPr>
            <w:tcW w:type="dxa" w:w="2835"/>
            <w:tcBorders>
              <w:top w:val="single" w:sz="4" w:color="B0C0CF"/>
              <w:left w:val="single" w:sz="4" w:color="B0C0CF"/>
              <w:bottom w:val="single" w:sz="4" w:color="B0C0CF"/>
              <w:right w:val="single" w:sz="4" w:color="B0C0CF"/>
            </w:tcBorders>
            <w:shd w:val="clear" w:fill="EEF2F6"/>
            <w:vAlign w:val="center"/>
          </w:tcPr>
          <w:p>
            <w:r>
              <w:rPr>
                <w:sz w:val="17"/>
              </w:rPr>
              <w:t>Dokumen cetak, enam dimensi PPL</w:t>
            </w:r>
          </w:p>
        </w:tc>
        <w:tc>
          <w:tcPr>
            <w:tcW w:type="dxa" w:w="2381"/>
            <w:tcBorders>
              <w:top w:val="single" w:sz="4" w:color="B0C0CF"/>
              <w:left w:val="single" w:sz="4" w:color="B0C0CF"/>
              <w:bottom w:val="single" w:sz="4" w:color="B0C0CF"/>
              <w:right w:val="single" w:sz="4" w:color="B0C0CF"/>
            </w:tcBorders>
            <w:shd w:val="clear" w:fill="EEF2F6"/>
            <w:vAlign w:val="center"/>
          </w:tcPr>
          <w:p>
            <w:r>
              <w:rPr>
                <w:sz w:val="17"/>
              </w:rPr>
              <w:t>Rubrik-Observasi-PPL.pdf/.docx (folder ini)</w:t>
            </w:r>
          </w:p>
        </w:tc>
      </w:tr>
      <w:tr>
        <w:tc>
          <w:tcPr>
            <w:tcW w:type="dxa" w:w="2268"/>
            <w:tcBorders>
              <w:top w:val="single" w:sz="4" w:color="B0C0CF"/>
              <w:left w:val="single" w:sz="4" w:color="B0C0CF"/>
              <w:bottom w:val="single" w:sz="4" w:color="B0C0CF"/>
              <w:right w:val="single" w:sz="4" w:color="B0C0CF"/>
            </w:tcBorders>
            <w:vAlign w:val="center"/>
          </w:tcPr>
          <w:p>
            <w:r>
              <w:rPr>
                <w:sz w:val="17"/>
              </w:rPr>
              <w:t>Panduan FGD Pemetaan PPL</w:t>
            </w:r>
          </w:p>
        </w:tc>
        <w:tc>
          <w:tcPr>
            <w:tcW w:type="dxa" w:w="2154"/>
            <w:tcBorders>
              <w:top w:val="single" w:sz="4" w:color="B0C0CF"/>
              <w:left w:val="single" w:sz="4" w:color="B0C0CF"/>
              <w:bottom w:val="single" w:sz="4" w:color="B0C0CF"/>
              <w:right w:val="single" w:sz="4" w:color="B0C0CF"/>
            </w:tcBorders>
            <w:vAlign w:val="center"/>
          </w:tcPr>
          <w:p>
            <w:r>
              <w:rPr>
                <w:sz w:val="17"/>
              </w:rPr>
              <w:t>02 Design, 03 Deliver</w:t>
            </w:r>
          </w:p>
        </w:tc>
        <w:tc>
          <w:tcPr>
            <w:tcW w:type="dxa" w:w="2835"/>
            <w:tcBorders>
              <w:top w:val="single" w:sz="4" w:color="B0C0CF"/>
              <w:left w:val="single" w:sz="4" w:color="B0C0CF"/>
              <w:bottom w:val="single" w:sz="4" w:color="B0C0CF"/>
              <w:right w:val="single" w:sz="4" w:color="B0C0CF"/>
            </w:tcBorders>
            <w:vAlign w:val="center"/>
          </w:tcPr>
          <w:p>
            <w:r>
              <w:rPr>
                <w:sz w:val="17"/>
              </w:rPr>
              <w:t>Dokumen cetak, empat sesi kelompok informan</w:t>
            </w:r>
          </w:p>
        </w:tc>
        <w:tc>
          <w:tcPr>
            <w:tcW w:type="dxa" w:w="2381"/>
            <w:tcBorders>
              <w:top w:val="single" w:sz="4" w:color="B0C0CF"/>
              <w:left w:val="single" w:sz="4" w:color="B0C0CF"/>
              <w:bottom w:val="single" w:sz="4" w:color="B0C0CF"/>
              <w:right w:val="single" w:sz="4" w:color="B0C0CF"/>
            </w:tcBorders>
            <w:vAlign w:val="center"/>
          </w:tcPr>
          <w:p>
            <w:r>
              <w:rPr>
                <w:sz w:val="17"/>
              </w:rPr>
              <w:t>Panduan-FGD-Pemetaan-PPL.pdf/.docx (folder ini)</w:t>
            </w:r>
          </w:p>
        </w:tc>
      </w:tr>
      <w:tr>
        <w:tc>
          <w:tcPr>
            <w:tcW w:type="dxa" w:w="2268"/>
            <w:tcBorders>
              <w:top w:val="single" w:sz="4" w:color="B0C0CF"/>
              <w:left w:val="single" w:sz="4" w:color="B0C0CF"/>
              <w:bottom w:val="single" w:sz="4" w:color="B0C0CF"/>
              <w:right w:val="single" w:sz="4" w:color="B0C0CF"/>
            </w:tcBorders>
            <w:shd w:val="clear" w:fill="EEF2F6"/>
            <w:vAlign w:val="center"/>
          </w:tcPr>
          <w:p>
            <w:r>
              <w:rPr>
                <w:sz w:val="17"/>
              </w:rPr>
              <w:t>Evidence Register</w:t>
            </w:r>
          </w:p>
        </w:tc>
        <w:tc>
          <w:tcPr>
            <w:tcW w:type="dxa" w:w="2154"/>
            <w:tcBorders>
              <w:top w:val="single" w:sz="4" w:color="B0C0CF"/>
              <w:left w:val="single" w:sz="4" w:color="B0C0CF"/>
              <w:bottom w:val="single" w:sz="4" w:color="B0C0CF"/>
              <w:right w:val="single" w:sz="4" w:color="B0C0CF"/>
            </w:tcBorders>
            <w:shd w:val="clear" w:fill="EEF2F6"/>
            <w:vAlign w:val="center"/>
          </w:tcPr>
          <w:p>
            <w:r>
              <w:rPr>
                <w:sz w:val="17"/>
              </w:rPr>
              <w:t>03 Deliver, 04 Monitor &amp; Verify</w:t>
            </w:r>
          </w:p>
        </w:tc>
        <w:tc>
          <w:tcPr>
            <w:tcW w:type="dxa" w:w="2835"/>
            <w:tcBorders>
              <w:top w:val="single" w:sz="4" w:color="B0C0CF"/>
              <w:left w:val="single" w:sz="4" w:color="B0C0CF"/>
              <w:bottom w:val="single" w:sz="4" w:color="B0C0CF"/>
              <w:right w:val="single" w:sz="4" w:color="B0C0CF"/>
            </w:tcBorders>
            <w:shd w:val="clear" w:fill="EEF2F6"/>
            <w:vAlign w:val="center"/>
          </w:tcPr>
          <w:p>
            <w:r>
              <w:rPr>
                <w:sz w:val="17"/>
              </w:rPr>
              <w:t>Tabel bukti dengan status</w:t>
            </w:r>
          </w:p>
        </w:tc>
        <w:tc>
          <w:tcPr>
            <w:tcW w:type="dxa" w:w="2381"/>
            <w:tcBorders>
              <w:top w:val="single" w:sz="4" w:color="B0C0CF"/>
              <w:left w:val="single" w:sz="4" w:color="B0C0CF"/>
              <w:bottom w:val="single" w:sz="4" w:color="B0C0CF"/>
              <w:right w:val="single" w:sz="4" w:color="B0C0CF"/>
            </w:tcBorders>
            <w:shd w:val="clear" w:fill="EEF2F6"/>
            <w:vAlign w:val="center"/>
          </w:tcPr>
          <w:p>
            <w:r>
              <w:rPr>
                <w:sz w:val="17"/>
              </w:rPr>
              <w:t>Dashboard Kesiapan Akreditasi</w:t>
            </w:r>
          </w:p>
        </w:tc>
      </w:tr>
      <w:tr>
        <w:tc>
          <w:tcPr>
            <w:tcW w:type="dxa" w:w="2268"/>
            <w:tcBorders>
              <w:top w:val="single" w:sz="4" w:color="B0C0CF"/>
              <w:left w:val="single" w:sz="4" w:color="B0C0CF"/>
              <w:bottom w:val="single" w:sz="4" w:color="B0C0CF"/>
              <w:right w:val="single" w:sz="4" w:color="B0C0CF"/>
            </w:tcBorders>
            <w:vAlign w:val="center"/>
          </w:tcPr>
          <w:p>
            <w:r>
              <w:rPr>
                <w:sz w:val="17"/>
              </w:rPr>
              <w:t>RTL Tracker</w:t>
            </w:r>
          </w:p>
        </w:tc>
        <w:tc>
          <w:tcPr>
            <w:tcW w:type="dxa" w:w="2154"/>
            <w:tcBorders>
              <w:top w:val="single" w:sz="4" w:color="B0C0CF"/>
              <w:left w:val="single" w:sz="4" w:color="B0C0CF"/>
              <w:bottom w:val="single" w:sz="4" w:color="B0C0CF"/>
              <w:right w:val="single" w:sz="4" w:color="B0C0CF"/>
            </w:tcBorders>
            <w:vAlign w:val="center"/>
          </w:tcPr>
          <w:p>
            <w:r>
              <w:rPr>
                <w:sz w:val="17"/>
              </w:rPr>
              <w:t>04 Monitor &amp; Verify</w:t>
            </w:r>
          </w:p>
        </w:tc>
        <w:tc>
          <w:tcPr>
            <w:tcW w:type="dxa" w:w="2835"/>
            <w:tcBorders>
              <w:top w:val="single" w:sz="4" w:color="B0C0CF"/>
              <w:left w:val="single" w:sz="4" w:color="B0C0CF"/>
              <w:bottom w:val="single" w:sz="4" w:color="B0C0CF"/>
              <w:right w:val="single" w:sz="4" w:color="B0C0CF"/>
            </w:tcBorders>
            <w:vAlign w:val="center"/>
          </w:tcPr>
          <w:p>
            <w:r>
              <w:rPr>
                <w:sz w:val="17"/>
              </w:rPr>
              <w:t>Daftar RTL dengan PIC, tenggat, status</w:t>
            </w:r>
          </w:p>
        </w:tc>
        <w:tc>
          <w:tcPr>
            <w:tcW w:type="dxa" w:w="2381"/>
            <w:tcBorders>
              <w:top w:val="single" w:sz="4" w:color="B0C0CF"/>
              <w:left w:val="single" w:sz="4" w:color="B0C0CF"/>
              <w:bottom w:val="single" w:sz="4" w:color="B0C0CF"/>
              <w:right w:val="single" w:sz="4" w:color="B0C0CF"/>
            </w:tcBorders>
            <w:vAlign w:val="center"/>
          </w:tcPr>
          <w:p>
            <w:r>
              <w:rPr>
                <w:sz w:val="17"/>
              </w:rPr>
              <w:t>Dashboard Kesiapan Akreditasi</w:t>
            </w:r>
          </w:p>
        </w:tc>
      </w:tr>
      <w:tr>
        <w:tc>
          <w:tcPr>
            <w:tcW w:type="dxa" w:w="2268"/>
            <w:tcBorders>
              <w:top w:val="single" w:sz="4" w:color="B0C0CF"/>
              <w:left w:val="single" w:sz="4" w:color="B0C0CF"/>
              <w:bottom w:val="single" w:sz="4" w:color="B0C0CF"/>
              <w:right w:val="single" w:sz="4" w:color="B0C0CF"/>
            </w:tcBorders>
            <w:shd w:val="clear" w:fill="EEF2F6"/>
            <w:vAlign w:val="center"/>
          </w:tcPr>
          <w:p>
            <w:r>
              <w:rPr>
                <w:sz w:val="17"/>
              </w:rPr>
              <w:t>Dashboard Kesiapan Akreditasi</w:t>
            </w:r>
          </w:p>
        </w:tc>
        <w:tc>
          <w:tcPr>
            <w:tcW w:type="dxa" w:w="2154"/>
            <w:tcBorders>
              <w:top w:val="single" w:sz="4" w:color="B0C0CF"/>
              <w:left w:val="single" w:sz="4" w:color="B0C0CF"/>
              <w:bottom w:val="single" w:sz="4" w:color="B0C0CF"/>
              <w:right w:val="single" w:sz="4" w:color="B0C0CF"/>
            </w:tcBorders>
            <w:shd w:val="clear" w:fill="EEF2F6"/>
            <w:vAlign w:val="center"/>
          </w:tcPr>
          <w:p>
            <w:r>
              <w:rPr>
                <w:sz w:val="17"/>
              </w:rPr>
              <w:t>Semua fase</w:t>
            </w:r>
          </w:p>
        </w:tc>
        <w:tc>
          <w:tcPr>
            <w:tcW w:type="dxa" w:w="2835"/>
            <w:tcBorders>
              <w:top w:val="single" w:sz="4" w:color="B0C0CF"/>
              <w:left w:val="single" w:sz="4" w:color="B0C0CF"/>
              <w:bottom w:val="single" w:sz="4" w:color="B0C0CF"/>
              <w:right w:val="single" w:sz="4" w:color="B0C0CF"/>
            </w:tcBorders>
            <w:shd w:val="clear" w:fill="EEF2F6"/>
            <w:vAlign w:val="center"/>
          </w:tcPr>
          <w:p>
            <w:r>
              <w:rPr>
                <w:sz w:val="17"/>
              </w:rPr>
              <w:t>Alat interaktif, ringkasan dan detail per LPTK</w:t>
            </w:r>
          </w:p>
        </w:tc>
        <w:tc>
          <w:tcPr>
            <w:tcW w:type="dxa" w:w="2381"/>
            <w:tcBorders>
              <w:top w:val="single" w:sz="4" w:color="B0C0CF"/>
              <w:left w:val="single" w:sz="4" w:color="B0C0CF"/>
              <w:bottom w:val="single" w:sz="4" w:color="B0C0CF"/>
              <w:right w:val="single" w:sz="4" w:color="B0C0CF"/>
            </w:tcBorders>
            <w:shd w:val="clear" w:fill="EEF2F6"/>
            <w:vAlign w:val="center"/>
          </w:tcPr>
          <w:p>
            <w:r>
              <w:rPr>
                <w:sz w:val="17"/>
              </w:rPr>
              <w:t>assets/1-dashboard/ (index-v2.html)</w:t>
            </w:r>
          </w:p>
        </w:tc>
      </w:tr>
    </w:tbl>
    <w:p>
      <w:r>
        <w:br w:type="page"/>
      </w:r>
    </w:p>
    <w:p>
      <w:pPr>
        <w:spacing w:after="200"/>
        <w:pBdr>
          <w:bottom w:val="single" w:sz="10" w:color="B0C0CF"/>
        </w:pBdr>
      </w:pPr>
      <w:r>
        <w:rPr>
          <w:b/>
          <w:color w:val="092647"/>
          <w:sz w:val="18"/>
        </w:rPr>
        <w:t>SANGGABIZ</w:t>
      </w:r>
      <w:r>
        <w:rPr>
          <w:color w:val="5B6670"/>
          <w:sz w:val="16"/>
        </w:rPr>
        <w:t xml:space="preserve">   |   Pedoman Pendampingan Teknis, draf/contoh, belum final</w:t>
      </w:r>
    </w:p>
    <w:p>
      <w:pPr>
        <w:spacing w:before="280" w:after="120"/>
        <w:pBdr>
          <w:bottom w:val="single" w:sz="14" w:color="FFC00C"/>
        </w:pBdr>
      </w:pPr>
      <w:r>
        <w:rPr>
          <w:b/>
          <w:color w:val="092647"/>
          <w:sz w:val="30"/>
        </w:rPr>
        <w:t>8.  Daftar Istilah</w:t>
      </w:r>
    </w:p>
    <w:tbl>
      <w:tblPr>
        <w:tblW w:type="auto" w:w="0"/>
        <w:jc w:val="center"/>
        <w:tblLayout w:type="autofit"/>
        <w:tblLook w:firstColumn="1" w:firstRow="1" w:lastColumn="0" w:lastRow="0" w:noHBand="0" w:noVBand="1" w:val="04A0"/>
      </w:tblPr>
      <w:tblGrid>
        <w:gridCol w:w="4876"/>
        <w:gridCol w:w="4876"/>
      </w:tblGrid>
      <w:tr>
        <w:tc>
          <w:tcPr>
            <w:tcW w:type="dxa" w:w="2268"/>
            <w:shd w:val="clear" w:fill="092647"/>
            <w:tcBorders>
              <w:top w:val="single" w:sz="4" w:color="B0C0CF"/>
              <w:left w:val="single" w:sz="4" w:color="B0C0CF"/>
              <w:bottom w:val="single" w:sz="4" w:color="B0C0CF"/>
              <w:right w:val="single" w:sz="4" w:color="B0C0CF"/>
            </w:tcBorders>
            <w:vAlign w:val="center"/>
          </w:tcPr>
          <w:p>
            <w:r>
              <w:rPr>
                <w:b/>
                <w:color w:val="FFFFFF"/>
                <w:sz w:val="18"/>
              </w:rPr>
              <w:t>Istilah</w:t>
            </w:r>
          </w:p>
        </w:tc>
        <w:tc>
          <w:tcPr>
            <w:tcW w:type="dxa" w:w="7370"/>
            <w:shd w:val="clear" w:fill="092647"/>
            <w:tcBorders>
              <w:top w:val="single" w:sz="4" w:color="B0C0CF"/>
              <w:left w:val="single" w:sz="4" w:color="B0C0CF"/>
              <w:bottom w:val="single" w:sz="4" w:color="B0C0CF"/>
              <w:right w:val="single" w:sz="4" w:color="B0C0CF"/>
            </w:tcBorders>
            <w:vAlign w:val="center"/>
          </w:tcPr>
          <w:p>
            <w:r>
              <w:rPr>
                <w:b/>
                <w:color w:val="FFFFFF"/>
                <w:sz w:val="18"/>
              </w:rPr>
              <w:t>Kepanjangan atau arti</w:t>
            </w:r>
          </w:p>
        </w:tc>
      </w:tr>
      <w:tr>
        <w:tc>
          <w:tcPr>
            <w:tcW w:type="dxa" w:w="2268"/>
            <w:tcBorders>
              <w:top w:val="single" w:sz="4" w:color="B0C0CF"/>
              <w:left w:val="single" w:sz="4" w:color="B0C0CF"/>
              <w:bottom w:val="single" w:sz="4" w:color="B0C0CF"/>
              <w:right w:val="single" w:sz="4" w:color="B0C0CF"/>
            </w:tcBorders>
            <w:vAlign w:val="center"/>
          </w:tcPr>
          <w:p>
            <w:r>
              <w:rPr>
                <w:sz w:val="18"/>
              </w:rPr>
              <w:t>LPTK</w:t>
            </w:r>
          </w:p>
        </w:tc>
        <w:tc>
          <w:tcPr>
            <w:tcW w:type="dxa" w:w="7370"/>
            <w:tcBorders>
              <w:top w:val="single" w:sz="4" w:color="B0C0CF"/>
              <w:left w:val="single" w:sz="4" w:color="B0C0CF"/>
              <w:bottom w:val="single" w:sz="4" w:color="B0C0CF"/>
              <w:right w:val="single" w:sz="4" w:color="B0C0CF"/>
            </w:tcBorders>
            <w:vAlign w:val="center"/>
          </w:tcPr>
          <w:p>
            <w:r>
              <w:rPr>
                <w:sz w:val="18"/>
              </w:rPr>
              <w:t>Lembaga Pendidikan Tenaga Kependidikan</w:t>
            </w:r>
          </w:p>
        </w:tc>
      </w:tr>
      <w:tr>
        <w:tc>
          <w:tcPr>
            <w:tcW w:type="dxa" w:w="2268"/>
            <w:tcBorders>
              <w:top w:val="single" w:sz="4" w:color="B0C0CF"/>
              <w:left w:val="single" w:sz="4" w:color="B0C0CF"/>
              <w:bottom w:val="single" w:sz="4" w:color="B0C0CF"/>
              <w:right w:val="single" w:sz="4" w:color="B0C0CF"/>
            </w:tcBorders>
            <w:shd w:val="clear" w:fill="EEF2F6"/>
            <w:vAlign w:val="center"/>
          </w:tcPr>
          <w:p>
            <w:r>
              <w:rPr>
                <w:sz w:val="18"/>
              </w:rPr>
              <w:t>PPG</w:t>
            </w:r>
          </w:p>
        </w:tc>
        <w:tc>
          <w:tcPr>
            <w:tcW w:type="dxa" w:w="7370"/>
            <w:tcBorders>
              <w:top w:val="single" w:sz="4" w:color="B0C0CF"/>
              <w:left w:val="single" w:sz="4" w:color="B0C0CF"/>
              <w:bottom w:val="single" w:sz="4" w:color="B0C0CF"/>
              <w:right w:val="single" w:sz="4" w:color="B0C0CF"/>
            </w:tcBorders>
            <w:shd w:val="clear" w:fill="EEF2F6"/>
            <w:vAlign w:val="center"/>
          </w:tcPr>
          <w:p>
            <w:r>
              <w:rPr>
                <w:sz w:val="18"/>
              </w:rPr>
              <w:t>Pendidikan Profesi Guru</w:t>
            </w:r>
          </w:p>
        </w:tc>
      </w:tr>
      <w:tr>
        <w:tc>
          <w:tcPr>
            <w:tcW w:type="dxa" w:w="2268"/>
            <w:tcBorders>
              <w:top w:val="single" w:sz="4" w:color="B0C0CF"/>
              <w:left w:val="single" w:sz="4" w:color="B0C0CF"/>
              <w:bottom w:val="single" w:sz="4" w:color="B0C0CF"/>
              <w:right w:val="single" w:sz="4" w:color="B0C0CF"/>
            </w:tcBorders>
            <w:vAlign w:val="center"/>
          </w:tcPr>
          <w:p>
            <w:r>
              <w:rPr>
                <w:sz w:val="18"/>
              </w:rPr>
              <w:t>TPN</w:t>
            </w:r>
          </w:p>
        </w:tc>
        <w:tc>
          <w:tcPr>
            <w:tcW w:type="dxa" w:w="7370"/>
            <w:tcBorders>
              <w:top w:val="single" w:sz="4" w:color="B0C0CF"/>
              <w:left w:val="single" w:sz="4" w:color="B0C0CF"/>
              <w:bottom w:val="single" w:sz="4" w:color="B0C0CF"/>
              <w:right w:val="single" w:sz="4" w:color="B0C0CF"/>
            </w:tcBorders>
            <w:vAlign w:val="center"/>
          </w:tcPr>
          <w:p>
            <w:r>
              <w:rPr>
                <w:sz w:val="18"/>
              </w:rPr>
              <w:t>Tim Pendamping Nasional, ditetapkan Direktorat PPG</w:t>
            </w:r>
          </w:p>
        </w:tc>
      </w:tr>
      <w:tr>
        <w:tc>
          <w:tcPr>
            <w:tcW w:type="dxa" w:w="2268"/>
            <w:tcBorders>
              <w:top w:val="single" w:sz="4" w:color="B0C0CF"/>
              <w:left w:val="single" w:sz="4" w:color="B0C0CF"/>
              <w:bottom w:val="single" w:sz="4" w:color="B0C0CF"/>
              <w:right w:val="single" w:sz="4" w:color="B0C0CF"/>
            </w:tcBorders>
            <w:shd w:val="clear" w:fill="EEF2F6"/>
            <w:vAlign w:val="center"/>
          </w:tcPr>
          <w:p>
            <w:r>
              <w:rPr>
                <w:sz w:val="18"/>
              </w:rPr>
              <w:t>RTL</w:t>
            </w:r>
          </w:p>
        </w:tc>
        <w:tc>
          <w:tcPr>
            <w:tcW w:type="dxa" w:w="7370"/>
            <w:tcBorders>
              <w:top w:val="single" w:sz="4" w:color="B0C0CF"/>
              <w:left w:val="single" w:sz="4" w:color="B0C0CF"/>
              <w:bottom w:val="single" w:sz="4" w:color="B0C0CF"/>
              <w:right w:val="single" w:sz="4" w:color="B0C0CF"/>
            </w:tcBorders>
            <w:shd w:val="clear" w:fill="EEF2F6"/>
            <w:vAlign w:val="center"/>
          </w:tcPr>
          <w:p>
            <w:r>
              <w:rPr>
                <w:sz w:val="18"/>
              </w:rPr>
              <w:t>Rencana Tindak Lanjut, disusun tiap LPTK setelah Supervisi 2025</w:t>
            </w:r>
          </w:p>
        </w:tc>
      </w:tr>
      <w:tr>
        <w:tc>
          <w:tcPr>
            <w:tcW w:type="dxa" w:w="2268"/>
            <w:tcBorders>
              <w:top w:val="single" w:sz="4" w:color="B0C0CF"/>
              <w:left w:val="single" w:sz="4" w:color="B0C0CF"/>
              <w:bottom w:val="single" w:sz="4" w:color="B0C0CF"/>
              <w:right w:val="single" w:sz="4" w:color="B0C0CF"/>
            </w:tcBorders>
            <w:vAlign w:val="center"/>
          </w:tcPr>
          <w:p>
            <w:r>
              <w:rPr>
                <w:sz w:val="18"/>
              </w:rPr>
              <w:t>PPL</w:t>
            </w:r>
          </w:p>
        </w:tc>
        <w:tc>
          <w:tcPr>
            <w:tcW w:type="dxa" w:w="7370"/>
            <w:tcBorders>
              <w:top w:val="single" w:sz="4" w:color="B0C0CF"/>
              <w:left w:val="single" w:sz="4" w:color="B0C0CF"/>
              <w:bottom w:val="single" w:sz="4" w:color="B0C0CF"/>
              <w:right w:val="single" w:sz="4" w:color="B0C0CF"/>
            </w:tcBorders>
            <w:vAlign w:val="center"/>
          </w:tcPr>
          <w:p>
            <w:r>
              <w:rPr>
                <w:sz w:val="18"/>
              </w:rPr>
              <w:t>Praktik Pengalaman Lapangan</w:t>
            </w:r>
          </w:p>
        </w:tc>
      </w:tr>
      <w:tr>
        <w:tc>
          <w:tcPr>
            <w:tcW w:type="dxa" w:w="2268"/>
            <w:tcBorders>
              <w:top w:val="single" w:sz="4" w:color="B0C0CF"/>
              <w:left w:val="single" w:sz="4" w:color="B0C0CF"/>
              <w:bottom w:val="single" w:sz="4" w:color="B0C0CF"/>
              <w:right w:val="single" w:sz="4" w:color="B0C0CF"/>
            </w:tcBorders>
            <w:shd w:val="clear" w:fill="EEF2F6"/>
            <w:vAlign w:val="center"/>
          </w:tcPr>
          <w:p>
            <w:r>
              <w:rPr>
                <w:sz w:val="18"/>
              </w:rPr>
              <w:t>DPL</w:t>
            </w:r>
          </w:p>
        </w:tc>
        <w:tc>
          <w:tcPr>
            <w:tcW w:type="dxa" w:w="7370"/>
            <w:tcBorders>
              <w:top w:val="single" w:sz="4" w:color="B0C0CF"/>
              <w:left w:val="single" w:sz="4" w:color="B0C0CF"/>
              <w:bottom w:val="single" w:sz="4" w:color="B0C0CF"/>
              <w:right w:val="single" w:sz="4" w:color="B0C0CF"/>
            </w:tcBorders>
            <w:shd w:val="clear" w:fill="EEF2F6"/>
            <w:vAlign w:val="center"/>
          </w:tcPr>
          <w:p>
            <w:r>
              <w:rPr>
                <w:sz w:val="18"/>
              </w:rPr>
              <w:t>Dosen Pembimbing Lapangan</w:t>
            </w:r>
          </w:p>
        </w:tc>
      </w:tr>
      <w:tr>
        <w:tc>
          <w:tcPr>
            <w:tcW w:type="dxa" w:w="2268"/>
            <w:tcBorders>
              <w:top w:val="single" w:sz="4" w:color="B0C0CF"/>
              <w:left w:val="single" w:sz="4" w:color="B0C0CF"/>
              <w:bottom w:val="single" w:sz="4" w:color="B0C0CF"/>
              <w:right w:val="single" w:sz="4" w:color="B0C0CF"/>
            </w:tcBorders>
            <w:vAlign w:val="center"/>
          </w:tcPr>
          <w:p>
            <w:r>
              <w:rPr>
                <w:sz w:val="18"/>
              </w:rPr>
              <w:t>SPMI</w:t>
            </w:r>
          </w:p>
        </w:tc>
        <w:tc>
          <w:tcPr>
            <w:tcW w:type="dxa" w:w="7370"/>
            <w:tcBorders>
              <w:top w:val="single" w:sz="4" w:color="B0C0CF"/>
              <w:left w:val="single" w:sz="4" w:color="B0C0CF"/>
              <w:bottom w:val="single" w:sz="4" w:color="B0C0CF"/>
              <w:right w:val="single" w:sz="4" w:color="B0C0CF"/>
            </w:tcBorders>
            <w:vAlign w:val="center"/>
          </w:tcPr>
          <w:p>
            <w:r>
              <w:rPr>
                <w:sz w:val="18"/>
              </w:rPr>
              <w:t>Sistem Penjaminan Mutu Internal</w:t>
            </w:r>
          </w:p>
        </w:tc>
      </w:tr>
      <w:tr>
        <w:tc>
          <w:tcPr>
            <w:tcW w:type="dxa" w:w="2268"/>
            <w:tcBorders>
              <w:top w:val="single" w:sz="4" w:color="B0C0CF"/>
              <w:left w:val="single" w:sz="4" w:color="B0C0CF"/>
              <w:bottom w:val="single" w:sz="4" w:color="B0C0CF"/>
              <w:right w:val="single" w:sz="4" w:color="B0C0CF"/>
            </w:tcBorders>
            <w:shd w:val="clear" w:fill="EEF2F6"/>
            <w:vAlign w:val="center"/>
          </w:tcPr>
          <w:p>
            <w:r>
              <w:rPr>
                <w:sz w:val="18"/>
              </w:rPr>
              <w:t>PPEPP</w:t>
            </w:r>
          </w:p>
        </w:tc>
        <w:tc>
          <w:tcPr>
            <w:tcW w:type="dxa" w:w="7370"/>
            <w:tcBorders>
              <w:top w:val="single" w:sz="4" w:color="B0C0CF"/>
              <w:left w:val="single" w:sz="4" w:color="B0C0CF"/>
              <w:bottom w:val="single" w:sz="4" w:color="B0C0CF"/>
              <w:right w:val="single" w:sz="4" w:color="B0C0CF"/>
            </w:tcBorders>
            <w:shd w:val="clear" w:fill="EEF2F6"/>
            <w:vAlign w:val="center"/>
          </w:tcPr>
          <w:p>
            <w:r>
              <w:rPr>
                <w:sz w:val="18"/>
              </w:rPr>
              <w:t>Penetapan, Pelaksanaan, Evaluasi, Pengendalian, Peningkatan; lima tahap siklus SPMI</w:t>
            </w:r>
          </w:p>
        </w:tc>
      </w:tr>
      <w:tr>
        <w:tc>
          <w:tcPr>
            <w:tcW w:type="dxa" w:w="2268"/>
            <w:tcBorders>
              <w:top w:val="single" w:sz="4" w:color="B0C0CF"/>
              <w:left w:val="single" w:sz="4" w:color="B0C0CF"/>
              <w:bottom w:val="single" w:sz="4" w:color="B0C0CF"/>
              <w:right w:val="single" w:sz="4" w:color="B0C0CF"/>
            </w:tcBorders>
            <w:vAlign w:val="center"/>
          </w:tcPr>
          <w:p>
            <w:r>
              <w:rPr>
                <w:sz w:val="18"/>
              </w:rPr>
              <w:t>OBE</w:t>
            </w:r>
          </w:p>
        </w:tc>
        <w:tc>
          <w:tcPr>
            <w:tcW w:type="dxa" w:w="7370"/>
            <w:tcBorders>
              <w:top w:val="single" w:sz="4" w:color="B0C0CF"/>
              <w:left w:val="single" w:sz="4" w:color="B0C0CF"/>
              <w:bottom w:val="single" w:sz="4" w:color="B0C0CF"/>
              <w:right w:val="single" w:sz="4" w:color="B0C0CF"/>
            </w:tcBorders>
            <w:vAlign w:val="center"/>
          </w:tcPr>
          <w:p>
            <w:r>
              <w:rPr>
                <w:sz w:val="18"/>
              </w:rPr>
              <w:t>Outcome-Based Education, pendidikan berbasis capaian pembelajaran</w:t>
            </w:r>
          </w:p>
        </w:tc>
      </w:tr>
      <w:tr>
        <w:tc>
          <w:tcPr>
            <w:tcW w:type="dxa" w:w="2268"/>
            <w:tcBorders>
              <w:top w:val="single" w:sz="4" w:color="B0C0CF"/>
              <w:left w:val="single" w:sz="4" w:color="B0C0CF"/>
              <w:bottom w:val="single" w:sz="4" w:color="B0C0CF"/>
              <w:right w:val="single" w:sz="4" w:color="B0C0CF"/>
            </w:tcBorders>
            <w:shd w:val="clear" w:fill="EEF2F6"/>
            <w:vAlign w:val="center"/>
          </w:tcPr>
          <w:p>
            <w:r>
              <w:rPr>
                <w:sz w:val="18"/>
              </w:rPr>
              <w:t>CPL</w:t>
            </w:r>
          </w:p>
        </w:tc>
        <w:tc>
          <w:tcPr>
            <w:tcW w:type="dxa" w:w="7370"/>
            <w:tcBorders>
              <w:top w:val="single" w:sz="4" w:color="B0C0CF"/>
              <w:left w:val="single" w:sz="4" w:color="B0C0CF"/>
              <w:bottom w:val="single" w:sz="4" w:color="B0C0CF"/>
              <w:right w:val="single" w:sz="4" w:color="B0C0CF"/>
            </w:tcBorders>
            <w:shd w:val="clear" w:fill="EEF2F6"/>
            <w:vAlign w:val="center"/>
          </w:tcPr>
          <w:p>
            <w:r>
              <w:rPr>
                <w:sz w:val="18"/>
              </w:rPr>
              <w:t>Capaian Pembelajaran Lulusan</w:t>
            </w:r>
          </w:p>
        </w:tc>
      </w:tr>
      <w:tr>
        <w:tc>
          <w:tcPr>
            <w:tcW w:type="dxa" w:w="2268"/>
            <w:tcBorders>
              <w:top w:val="single" w:sz="4" w:color="B0C0CF"/>
              <w:left w:val="single" w:sz="4" w:color="B0C0CF"/>
              <w:bottom w:val="single" w:sz="4" w:color="B0C0CF"/>
              <w:right w:val="single" w:sz="4" w:color="B0C0CF"/>
            </w:tcBorders>
            <w:vAlign w:val="center"/>
          </w:tcPr>
          <w:p>
            <w:r>
              <w:rPr>
                <w:sz w:val="18"/>
              </w:rPr>
              <w:t>DTPS</w:t>
            </w:r>
          </w:p>
        </w:tc>
        <w:tc>
          <w:tcPr>
            <w:tcW w:type="dxa" w:w="7370"/>
            <w:tcBorders>
              <w:top w:val="single" w:sz="4" w:color="B0C0CF"/>
              <w:left w:val="single" w:sz="4" w:color="B0C0CF"/>
              <w:bottom w:val="single" w:sz="4" w:color="B0C0CF"/>
              <w:right w:val="single" w:sz="4" w:color="B0C0CF"/>
            </w:tcBorders>
            <w:vAlign w:val="center"/>
          </w:tcPr>
          <w:p>
            <w:r>
              <w:rPr>
                <w:sz w:val="18"/>
              </w:rPr>
              <w:t>Dosen Tetap Program Studi</w:t>
            </w:r>
          </w:p>
        </w:tc>
      </w:tr>
      <w:tr>
        <w:tc>
          <w:tcPr>
            <w:tcW w:type="dxa" w:w="2268"/>
            <w:tcBorders>
              <w:top w:val="single" w:sz="4" w:color="B0C0CF"/>
              <w:left w:val="single" w:sz="4" w:color="B0C0CF"/>
              <w:bottom w:val="single" w:sz="4" w:color="B0C0CF"/>
              <w:right w:val="single" w:sz="4" w:color="B0C0CF"/>
            </w:tcBorders>
            <w:shd w:val="clear" w:fill="EEF2F6"/>
            <w:vAlign w:val="center"/>
          </w:tcPr>
          <w:p>
            <w:r>
              <w:rPr>
                <w:sz w:val="18"/>
              </w:rPr>
              <w:t>UPPS</w:t>
            </w:r>
          </w:p>
        </w:tc>
        <w:tc>
          <w:tcPr>
            <w:tcW w:type="dxa" w:w="7370"/>
            <w:tcBorders>
              <w:top w:val="single" w:sz="4" w:color="B0C0CF"/>
              <w:left w:val="single" w:sz="4" w:color="B0C0CF"/>
              <w:bottom w:val="single" w:sz="4" w:color="B0C0CF"/>
              <w:right w:val="single" w:sz="4" w:color="B0C0CF"/>
            </w:tcBorders>
            <w:shd w:val="clear" w:fill="EEF2F6"/>
            <w:vAlign w:val="center"/>
          </w:tcPr>
          <w:p>
            <w:r>
              <w:rPr>
                <w:sz w:val="18"/>
              </w:rPr>
              <w:t>Unit Pengelola Program Studi</w:t>
            </w:r>
          </w:p>
        </w:tc>
      </w:tr>
      <w:tr>
        <w:tc>
          <w:tcPr>
            <w:tcW w:type="dxa" w:w="2268"/>
            <w:tcBorders>
              <w:top w:val="single" w:sz="4" w:color="B0C0CF"/>
              <w:left w:val="single" w:sz="4" w:color="B0C0CF"/>
              <w:bottom w:val="single" w:sz="4" w:color="B0C0CF"/>
              <w:right w:val="single" w:sz="4" w:color="B0C0CF"/>
            </w:tcBorders>
            <w:vAlign w:val="center"/>
          </w:tcPr>
          <w:p>
            <w:r>
              <w:rPr>
                <w:sz w:val="18"/>
              </w:rPr>
              <w:t>LAMDIK</w:t>
            </w:r>
          </w:p>
        </w:tc>
        <w:tc>
          <w:tcPr>
            <w:tcW w:type="dxa" w:w="7370"/>
            <w:tcBorders>
              <w:top w:val="single" w:sz="4" w:color="B0C0CF"/>
              <w:left w:val="single" w:sz="4" w:color="B0C0CF"/>
              <w:bottom w:val="single" w:sz="4" w:color="B0C0CF"/>
              <w:right w:val="single" w:sz="4" w:color="B0C0CF"/>
            </w:tcBorders>
            <w:vAlign w:val="center"/>
          </w:tcPr>
          <w:p>
            <w:r>
              <w:rPr>
                <w:sz w:val="18"/>
              </w:rPr>
              <w:t>Lembaga Akreditasi Mandiri Kependidikan</w:t>
            </w:r>
          </w:p>
        </w:tc>
      </w:tr>
      <w:tr>
        <w:tc>
          <w:tcPr>
            <w:tcW w:type="dxa" w:w="2268"/>
            <w:tcBorders>
              <w:top w:val="single" w:sz="4" w:color="B0C0CF"/>
              <w:left w:val="single" w:sz="4" w:color="B0C0CF"/>
              <w:bottom w:val="single" w:sz="4" w:color="B0C0CF"/>
              <w:right w:val="single" w:sz="4" w:color="B0C0CF"/>
            </w:tcBorders>
            <w:shd w:val="clear" w:fill="EEF2F6"/>
            <w:vAlign w:val="center"/>
          </w:tcPr>
          <w:p>
            <w:r>
              <w:rPr>
                <w:sz w:val="18"/>
              </w:rPr>
              <w:t>Kemdiktisaintek</w:t>
            </w:r>
          </w:p>
        </w:tc>
        <w:tc>
          <w:tcPr>
            <w:tcW w:type="dxa" w:w="7370"/>
            <w:tcBorders>
              <w:top w:val="single" w:sz="4" w:color="B0C0CF"/>
              <w:left w:val="single" w:sz="4" w:color="B0C0CF"/>
              <w:bottom w:val="single" w:sz="4" w:color="B0C0CF"/>
              <w:right w:val="single" w:sz="4" w:color="B0C0CF"/>
            </w:tcBorders>
            <w:shd w:val="clear" w:fill="EEF2F6"/>
            <w:vAlign w:val="center"/>
          </w:tcPr>
          <w:p>
            <w:r>
              <w:rPr>
                <w:sz w:val="18"/>
              </w:rPr>
              <w:t>Kementerian Pendidikan Tinggi, Sains, dan Teknologi</w:t>
            </w:r>
          </w:p>
        </w:tc>
      </w:tr>
      <w:tr>
        <w:tc>
          <w:tcPr>
            <w:tcW w:type="dxa" w:w="2268"/>
            <w:tcBorders>
              <w:top w:val="single" w:sz="4" w:color="B0C0CF"/>
              <w:left w:val="single" w:sz="4" w:color="B0C0CF"/>
              <w:bottom w:val="single" w:sz="4" w:color="B0C0CF"/>
              <w:right w:val="single" w:sz="4" w:color="B0C0CF"/>
            </w:tcBorders>
            <w:vAlign w:val="center"/>
          </w:tcPr>
          <w:p>
            <w:r>
              <w:rPr>
                <w:sz w:val="18"/>
              </w:rPr>
              <w:t>Kemendikdasmen</w:t>
            </w:r>
          </w:p>
        </w:tc>
        <w:tc>
          <w:tcPr>
            <w:tcW w:type="dxa" w:w="7370"/>
            <w:tcBorders>
              <w:top w:val="single" w:sz="4" w:color="B0C0CF"/>
              <w:left w:val="single" w:sz="4" w:color="B0C0CF"/>
              <w:bottom w:val="single" w:sz="4" w:color="B0C0CF"/>
              <w:right w:val="single" w:sz="4" w:color="B0C0CF"/>
            </w:tcBorders>
            <w:vAlign w:val="center"/>
          </w:tcPr>
          <w:p>
            <w:r>
              <w:rPr>
                <w:sz w:val="18"/>
              </w:rPr>
              <w:t>Kementerian Pendidikan Dasar dan Menengah, membawahi Direktorat PPG</w:t>
            </w:r>
          </w:p>
        </w:tc>
      </w:tr>
    </w:tbl>
    <w:p>
      <w:pPr>
        <w:spacing w:after="40"/>
      </w:pPr>
    </w:p>
    <w:p>
      <w:r>
        <w:rPr>
          <w:i/>
          <w:color w:val="5B6670"/>
          <w:sz w:val="15"/>
        </w:rPr>
        <w:t>Pedoman Pendampingan Teknis, versi 1 (draf), 30 September 2026. Disusun Sanggabiz untuk Proposal Teknis RFP No. 0648/TF-JKT/VIII/2026 kepada Tanoto Foundation. Status: draf/contoh, memerlukan masukan dan penyempurnaan lebih lanjut. Dokumen ini akan diperbarui begitu Pedoman Pendampingan 2026 resmi dari Direktorat PPG diterima.</w:t>
      </w:r>
    </w:p>
    <w:sectPr w:rsidR="00FC693F" w:rsidRPr="0006063C" w:rsidSect="00034616">
      <w:pgSz w:w="11906" w:h="16838"/>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