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F2D4A" w:val="clear"/>
        <w:spacing w:before="0" w:after="0"/>
        <w:jc w:val="center"/>
      </w:pPr>
      <w:r>
        <w:rPr>
          <w:rFonts w:ascii="Arial" w:cs="Arial" w:eastAsia="Arial" w:hAnsi="Arial"/>
          <w:sz w:val="4"/>
          <w:szCs w:val="4"/>
        </w:rPr>
        <w:t xml:space="preserve"> </w:t>
      </w:r>
    </w:p>
    <w:p>
      <w:pPr>
        <w:shd w:fill="0F2D4A" w:val="clear"/>
        <w:spacing w:before="40" w:after="0"/>
        <w:jc w:val="center"/>
      </w:pPr>
      <w:r>
        <w:rPr>
          <w:rFonts w:ascii="Arial" w:cs="Arial" w:eastAsia="Arial" w:hAnsi="Arial"/>
          <w:b/>
          <w:bCs/>
          <w:caps/>
          <w:color w:val="88CCEE"/>
          <w:sz w:val="18"/>
          <w:szCs w:val="18"/>
        </w:rPr>
        <w:t xml:space="preserve">SYNTHOS SYSTEMS — ADDENDUM</w:t>
      </w:r>
    </w:p>
    <w:p>
      <w:pPr>
        <w:shd w:fill="0F2D4A" w:val="clear"/>
        <w:spacing w:before="80" w:after="80"/>
        <w:jc w:val="center"/>
      </w:pPr>
      <w:r>
        <w:rPr>
          <w:rFonts w:ascii="Arial" w:cs="Arial" w:eastAsia="Arial" w:hAnsi="Arial"/>
          <w:b/>
          <w:bCs/>
          <w:color w:val="FFFFFF"/>
          <w:sz w:val="40"/>
          <w:szCs w:val="40"/>
        </w:rPr>
        <w:t xml:space="preserve">NSB-001 — Addendum 1</w:t>
      </w:r>
    </w:p>
    <w:p>
      <w:pPr>
        <w:shd w:fill="0F2D4A" w:val="clear"/>
        <w:spacing w:before="0" w:after="60"/>
        <w:jc w:val="center"/>
      </w:pPr>
      <w:r>
        <w:rPr>
          <w:rFonts w:ascii="Arial" w:cs="Arial" w:eastAsia="Arial" w:hAnsi="Arial"/>
          <w:i/>
          <w:iCs/>
          <w:color w:val="88CCEE"/>
          <w:sz w:val="22"/>
          <w:szCs w:val="22"/>
        </w:rPr>
        <w:t xml:space="preserve">Safety-in-Agent Mandate, Governance Lag Analysis, and Scheduler Race Condition Fix</w:t>
      </w:r>
    </w:p>
    <w:p>
      <w:pPr>
        <w:shd w:fill="0F2D4A" w:val="clear"/>
        <w:spacing w:before="0" w:after="60"/>
        <w:jc w:val="center"/>
      </w:pPr>
      <w:r>
        <w:rPr>
          <w:rFonts w:ascii="Arial" w:cs="Arial" w:eastAsia="Arial" w:hAnsi="Arial"/>
          <w:color w:val="AAAAAA"/>
          <w:sz w:val="20"/>
          <w:szCs w:val="20"/>
        </w:rPr>
        <w:t xml:space="preserve">Appends: NSB-001 Network Safety &amp; Behavior Constraints v1.0</w:t>
      </w:r>
    </w:p>
    <w:tbl>
      <w:tblPr>
        <w:tblW w:type="dxa" w:w="9360"/>
      </w:tblPr>
      <w:tblGrid>
        <w:gridCol w:w="2340"/>
        <w:gridCol w:w="2340"/>
        <w:gridCol w:w="2340"/>
        <w:gridCol w:w="2340"/>
      </w:tblGrid>
      <w:tr>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Doc ID
</w:t>
            </w:r>
            <w:r>
              <w:rPr>
                <w:rFonts w:ascii="Arial" w:cs="Arial" w:eastAsia="Arial" w:hAnsi="Arial"/>
                <w:color w:val="FFFFFF"/>
                <w:sz w:val="18"/>
                <w:szCs w:val="18"/>
              </w:rPr>
              <w:t xml:space="preserve">NSB-001-ADD-001</w:t>
            </w:r>
          </w:p>
        </w:tc>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Version
</w:t>
            </w:r>
            <w:r>
              <w:rPr>
                <w:rFonts w:ascii="Arial" w:cs="Arial" w:eastAsia="Arial" w:hAnsi="Arial"/>
                <w:color w:val="FFFFFF"/>
                <w:sz w:val="18"/>
                <w:szCs w:val="18"/>
              </w:rPr>
              <w:t xml:space="preserve">1.0</w:t>
            </w:r>
          </w:p>
        </w:tc>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Date
</w:t>
            </w:r>
            <w:r>
              <w:rPr>
                <w:rFonts w:ascii="Arial" w:cs="Arial" w:eastAsia="Arial" w:hAnsi="Arial"/>
                <w:color w:val="FFFFFF"/>
                <w:sz w:val="18"/>
                <w:szCs w:val="18"/>
              </w:rPr>
              <w:t xml:space="preserve">March 27, 2026</w:t>
            </w:r>
          </w:p>
        </w:tc>
        <w:tc>
          <w:tcPr>
            <w:tcW w:type="dxa" w:w="2340"/>
            <w:tcBorders>
              <w:top w:val="none"/>
              <w:left w:val="none"/>
              <w:bottom w:val="none"/>
              <w:right w:val="none"/>
            </w:tcBorders>
            <w:shd w:fill="0F2D4A" w:val="clear"/>
            <w:tcMar>
              <w:top w:type="dxa" w:w="80"/>
              <w:left w:type="dxa" w:w="120"/>
              <w:bottom w:type="dxa" w:w="80"/>
              <w:right w:type="dxa" w:w="120"/>
            </w:tcMar>
          </w:tcPr>
          <w:p>
            <w:pPr>
              <w:jc w:val="center"/>
            </w:pPr>
            <w:r>
              <w:rPr>
                <w:rFonts w:ascii="Arial" w:cs="Arial" w:eastAsia="Arial" w:hAnsi="Arial"/>
                <w:b/>
                <w:bCs/>
                <w:color w:val="AAAAAA"/>
                <w:sz w:val="16"/>
                <w:szCs w:val="16"/>
              </w:rPr>
              <w:t xml:space="preserve">Status
</w:t>
            </w:r>
            <w:r>
              <w:rPr>
                <w:rFonts w:ascii="Arial" w:cs="Arial" w:eastAsia="Arial" w:hAnsi="Arial"/>
                <w:color w:val="FFFFFF"/>
                <w:sz w:val="18"/>
                <w:szCs w:val="18"/>
              </w:rPr>
              <w:t xml:space="preserve">ACTIVE</w:t>
            </w:r>
          </w:p>
        </w:tc>
      </w:tr>
    </w:tbl>
    <w:p>
      <w:pPr>
        <w:shd w:fill="0F2D4A" w:val="clear"/>
        <w:spacing w:before="0" w:after="200"/>
        <w:jc w:val="center"/>
      </w:pPr>
      <w:r>
        <w:rPr>
          <w:rFonts w:ascii="Arial" w:cs="Arial" w:eastAsia="Arial" w:hAnsi="Arial"/>
          <w:sz w:val="4"/>
          <w:szCs w:val="4"/>
        </w:rPr>
        <w:t xml:space="preserve"> </w:t>
      </w:r>
    </w:p>
    <w:p>
      <w:pPr>
        <w:pStyle w:val="Heading1"/>
        <w:pBdr>
          <w:bottom w:val="single" w:color="0D6E72" w:sz="4" w:space="4"/>
        </w:pBdr>
        <w:spacing w:before="360" w:after="160"/>
      </w:pPr>
      <w:r>
        <w:rPr>
          <w:rFonts w:ascii="Arial" w:cs="Arial" w:eastAsia="Arial" w:hAnsi="Arial"/>
          <w:b/>
          <w:bCs/>
          <w:color w:val="0F2D4A"/>
          <w:sz w:val="32"/>
          <w:szCs w:val="32"/>
        </w:rPr>
        <w:t xml:space="preserve">1. Purpose</w:t>
      </w:r>
    </w:p>
    <w:p>
      <w:pPr>
        <w:spacing w:before="60" w:after="60" w:line="340" w:lineRule="auto"/>
      </w:pPr>
      <w:r>
        <w:rPr>
          <w:rFonts w:ascii="Arial" w:cs="Arial" w:eastAsia="Arial" w:hAnsi="Arial"/>
          <w:color w:val="333333"/>
          <w:sz w:val="20"/>
          <w:szCs w:val="20"/>
        </w:rPr>
        <w:t xml:space="preserve">NSB-001 v1.0 defined network behavior rules and referenced a governance layer as the monitoring mechanism. After analysis of the lag characteristics of passive observation in a distributed system, two critical clarifications are required: where safety behaviors must live, and how the governance layer's inherent lag affects what it can and cannot be used for.</w:t>
      </w:r>
    </w:p>
    <w:p>
      <w:pPr>
        <w:spacing w:before="60" w:after="60" w:line="340" w:lineRule="auto"/>
      </w:pPr>
      <w:r>
        <w:rPr>
          <w:rFonts w:ascii="Arial" w:cs="Arial" w:eastAsia="Arial" w:hAnsi="Arial"/>
          <w:color w:val="333333"/>
          <w:sz w:val="20"/>
          <w:szCs w:val="20"/>
        </w:rPr>
        <w:t xml:space="preserve">This addendum also resolves the race condition in work assignment identified during design review, by specifying the scheduler as the atomic coordination mechanism.</w:t>
      </w:r>
    </w:p>
    <w:p>
      <w:pPr>
        <w:pStyle w:val="Heading1"/>
        <w:pBdr>
          <w:bottom w:val="single" w:color="0D6E72" w:sz="4" w:space="4"/>
        </w:pBdr>
        <w:spacing w:before="360" w:after="160"/>
      </w:pPr>
      <w:r>
        <w:rPr>
          <w:rFonts w:ascii="Arial" w:cs="Arial" w:eastAsia="Arial" w:hAnsi="Arial"/>
          <w:b/>
          <w:bCs/>
          <w:color w:val="0F2D4A"/>
          <w:sz w:val="32"/>
          <w:szCs w:val="32"/>
        </w:rPr>
        <w:t xml:space="preserve">2. Safety Behaviors Must Live In Agents — Not the Governance Layer</w:t>
      </w:r>
    </w:p>
    <w:p>
      <w:pPr>
        <w:pStyle w:val="Heading2"/>
        <w:spacing w:before="240" w:after="120"/>
      </w:pPr>
      <w:r>
        <w:rPr>
          <w:rFonts w:ascii="Arial" w:cs="Arial" w:eastAsia="Arial" w:hAnsi="Arial"/>
          <w:b/>
          <w:bCs/>
          <w:color w:val="0D6E72"/>
          <w:sz w:val="26"/>
          <w:szCs w:val="26"/>
        </w:rPr>
        <w:t xml:space="preserve">2.1 The Lag Problem</w:t>
      </w:r>
    </w:p>
    <w:p>
      <w:pPr>
        <w:spacing w:before="60" w:after="60" w:line="340" w:lineRule="auto"/>
      </w:pPr>
      <w:r>
        <w:rPr>
          <w:rFonts w:ascii="Arial" w:cs="Arial" w:eastAsia="Arial" w:hAnsi="Arial"/>
          <w:color w:val="333333"/>
          <w:sz w:val="20"/>
          <w:szCs w:val="20"/>
        </w:rPr>
        <w:t xml:space="preserve">The governance layer observes agent behavior by reading from a shared database. In a passive observation model, the governance layer polls the database on its own schedule. The lag between an agent taking an action and the governance layer seeing it is equal to the governance layer's polling interval on that database.</w:t>
      </w:r>
    </w:p>
    <w:p>
      <w:pPr>
        <w:spacing w:before="60" w:after="60" w:line="340" w:lineRule="auto"/>
      </w:pPr>
      <w:r>
        <w:rPr>
          <w:rFonts w:ascii="Arial" w:cs="Arial" w:eastAsia="Arial" w:hAnsi="Arial"/>
          <w:color w:val="333333"/>
          <w:sz w:val="20"/>
          <w:szCs w:val="20"/>
        </w:rPr>
        <w:t xml:space="preserve">If the governance layer polls every 30 seconds, it could be 29 seconds behind real agent behavior. For strategic monitoring — trends, daily summaries, tuning recommendations — this is acceptable. For catching a runaway agent, it is not.</w:t>
      </w:r>
    </w:p>
    <w:tbl>
      <w:tblPr>
        <w:tblW w:type="dxa" w:w="9360"/>
      </w:tblPr>
      <w:tblGrid>
        <w:gridCol w:w="3200"/>
        <w:gridCol w:w="2760"/>
        <w:gridCol w:w="3400"/>
      </w:tblGrid>
      <w:tr>
        <w:trPr>
          <w:tblHeader/>
        </w:trPr>
        <w:tc>
          <w:tcPr>
            <w:tcW w:type="dxa" w:w="32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76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Time to Detection (Passive)</w:t>
            </w:r>
          </w:p>
        </w:tc>
        <w:tc>
          <w:tcPr>
            <w:tcW w:type="dxa" w:w="34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Acceptable?</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 polls source 5x too fast for 2 minutes</w:t>
            </w:r>
          </w:p>
        </w:tc>
        <w:tc>
          <w:tcPr>
            <w:tcW w:type="dxa" w:w="27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Up to 30 seconds after it begins</w:t>
            </w:r>
          </w:p>
        </w:tc>
        <w:tc>
          <w:tcPr>
            <w:tcW w:type="dxa" w:w="3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 damage already done</w:t>
            </w:r>
          </w:p>
        </w:tc>
      </w:tr>
      <w:tr>
        <w:tc>
          <w:tcPr>
            <w:tcW w:type="dxa" w:w="3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Agent ignores kill switch for 45 seconds</w:t>
            </w:r>
          </w:p>
        </w:tc>
        <w:tc>
          <w:tcPr>
            <w:tcW w:type="dxa" w:w="27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Up to 30 seconds before governance layer sees it</w:t>
            </w:r>
          </w:p>
        </w:tc>
        <w:tc>
          <w:tcPr>
            <w:tcW w:type="dxa" w:w="34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NO — safety-critical</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Source returning 429s for 10 minutes</w:t>
            </w:r>
          </w:p>
        </w:tc>
        <w:tc>
          <w:tcPr>
            <w:tcW w:type="dxa" w:w="27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Next governance poll — up to 30 seconds</w:t>
            </w:r>
          </w:p>
        </w:tc>
        <w:tc>
          <w:tcPr>
            <w:tcW w:type="dxa" w:w="3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MARGINAL — but source stress response belongs in agent anyway</w:t>
            </w:r>
          </w:p>
        </w:tc>
      </w:tr>
      <w:tr>
        <w:tc>
          <w:tcPr>
            <w:tcW w:type="dxa" w:w="32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Morning report shows polling anomaly from yesterday</w:t>
            </w:r>
          </w:p>
        </w:tc>
        <w:tc>
          <w:tcPr>
            <w:tcW w:type="dxa" w:w="27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N/A — batch observation</w:t>
            </w:r>
          </w:p>
        </w:tc>
        <w:tc>
          <w:tcPr>
            <w:tcW w:type="dxa" w:w="34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YES — this is what governance layer is for</w:t>
            </w:r>
          </w:p>
        </w:tc>
      </w:tr>
      <w:tr>
        <w:tc>
          <w:tcPr>
            <w:tcW w:type="dxa" w:w="32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Weekly trend: one source consistently over-polled</w:t>
            </w:r>
          </w:p>
        </w:tc>
        <w:tc>
          <w:tcPr>
            <w:tcW w:type="dxa" w:w="27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 — trend analysis</w:t>
            </w:r>
          </w:p>
        </w:tc>
        <w:tc>
          <w:tcPr>
            <w:tcW w:type="dxa" w:w="34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 — correct use of governance layer</w:t>
            </w:r>
          </w:p>
        </w:tc>
      </w:tr>
    </w:tbl>
    <w:p>
      <w:pPr>
        <w:spacing w:before="40" w:after="40"/>
      </w:pPr>
    </w:p>
    <w:p>
      <w:pPr>
        <w:pStyle w:val="Heading2"/>
        <w:spacing w:before="240" w:after="120"/>
      </w:pPr>
      <w:r>
        <w:rPr>
          <w:rFonts w:ascii="Arial" w:cs="Arial" w:eastAsia="Arial" w:hAnsi="Arial"/>
          <w:b/>
          <w:bCs/>
          <w:color w:val="0D6E72"/>
          <w:sz w:val="26"/>
          <w:szCs w:val="26"/>
        </w:rPr>
        <w:t xml:space="preserve">2.2 The Requirement</w:t>
      </w:r>
    </w:p>
    <w:p>
      <w:pPr>
        <w:spacing w:before="60" w:after="60" w:line="340" w:lineRule="auto"/>
      </w:pPr>
      <w:r>
        <w:rPr>
          <w:rFonts w:ascii="Arial" w:cs="Arial" w:eastAsia="Arial" w:hAnsi="Arial"/>
          <w:color w:val="333333"/>
          <w:sz w:val="20"/>
          <w:szCs w:val="20"/>
        </w:rPr>
        <w:t xml:space="preserve">The following safety behaviors must be enforced inside the agent at execution time. The governance layer may also observe them, but agent-level enforcement is the primary mechanism — not a backup.</w:t>
      </w:r>
    </w:p>
    <w:tbl>
      <w:tblPr>
        <w:tblW w:type="dxa" w:w="9360"/>
      </w:tblPr>
      <w:tblGrid>
        <w:gridCol w:w="2800"/>
        <w:gridCol w:w="2560"/>
        <w:gridCol w:w="4000"/>
      </w:tblGrid>
      <w:tr>
        <w:trPr>
          <w:tblHeader/>
        </w:trPr>
        <w:tc>
          <w:tcPr>
            <w:tcW w:type="dxa" w:w="2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Behavior</w:t>
            </w:r>
          </w:p>
        </w:tc>
        <w:tc>
          <w:tcPr>
            <w:tcW w:type="dxa" w:w="256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Must Live In</w:t>
            </w:r>
          </w:p>
        </w:tc>
        <w:tc>
          <w:tcPr>
            <w:tcW w:type="dxa" w:w="4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Governance Layer Role</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Per-request rate limit enforcement</w:t>
            </w:r>
          </w:p>
        </w:tc>
        <w:tc>
          <w:tcPr>
            <w:tcW w:type="dxa" w:w="2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 — checked before every fetch</w:t>
            </w:r>
          </w:p>
        </w:tc>
        <w:tc>
          <w:tcPr>
            <w:tcW w:type="dxa" w:w="4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Observes and logs violations after the fact</w:t>
            </w:r>
          </w:p>
        </w:tc>
      </w:tr>
      <w:tr>
        <w:tc>
          <w:tcPr>
            <w:tcW w:type="dxa" w:w="2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Kill switch compliance</w:t>
            </w:r>
          </w:p>
        </w:tc>
        <w:tc>
          <w:tcPr>
            <w:tcW w:type="dxa" w:w="25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Agent — checked at start of every fetch loop</w:t>
            </w:r>
          </w:p>
        </w:tc>
        <w:tc>
          <w:tcPr>
            <w:tcW w:type="dxa" w:w="40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Issues the signal; does not enforce compliance</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Source stress detection and backoff</w:t>
            </w:r>
          </w:p>
        </w:tc>
        <w:tc>
          <w:tcPr>
            <w:tcW w:type="dxa" w:w="2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 — evaluated on every response</w:t>
            </w:r>
          </w:p>
        </w:tc>
        <w:tc>
          <w:tcPr>
            <w:tcW w:type="dxa" w:w="4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Logs patterns; triggers intraday schedule adjustments</w:t>
            </w:r>
          </w:p>
        </w:tc>
      </w:tr>
      <w:tr>
        <w:tc>
          <w:tcPr>
            <w:tcW w:type="dxa" w:w="2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Exponential backoff on failure</w:t>
            </w:r>
          </w:p>
        </w:tc>
        <w:tc>
          <w:tcPr>
            <w:tcW w:type="dxa" w:w="25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Agent — applied immediately on failure</w:t>
            </w:r>
          </w:p>
        </w:tc>
        <w:tc>
          <w:tcPr>
            <w:tcW w:type="dxa" w:w="40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Monitors cumulative failure counts</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Minimum interval enforcement</w:t>
            </w:r>
          </w:p>
        </w:tc>
        <w:tc>
          <w:tcPr>
            <w:tcW w:type="dxa" w:w="2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Agent — compares now vs. last_fetch_timestamp before proceeding</w:t>
            </w:r>
          </w:p>
        </w:tc>
        <w:tc>
          <w:tcPr>
            <w:tcW w:type="dxa" w:w="4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Validates against schedule; flags violations</w:t>
            </w:r>
          </w:p>
        </w:tc>
      </w:tr>
    </w:tbl>
    <w:p>
      <w:pPr>
        <w:spacing w:before="40" w:after="40"/>
      </w:pPr>
    </w:p>
    <w:p>
      <w:pPr>
        <w:pBdr>
          <w:left w:val="single" w:color="C0392B" w:sz="12"/>
        </w:pBdr>
        <w:shd w:fill="FDEDEC" w:val="clear"/>
        <w:spacing w:before="80" w:after="80"/>
        <w:ind w:left="360"/>
      </w:pPr>
      <w:r>
        <w:rPr>
          <w:rFonts w:ascii="Arial" w:cs="Arial" w:eastAsia="Arial" w:hAnsi="Arial"/>
          <w:b/>
          <w:bCs/>
          <w:color w:val="C0392B"/>
          <w:sz w:val="20"/>
          <w:szCs w:val="20"/>
        </w:rPr>
        <w:t xml:space="preserve">WARNING  </w:t>
      </w:r>
      <w:r>
        <w:rPr>
          <w:rFonts w:ascii="Arial" w:cs="Arial" w:eastAsia="Arial" w:hAnsi="Arial"/>
          <w:color w:val="333333"/>
          <w:sz w:val="20"/>
          <w:szCs w:val="20"/>
        </w:rPr>
        <w:t xml:space="preserve">The governance layer is a visibility and configuration tool. It is not a real-time safety enforcer. Any safety behavior that depends solely on the governance layer detecting and stopping a violation will fail in the window between violation and detection. That window can be tens of seconds. That is enough time to cause real harm to an external source relationship.</w:t>
      </w:r>
    </w:p>
    <w:p>
      <w:pPr>
        <w:pBdr>
          <w:left w:val="single" w:color="1E7E34" w:sz="12"/>
        </w:pBdr>
        <w:shd w:fill="EAFAF1" w:val="clear"/>
        <w:spacing w:before="80" w:after="80"/>
        <w:ind w:left="360"/>
      </w:pPr>
      <w:r>
        <w:rPr>
          <w:rFonts w:ascii="Arial" w:cs="Arial" w:eastAsia="Arial" w:hAnsi="Arial"/>
          <w:b/>
          <w:bCs/>
          <w:color w:val="1E7E34"/>
          <w:sz w:val="20"/>
          <w:szCs w:val="20"/>
        </w:rPr>
        <w:t xml:space="preserve">DESIGN DECISION  </w:t>
      </w:r>
      <w:r>
        <w:rPr>
          <w:rFonts w:ascii="Arial" w:cs="Arial" w:eastAsia="Arial" w:hAnsi="Arial"/>
          <w:color w:val="333333"/>
          <w:sz w:val="20"/>
          <w:szCs w:val="20"/>
        </w:rPr>
        <w:t xml:space="preserve">Governance layer catches patterns, manages configuration, and provides the operator with situational awareness. Agents catch violations in real time. Both are needed. Neither replaces the other.</w:t>
      </w:r>
    </w:p>
    <w:p>
      <w:pPr>
        <w:pStyle w:val="Heading2"/>
        <w:spacing w:before="240" w:after="120"/>
      </w:pPr>
      <w:r>
        <w:rPr>
          <w:rFonts w:ascii="Arial" w:cs="Arial" w:eastAsia="Arial" w:hAnsi="Arial"/>
          <w:b/>
          <w:bCs/>
          <w:color w:val="0D6E72"/>
          <w:sz w:val="26"/>
          <w:szCs w:val="26"/>
        </w:rPr>
        <w:t xml:space="preserve">2.3 Event-Driven Observation — Phase 3 Upgrade</w:t>
      </w:r>
    </w:p>
    <w:p>
      <w:pPr>
        <w:spacing w:before="60" w:after="60" w:line="340" w:lineRule="auto"/>
      </w:pPr>
      <w:r>
        <w:rPr>
          <w:rFonts w:ascii="Arial" w:cs="Arial" w:eastAsia="Arial" w:hAnsi="Arial"/>
          <w:color w:val="333333"/>
          <w:sz w:val="20"/>
          <w:szCs w:val="20"/>
        </w:rPr>
        <w:t xml:space="preserve">In Phase 3, agents will gain lightweight active reporting hooks. Instead of the governance layer polling the database, agents will write a structured record to a shared governance event queue after each fetch. This reduces observation lag to low milliseconds for the specific events that are written.</w:t>
      </w:r>
    </w:p>
    <w:p>
      <w:pPr>
        <w:spacing w:before="60" w:after="60" w:line="340" w:lineRule="auto"/>
      </w:pPr>
      <w:r>
        <w:rPr>
          <w:rFonts w:ascii="Arial" w:cs="Arial" w:eastAsia="Arial" w:hAnsi="Arial"/>
          <w:color w:val="333333"/>
          <w:sz w:val="20"/>
          <w:szCs w:val="20"/>
        </w:rPr>
        <w:t xml:space="preserve">This upgrade does not change the fundamental architecture: safety behaviors remain in agents. The Phase 3 upgrade improves the governance layer's visibility resolution, not its authority over safety behaviors.</w:t>
      </w:r>
    </w:p>
    <w:p>
      <w:pPr>
        <w:pStyle w:val="Heading1"/>
        <w:pBdr>
          <w:bottom w:val="single" w:color="0D6E72" w:sz="4" w:space="4"/>
        </w:pBdr>
        <w:spacing w:before="360" w:after="160"/>
      </w:pPr>
      <w:r>
        <w:rPr>
          <w:rFonts w:ascii="Arial" w:cs="Arial" w:eastAsia="Arial" w:hAnsi="Arial"/>
          <w:b/>
          <w:bCs/>
          <w:color w:val="0F2D4A"/>
          <w:sz w:val="32"/>
          <w:szCs w:val="32"/>
        </w:rPr>
        <w:t xml:space="preserve">3. Race Condition Resolution — Scheduler as Atomic Coordinator</w:t>
      </w:r>
    </w:p>
    <w:p>
      <w:pPr>
        <w:pStyle w:val="Heading2"/>
        <w:spacing w:before="240" w:after="120"/>
      </w:pPr>
      <w:r>
        <w:rPr>
          <w:rFonts w:ascii="Arial" w:cs="Arial" w:eastAsia="Arial" w:hAnsi="Arial"/>
          <w:b/>
          <w:bCs/>
          <w:color w:val="0D6E72"/>
          <w:sz w:val="26"/>
          <w:szCs w:val="26"/>
        </w:rPr>
        <w:t xml:space="preserve">3.1 The Problem in NSB-001 v1.0</w:t>
      </w:r>
    </w:p>
    <w:p>
      <w:pPr>
        <w:spacing w:before="60" w:after="60" w:line="340" w:lineRule="auto"/>
      </w:pPr>
      <w:r>
        <w:rPr>
          <w:rFonts w:ascii="Arial" w:cs="Arial" w:eastAsia="Arial" w:hAnsi="Arial"/>
          <w:color w:val="333333"/>
          <w:sz w:val="20"/>
          <w:szCs w:val="20"/>
        </w:rPr>
        <w:t xml:space="preserve">NSB-001 Section 3 required nodes to check whether another node had already covered a task before beginning it. This check is logically correct but technically insufficient in a distributed system. Two nodes can simultaneously check, both find 'not covered,' and both proceed. The policy assumed a coordination mechanism existed without specifying one.</w:t>
      </w:r>
    </w:p>
    <w:p>
      <w:pPr>
        <w:pStyle w:val="Heading2"/>
        <w:spacing w:before="240" w:after="120"/>
      </w:pPr>
      <w:r>
        <w:rPr>
          <w:rFonts w:ascii="Arial" w:cs="Arial" w:eastAsia="Arial" w:hAnsi="Arial"/>
          <w:b/>
          <w:bCs/>
          <w:color w:val="0D6E72"/>
          <w:sz w:val="26"/>
          <w:szCs w:val="26"/>
        </w:rPr>
        <w:t xml:space="preserve">3.2 The Fix — Scheduler Owns Assignment</w:t>
      </w:r>
    </w:p>
    <w:p>
      <w:pPr>
        <w:spacing w:before="60" w:after="60" w:line="340" w:lineRule="auto"/>
      </w:pPr>
      <w:r>
        <w:rPr>
          <w:rFonts w:ascii="Arial" w:cs="Arial" w:eastAsia="Arial" w:hAnsi="Arial"/>
          <w:color w:val="333333"/>
          <w:sz w:val="20"/>
          <w:szCs w:val="20"/>
        </w:rPr>
        <w:t xml:space="preserve">The polling scheduler (OPS-ADD-002 Section 3) resolves this completely. The scheduler assigns tasks before any node begins. There is no concurrent check-and-claim — the scheduler's assignment is the authoritative record. A node that was not assigned a task by the scheduler does not perform it, regardless of what it observes in the task queue.</w:t>
      </w:r>
    </w:p>
    <w:tbl>
      <w:tblPr>
        <w:tblW w:type="dxa" w:w="9360"/>
      </w:tblPr>
      <w:tblGrid>
        <w:gridCol w:w="2800"/>
        <w:gridCol w:w="6560"/>
      </w:tblGrid>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Old model</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Each node checks if task is covered, then proceeds if not (race condition possible)</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New model</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Scheduler assigns tasks at 05:30 ET. Nodes execute only their assigned tasks. No node-level coverage check required.</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Overlap detection</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Still required — but now it detects scheduler errors, not concurrent node decisions. A node that receives an assignment it believes conflicts with another node's assignment flags it to the scheduler, not to the operator.</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Scheduler unavailability</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Nodes fall back to frozen schedule file (OPS-ADD-002 Section 2.5). Frozen file already contains node assignments — no coverage check needed in fallback mode either.</w:t>
            </w:r>
          </w:p>
        </w:tc>
      </w:tr>
    </w:tbl>
    <w:p>
      <w:pPr>
        <w:spacing w:before="40" w:after="40"/>
      </w:pPr>
    </w:p>
    <w:p>
      <w:pPr>
        <w:pBdr>
          <w:left w:val="single" w:color="D35400" w:sz="12"/>
        </w:pBdr>
        <w:shd w:fill="FEF9E7" w:val="clear"/>
        <w:spacing w:before="80" w:after="80"/>
        <w:ind w:left="360"/>
      </w:pPr>
      <w:r>
        <w:rPr>
          <w:rFonts w:ascii="Arial" w:cs="Arial" w:eastAsia="Arial" w:hAnsi="Arial"/>
          <w:b/>
          <w:bCs/>
          <w:color w:val="D35400"/>
          <w:sz w:val="20"/>
          <w:szCs w:val="20"/>
        </w:rPr>
        <w:t xml:space="preserve">NOTE  </w:t>
      </w:r>
      <w:r>
        <w:rPr>
          <w:rFonts w:ascii="Arial" w:cs="Arial" w:eastAsia="Arial" w:hAnsi="Arial"/>
          <w:color w:val="333333"/>
          <w:sz w:val="20"/>
          <w:szCs w:val="20"/>
        </w:rPr>
        <w:t xml:space="preserve">The node-level overlap detection from NSB-001 Section 3.2 is retained as a secondary check on scheduler correctness, not as the primary coordination mechanism. If a node detects that its assigned task appears to duplicate another node's assignment, it flags the scheduler — it does not self-resolve by skipping the task, because that could cause a source to go unpolled if both nodes skip.</w:t>
      </w:r>
    </w:p>
    <w:p>
      <w:pPr>
        <w:pStyle w:val="Heading1"/>
        <w:pBdr>
          <w:bottom w:val="single" w:color="0D6E72" w:sz="4" w:space="4"/>
        </w:pBdr>
        <w:spacing w:before="360" w:after="160"/>
      </w:pPr>
      <w:r>
        <w:rPr>
          <w:rFonts w:ascii="Arial" w:cs="Arial" w:eastAsia="Arial" w:hAnsi="Arial"/>
          <w:b/>
          <w:bCs/>
          <w:color w:val="0F2D4A"/>
          <w:sz w:val="32"/>
          <w:szCs w:val="32"/>
        </w:rPr>
        <w:t xml:space="preserve">4. Kill Switch — Agent-Side Implementation Requirement</w:t>
      </w:r>
    </w:p>
    <w:p>
      <w:pPr>
        <w:spacing w:before="60" w:after="60" w:line="340" w:lineRule="auto"/>
      </w:pPr>
      <w:r>
        <w:rPr>
          <w:rFonts w:ascii="Arial" w:cs="Arial" w:eastAsia="Arial" w:hAnsi="Arial"/>
          <w:color w:val="333333"/>
          <w:sz w:val="20"/>
          <w:szCs w:val="20"/>
        </w:rPr>
        <w:t xml:space="preserve">NSB-001 Section 9 required kill switch compliance but NSB-001 did not specify the mechanism. The mechanism is now defined in RAP-001-ADD-001 Section 4. This section records the NSB-001-side requirement that flows from that definition.</w:t>
      </w:r>
    </w:p>
    <w:p>
      <w:pPr>
        <w:spacing w:before="60" w:after="60" w:line="340" w:lineRule="auto"/>
      </w:pPr>
      <w:r>
        <w:rPr>
          <w:rFonts w:ascii="Arial" w:cs="Arial" w:eastAsia="Arial" w:hAnsi="Arial"/>
          <w:color w:val="333333"/>
          <w:sz w:val="20"/>
          <w:szCs w:val="20"/>
        </w:rPr>
        <w:t xml:space="preserve">Every agent must implement the following at the top of its fetch loop:</w:t>
      </w:r>
    </w:p>
    <w:p>
      <w:pPr>
        <w:pStyle w:val="ListParagraph"/>
        <w:numPr>
          <w:ilvl w:val="0"/>
          <w:numId w:val="2"/>
        </w:numPr>
        <w:spacing w:before="40" w:after="40"/>
      </w:pPr>
      <w:r>
        <w:rPr>
          <w:rFonts w:ascii="Arial" w:cs="Arial" w:eastAsia="Arial" w:hAnsi="Arial"/>
          <w:color w:val="333333"/>
          <w:sz w:val="20"/>
          <w:szCs w:val="20"/>
        </w:rPr>
        <w:t xml:space="preserve">Read data/governance/system_state.json</w:t>
      </w:r>
    </w:p>
    <w:p>
      <w:pPr>
        <w:pStyle w:val="ListParagraph"/>
        <w:numPr>
          <w:ilvl w:val="0"/>
          <w:numId w:val="2"/>
        </w:numPr>
        <w:spacing w:before="40" w:after="40"/>
      </w:pPr>
      <w:r>
        <w:rPr>
          <w:rFonts w:ascii="Arial" w:cs="Arial" w:eastAsia="Arial" w:hAnsi="Arial"/>
          <w:color w:val="333333"/>
          <w:sz w:val="20"/>
          <w:szCs w:val="20"/>
        </w:rPr>
        <w:t xml:space="preserve">If status is PAUSED: complete current request if mid-flight, then stop. Re-check on next scheduled cycle.</w:t>
      </w:r>
    </w:p>
    <w:p>
      <w:pPr>
        <w:pStyle w:val="ListParagraph"/>
        <w:numPr>
          <w:ilvl w:val="0"/>
          <w:numId w:val="2"/>
        </w:numPr>
        <w:spacing w:before="40" w:after="40"/>
      </w:pPr>
      <w:r>
        <w:rPr>
          <w:rFonts w:ascii="Arial" w:cs="Arial" w:eastAsia="Arial" w:hAnsi="Arial"/>
          <w:color w:val="333333"/>
          <w:sz w:val="20"/>
          <w:szCs w:val="20"/>
        </w:rPr>
        <w:t xml:space="preserve">If status is HALT: stop immediately. Log halt with timestamp. Do not resume without RUNNING status.</w:t>
      </w:r>
    </w:p>
    <w:p>
      <w:pPr>
        <w:pStyle w:val="ListParagraph"/>
        <w:numPr>
          <w:ilvl w:val="0"/>
          <w:numId w:val="2"/>
        </w:numPr>
        <w:spacing w:before="40" w:after="40"/>
      </w:pPr>
      <w:r>
        <w:rPr>
          <w:rFonts w:ascii="Arial" w:cs="Arial" w:eastAsia="Arial" w:hAnsi="Arial"/>
          <w:color w:val="333333"/>
          <w:sz w:val="20"/>
          <w:szCs w:val="20"/>
        </w:rPr>
        <w:t xml:space="preserve">If file is unreadable or missing for more than 24 hours: treat as PAUSED and log a warning.</w:t>
      </w:r>
    </w:p>
    <w:p>
      <w:pPr>
        <w:pStyle w:val="ListParagraph"/>
        <w:numPr>
          <w:ilvl w:val="0"/>
          <w:numId w:val="2"/>
        </w:numPr>
        <w:spacing w:before="40" w:after="40"/>
      </w:pPr>
      <w:r>
        <w:rPr>
          <w:rFonts w:ascii="Arial" w:cs="Arial" w:eastAsia="Arial" w:hAnsi="Arial"/>
          <w:color w:val="333333"/>
          <w:sz w:val="20"/>
          <w:szCs w:val="20"/>
        </w:rPr>
        <w:t xml:space="preserve">If file is unreadable or missing for less than 24 hours: treat as RUNNING but log a warning. Short-term file system issues should not halt production.</w:t>
      </w:r>
    </w:p>
    <w:p>
      <w:pPr>
        <w:pBdr>
          <w:left w:val="single" w:color="D35400" w:sz="12"/>
        </w:pBdr>
        <w:shd w:fill="FEF9E7" w:val="clear"/>
        <w:spacing w:before="80" w:after="80"/>
        <w:ind w:left="360"/>
      </w:pPr>
      <w:r>
        <w:rPr>
          <w:rFonts w:ascii="Arial" w:cs="Arial" w:eastAsia="Arial" w:hAnsi="Arial"/>
          <w:b/>
          <w:bCs/>
          <w:color w:val="D35400"/>
          <w:sz w:val="20"/>
          <w:szCs w:val="20"/>
        </w:rPr>
        <w:t xml:space="preserve">NOTE  </w:t>
      </w:r>
      <w:r>
        <w:rPr>
          <w:rFonts w:ascii="Arial" w:cs="Arial" w:eastAsia="Arial" w:hAnsi="Arial"/>
          <w:color w:val="333333"/>
          <w:sz w:val="20"/>
          <w:szCs w:val="20"/>
        </w:rPr>
        <w:t xml:space="preserve">The 24-hour threshold for treating missing file as PAUSED vs. RUNNING reflects operational reality: short-term file system issues are common and should not cause agents to stop. Prolonged absence of the state file is a governance layer failure that does warrant caution.</w:t>
      </w:r>
    </w:p>
    <w:p>
      <w:pPr>
        <w:pStyle w:val="Heading1"/>
        <w:pBdr>
          <w:bottom w:val="single" w:color="0D6E72" w:sz="4" w:space="4"/>
        </w:pBdr>
        <w:spacing w:before="360" w:after="160"/>
      </w:pPr>
      <w:r>
        <w:rPr>
          <w:rFonts w:ascii="Arial" w:cs="Arial" w:eastAsia="Arial" w:hAnsi="Arial"/>
          <w:b/>
          <w:bCs/>
          <w:color w:val="0F2D4A"/>
          <w:sz w:val="32"/>
          <w:szCs w:val="32"/>
        </w:rPr>
        <w:t xml:space="preserve">5. Work Assignment Constraints — Updated</w:t>
      </w:r>
    </w:p>
    <w:p>
      <w:pPr>
        <w:spacing w:before="60" w:after="60" w:line="340" w:lineRule="auto"/>
      </w:pPr>
      <w:r>
        <w:rPr>
          <w:rFonts w:ascii="Arial" w:cs="Arial" w:eastAsia="Arial" w:hAnsi="Arial"/>
          <w:color w:val="333333"/>
          <w:sz w:val="20"/>
          <w:szCs w:val="20"/>
        </w:rPr>
        <w:t xml:space="preserve">The following table replaces the work assignment section of NSB-001 with the scheduler-based model:</w:t>
      </w:r>
    </w:p>
    <w:tbl>
      <w:tblPr>
        <w:tblW w:type="dxa" w:w="9360"/>
      </w:tblPr>
      <w:tblGrid>
        <w:gridCol w:w="2800"/>
        <w:gridCol w:w="3000"/>
        <w:gridCol w:w="3560"/>
      </w:tblGrid>
      <w:tr>
        <w:trPr>
          <w:tblHeader/>
        </w:trPr>
        <w:tc>
          <w:tcPr>
            <w:tcW w:type="dxa" w:w="28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300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Original NSB-001</w:t>
            </w:r>
          </w:p>
        </w:tc>
        <w:tc>
          <w:tcPr>
            <w:tcW w:type="dxa" w:w="3560"/>
            <w:tcBorders>
              <w:top w:val="single" w:color="C8D0D8" w:sz="1"/>
              <w:left w:val="single" w:color="C8D0D8" w:sz="1"/>
              <w:bottom w:val="single" w:color="C8D0D8" w:sz="1"/>
              <w:right w:val="single" w:color="C8D0D8" w:sz="1"/>
            </w:tcBorders>
            <w:shd w:fill="0F2D4A" w:val="clear"/>
            <w:tcMar>
              <w:top w:type="dxa" w:w="80"/>
              <w:left w:type="dxa" w:w="120"/>
              <w:bottom w:type="dxa" w:w="80"/>
              <w:right w:type="dxa" w:w="120"/>
            </w:tcMar>
          </w:tcPr>
          <w:p>
            <w:r>
              <w:rPr>
                <w:rFonts w:ascii="Arial" w:cs="Arial" w:eastAsia="Arial" w:hAnsi="Arial"/>
                <w:b/>
                <w:bCs/>
                <w:color w:val="FFFFFF"/>
                <w:sz w:val="18"/>
                <w:szCs w:val="18"/>
              </w:rPr>
              <w:t xml:space="preserve">Updated (This Addendum)</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Task assignment source</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Operator or system coordinator (unspecified)</w:t>
            </w:r>
          </w:p>
        </w:tc>
        <w:tc>
          <w:tcPr>
            <w:tcW w:type="dxa" w:w="3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Polling scheduler — distributed at 05:30 ET via frozen schedule file</w:t>
            </w:r>
          </w:p>
        </w:tc>
      </w:tr>
      <w:tr>
        <w:tc>
          <w:tcPr>
            <w:tcW w:type="dxa" w:w="2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Coverage check</w:t>
            </w:r>
          </w:p>
        </w:tc>
        <w:tc>
          <w:tcPr>
            <w:tcW w:type="dxa" w:w="30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Node checks if task is covered before proceeding</w:t>
            </w:r>
          </w:p>
        </w:tc>
        <w:tc>
          <w:tcPr>
            <w:tcW w:type="dxa" w:w="35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Scheduler owns assignment — node executes assigned tasks only</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Unassigned task handling</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Skip and log</w:t>
            </w:r>
          </w:p>
        </w:tc>
        <w:tc>
          <w:tcPr>
            <w:tcW w:type="dxa" w:w="3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Flag to scheduler as scheduling gap — do not self-assign</w:t>
            </w:r>
          </w:p>
        </w:tc>
      </w:tr>
      <w:tr>
        <w:tc>
          <w:tcPr>
            <w:tcW w:type="dxa" w:w="28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Scheduler unavailability</w:t>
            </w:r>
          </w:p>
        </w:tc>
        <w:tc>
          <w:tcPr>
            <w:tcW w:type="dxa" w:w="300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Not specified</w:t>
            </w:r>
          </w:p>
        </w:tc>
        <w:tc>
          <w:tcPr>
            <w:tcW w:type="dxa" w:w="3560"/>
            <w:tcBorders>
              <w:top w:val="single" w:color="C8D0D8" w:sz="1"/>
              <w:left w:val="single" w:color="C8D0D8" w:sz="1"/>
              <w:bottom w:val="single" w:color="C8D0D8" w:sz="1"/>
              <w:right w:val="single" w:color="C8D0D8" w:sz="1"/>
            </w:tcBorders>
            <w:shd w:fill="F0F4F8" w:val="clear"/>
            <w:tcMar>
              <w:top w:type="dxa" w:w="80"/>
              <w:left w:type="dxa" w:w="120"/>
              <w:bottom w:type="dxa" w:w="80"/>
              <w:right w:type="dxa" w:w="120"/>
            </w:tcMar>
          </w:tcPr>
          <w:p>
            <w:r>
              <w:rPr>
                <w:rFonts w:ascii="Arial" w:cs="Arial" w:eastAsia="Arial" w:hAnsi="Arial"/>
                <w:color w:val="333333"/>
                <w:sz w:val="18"/>
                <w:szCs w:val="18"/>
              </w:rPr>
              <w:t xml:space="preserve">Execute from frozen schedule file for up to 48 hours</w:t>
            </w:r>
          </w:p>
        </w:tc>
      </w:tr>
      <w:tr>
        <w:tc>
          <w:tcPr>
            <w:tcW w:type="dxa" w:w="28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Frozen file expiry</w:t>
            </w:r>
          </w:p>
        </w:tc>
        <w:tc>
          <w:tcPr>
            <w:tcW w:type="dxa" w:w="300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 specified</w:t>
            </w:r>
          </w:p>
        </w:tc>
        <w:tc>
          <w:tcPr>
            <w:tcW w:type="dxa" w:w="3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After 48 hours without scheduler refresh, halt polling and flag CRITICAL</w:t>
            </w:r>
          </w:p>
        </w:tc>
      </w:tr>
    </w:tbl>
    <w:p>
      <w:pPr>
        <w:pStyle w:val="Heading1"/>
        <w:pBdr>
          <w:bottom w:val="single" w:color="0D6E72" w:sz="4" w:space="4"/>
        </w:pBdr>
        <w:spacing w:before="360" w:after="160"/>
      </w:pPr>
      <w:r>
        <w:rPr>
          <w:rFonts w:ascii="Arial" w:cs="Arial" w:eastAsia="Arial" w:hAnsi="Arial"/>
          <w:b/>
          <w:bCs/>
          <w:color w:val="0F2D4A"/>
          <w:sz w:val="32"/>
          <w:szCs w:val="32"/>
        </w:rPr>
        <w:t xml:space="preserve">6. MEDIUM Violation Escalation — NSB-001 Side</w:t>
      </w:r>
    </w:p>
    <w:p>
      <w:pPr>
        <w:spacing w:before="60" w:after="60" w:line="340" w:lineRule="auto"/>
      </w:pPr>
      <w:r>
        <w:rPr>
          <w:rFonts w:ascii="Arial" w:cs="Arial" w:eastAsia="Arial" w:hAnsi="Arial"/>
          <w:color w:val="333333"/>
          <w:sz w:val="20"/>
          <w:szCs w:val="20"/>
        </w:rPr>
        <w:t xml:space="preserve">RAP-001-ADD-001 Section 8 defines the MEDIUM violation escalation counter. The same counter applies to NSB-001 violations. The implementation is shared — a single violation_counters.json file tracks all violations regardless of which policy document they originate from.</w:t>
      </w:r>
    </w:p>
    <w:p>
      <w:pPr>
        <w:spacing w:before="60" w:after="60" w:line="340" w:lineRule="auto"/>
      </w:pPr>
      <w:r>
        <w:rPr>
          <w:rFonts w:ascii="Arial" w:cs="Arial" w:eastAsia="Arial" w:hAnsi="Arial"/>
          <w:color w:val="333333"/>
          <w:sz w:val="20"/>
          <w:szCs w:val="20"/>
        </w:rPr>
        <w:t xml:space="preserve">The following NSB-001 behaviors are classified as MEDIUM violations for counter purposes:</w:t>
      </w:r>
    </w:p>
    <w:p>
      <w:pPr>
        <w:pStyle w:val="ListParagraph"/>
        <w:numPr>
          <w:ilvl w:val="0"/>
          <w:numId w:val="2"/>
        </w:numPr>
        <w:spacing w:before="40" w:after="40"/>
      </w:pPr>
      <w:r>
        <w:rPr>
          <w:rFonts w:ascii="Arial" w:cs="Arial" w:eastAsia="Arial" w:hAnsi="Arial"/>
          <w:color w:val="333333"/>
          <w:sz w:val="20"/>
          <w:szCs w:val="20"/>
        </w:rPr>
        <w:t xml:space="preserve">Failure to apply jitter on any polling interval</w:t>
      </w:r>
    </w:p>
    <w:p>
      <w:pPr>
        <w:pStyle w:val="ListParagraph"/>
        <w:numPr>
          <w:ilvl w:val="0"/>
          <w:numId w:val="2"/>
        </w:numPr>
        <w:spacing w:before="40" w:after="40"/>
      </w:pPr>
      <w:r>
        <w:rPr>
          <w:rFonts w:ascii="Arial" w:cs="Arial" w:eastAsia="Arial" w:hAnsi="Arial"/>
          <w:color w:val="333333"/>
          <w:sz w:val="20"/>
          <w:szCs w:val="20"/>
        </w:rPr>
        <w:t xml:space="preserve">Making a fetch without first checking the kill switch file</w:t>
      </w:r>
    </w:p>
    <w:p>
      <w:pPr>
        <w:pStyle w:val="ListParagraph"/>
        <w:numPr>
          <w:ilvl w:val="0"/>
          <w:numId w:val="2"/>
        </w:numPr>
        <w:spacing w:before="40" w:after="40"/>
      </w:pPr>
      <w:r>
        <w:rPr>
          <w:rFonts w:ascii="Arial" w:cs="Arial" w:eastAsia="Arial" w:hAnsi="Arial"/>
          <w:color w:val="333333"/>
          <w:sz w:val="20"/>
          <w:szCs w:val="20"/>
        </w:rPr>
        <w:t xml:space="preserve">Polling a source faster than the scheduler's assigned interval without an explicit intraday patch authorizing it</w:t>
      </w:r>
    </w:p>
    <w:p>
      <w:pPr>
        <w:pStyle w:val="ListParagraph"/>
        <w:numPr>
          <w:ilvl w:val="0"/>
          <w:numId w:val="2"/>
        </w:numPr>
        <w:spacing w:before="40" w:after="40"/>
      </w:pPr>
      <w:r>
        <w:rPr>
          <w:rFonts w:ascii="Arial" w:cs="Arial" w:eastAsia="Arial" w:hAnsi="Arial"/>
          <w:color w:val="333333"/>
          <w:sz w:val="20"/>
          <w:szCs w:val="20"/>
        </w:rPr>
        <w:t xml:space="preserve">Failing to log any of the required audit fields for a completed fetch</w:t>
      </w:r>
    </w:p>
    <w:p>
      <w:pPr>
        <w:pStyle w:val="ListParagraph"/>
        <w:numPr>
          <w:ilvl w:val="0"/>
          <w:numId w:val="2"/>
        </w:numPr>
        <w:spacing w:before="40" w:after="40"/>
      </w:pPr>
      <w:r>
        <w:rPr>
          <w:rFonts w:ascii="Arial" w:cs="Arial" w:eastAsia="Arial" w:hAnsi="Arial"/>
          <w:color w:val="333333"/>
          <w:sz w:val="20"/>
          <w:szCs w:val="20"/>
        </w:rPr>
        <w:t xml:space="preserve">Performing a task not in the frozen schedule file without flagging it first</w:t>
      </w:r>
    </w:p>
    <w:p>
      <w:pPr>
        <w:pStyle w:val="Heading1"/>
        <w:pBdr>
          <w:bottom w:val="single" w:color="0D6E72" w:sz="4" w:space="4"/>
        </w:pBdr>
        <w:spacing w:before="360" w:after="160"/>
      </w:pPr>
      <w:r>
        <w:rPr>
          <w:rFonts w:ascii="Arial" w:cs="Arial" w:eastAsia="Arial" w:hAnsi="Arial"/>
          <w:b/>
          <w:bCs/>
          <w:color w:val="0F2D4A"/>
          <w:sz w:val="32"/>
          <w:szCs w:val="32"/>
        </w:rPr>
        <w:t xml:space="preserve">7. Document Control</w:t>
      </w:r>
    </w:p>
    <w:tbl>
      <w:tblPr>
        <w:tblW w:type="dxa" w:w="9360"/>
      </w:tblPr>
      <w:tblGrid>
        <w:gridCol w:w="2800"/>
        <w:gridCol w:w="6560"/>
      </w:tblGrid>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Document ID</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NSB-001-ADD-001</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Version</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1.0</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Effective Date</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March 27, 2026</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Appends</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NSB-001 Network Safety &amp; Behavior Constraints v1.0</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Owner</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Synthos Systems — Infrastructure &amp; Operations</w:t>
            </w:r>
          </w:p>
        </w:tc>
      </w:tr>
      <w:tr>
        <w:tc>
          <w:tcPr>
            <w:tcW w:type="dxa" w:w="2800"/>
            <w:tcBorders>
              <w:top w:val="single" w:color="C8D0D8" w:sz="1"/>
              <w:left w:val="single" w:color="C8D0D8" w:sz="1"/>
              <w:bottom w:val="single" w:color="C8D0D8" w:sz="1"/>
              <w:right w:val="single" w:color="C8D0D8" w:sz="1"/>
            </w:tcBorders>
            <w:shd w:fill="F5F8FA" w:val="clear"/>
            <w:tcMar>
              <w:top w:type="dxa" w:w="80"/>
              <w:left w:type="dxa" w:w="120"/>
              <w:bottom w:type="dxa" w:w="80"/>
              <w:right w:type="dxa" w:w="120"/>
            </w:tcMar>
          </w:tcPr>
          <w:p>
            <w:r>
              <w:rPr>
                <w:rFonts w:ascii="Arial" w:cs="Arial" w:eastAsia="Arial" w:hAnsi="Arial"/>
                <w:b/>
                <w:bCs/>
                <w:color w:val="0F2D4A"/>
                <w:sz w:val="18"/>
                <w:szCs w:val="18"/>
              </w:rPr>
              <w:t xml:space="preserve">Related</w:t>
            </w:r>
          </w:p>
        </w:tc>
        <w:tc>
          <w:tcPr>
            <w:tcW w:type="dxa" w:w="6560"/>
            <w:tcBorders>
              <w:top w:val="single" w:color="C8D0D8" w:sz="1"/>
              <w:left w:val="single" w:color="C8D0D8" w:sz="1"/>
              <w:bottom w:val="single" w:color="C8D0D8" w:sz="1"/>
              <w:right w:val="single" w:color="C8D0D8" w:sz="1"/>
            </w:tcBorders>
            <w:shd w:fill="FAFBFC" w:val="clear"/>
            <w:tcMar>
              <w:top w:type="dxa" w:w="80"/>
              <w:left w:type="dxa" w:w="120"/>
              <w:bottom w:type="dxa" w:w="80"/>
              <w:right w:type="dxa" w:w="120"/>
            </w:tcMar>
          </w:tcPr>
          <w:p>
            <w:r>
              <w:rPr>
                <w:rFonts w:ascii="Arial" w:cs="Arial" w:eastAsia="Arial" w:hAnsi="Arial"/>
                <w:color w:val="333333"/>
                <w:sz w:val="18"/>
                <w:szCs w:val="18"/>
              </w:rPr>
              <w:t xml:space="preserve">OPS-ADD-002, RAP-001-ADD-001</w:t>
            </w:r>
          </w:p>
        </w:tc>
      </w:tr>
      <w:tr>
        <w:tc>
          <w:tcPr>
            <w:tcW w:type="dxa" w:w="2800"/>
            <w:tcBorders>
              <w:top w:val="single" w:color="C8D0D8" w:sz="1"/>
              <w:left w:val="single" w:color="C8D0D8" w:sz="1"/>
              <w:bottom w:val="single" w:color="C8D0D8" w:sz="1"/>
              <w:right w:val="single" w:color="C8D0D8" w:sz="1"/>
            </w:tcBorders>
            <w:shd w:fill="EAF2FB" w:val="clear"/>
            <w:tcMar>
              <w:top w:type="dxa" w:w="80"/>
              <w:left w:type="dxa" w:w="120"/>
              <w:bottom w:type="dxa" w:w="80"/>
              <w:right w:type="dxa" w:w="120"/>
            </w:tcMar>
          </w:tcPr>
          <w:p>
            <w:r>
              <w:rPr>
                <w:rFonts w:ascii="Arial" w:cs="Arial" w:eastAsia="Arial" w:hAnsi="Arial"/>
                <w:b/>
                <w:bCs/>
                <w:color w:val="0F2D4A"/>
                <w:sz w:val="18"/>
                <w:szCs w:val="18"/>
              </w:rPr>
              <w:t xml:space="preserve">Next Review</w:t>
            </w:r>
          </w:p>
        </w:tc>
        <w:tc>
          <w:tcPr>
            <w:tcW w:type="dxa" w:w="6560"/>
            <w:tcBorders>
              <w:top w:val="single" w:color="C8D0D8" w:sz="1"/>
              <w:left w:val="single" w:color="C8D0D8" w:sz="1"/>
              <w:bottom w:val="single" w:color="C8D0D8" w:sz="1"/>
              <w:right w:val="single" w:color="C8D0D8"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When governance layer enters Phase 2 implementation</w:t>
            </w:r>
          </w:p>
        </w:tc>
      </w:tr>
    </w:tbl>
    <w:p>
      <w:pPr>
        <w:spacing w:before="40" w:after="40"/>
      </w:pPr>
    </w:p>
    <w:p>
      <w:pPr>
        <w:pBdr>
          <w:top w:val="single" w:color="BDC3C7" w:sz="2"/>
        </w:pBdr>
        <w:spacing w:before="200"/>
        <w:jc w:val="center"/>
      </w:pPr>
      <w:r>
        <w:rPr>
          <w:rFonts w:ascii="Arial" w:cs="Arial" w:eastAsia="Arial" w:hAnsi="Arial"/>
          <w:i/>
          <w:iCs/>
          <w:color w:val="AAAAAA"/>
          <w:sz w:val="18"/>
          <w:szCs w:val="18"/>
        </w:rPr>
        <w:t xml:space="preserve">END OF DOCUMENT — NSB-001-ADD-001 v1.0</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pPr>
    <w:r>
      <w:rPr>
        <w:rFonts w:ascii="Arial" w:cs="Arial" w:eastAsia="Arial" w:hAnsi="Arial"/>
        <w:color w:val="888888"/>
        <w:sz w:val="16"/>
        <w:szCs w:val="16"/>
      </w:rPr>
      <w:t xml:space="preserve">Synthos Systems — Internal Policy Addendum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72" w:sz="4" w:space="4"/>
      </w:pBdr>
      <w:spacing w:before="0" w:after="80"/>
    </w:pPr>
    <w:r>
      <w:rPr>
        <w:rFonts w:ascii="Arial" w:cs="Arial" w:eastAsia="Arial" w:hAnsi="Arial"/>
        <w:color w:val="AAAAAA"/>
        <w:sz w:val="16"/>
        <w:szCs w:val="16"/>
      </w:rPr>
      <w:t xml:space="preserve">SYNTHOS SYSTEMS  |  </w:t>
    </w:r>
    <w:r>
      <w:rPr>
        <w:rFonts w:ascii="Arial" w:cs="Arial" w:eastAsia="Arial" w:hAnsi="Arial"/>
        <w:b/>
        <w:bCs/>
        <w:color w:val="0F2D4A"/>
        <w:sz w:val="16"/>
        <w:szCs w:val="16"/>
      </w:rPr>
      <w:t xml:space="preserve">NSB-001 Addendum 1  •  NSB-001-ADD-001</w:t>
    </w:r>
    <w:r>
      <w:rPr>
        <w:rFonts w:ascii="Arial" w:cs="Arial" w:eastAsia="Arial" w:hAnsi="Arial"/>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2D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D6E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2026-03-27T10:26:33.223Z</dcterms:created>
  <dcterms:modified xsi:type="dcterms:W3CDTF">2026-03-27T10:26:33.223Z</dcterms:modified>
</cp:coreProperties>
</file>

<file path=docProps/custom.xml><?xml version="1.0" encoding="utf-8"?>
<Properties xmlns="http://schemas.openxmlformats.org/officeDocument/2006/custom-properties" xmlns:vt="http://schemas.openxmlformats.org/officeDocument/2006/docPropsVTypes"/>
</file>