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F2D4A" w:val="clear"/>
        <w:spacing w:before="0" w:after="0"/>
        <w:jc w:val="center"/>
      </w:pPr>
      <w:r>
        <w:rPr>
          <w:rFonts w:ascii="Arial" w:cs="Arial" w:eastAsia="Arial" w:hAnsi="Arial"/>
          <w:sz w:val="4"/>
          <w:szCs w:val="4"/>
        </w:rPr>
        <w:t xml:space="preserve"> </w:t>
      </w:r>
    </w:p>
    <w:p>
      <w:pPr>
        <w:shd w:fill="0F2D4A" w:val="clear"/>
        <w:spacing w:before="40" w:after="0"/>
        <w:jc w:val="center"/>
      </w:pPr>
      <w:r>
        <w:rPr>
          <w:rFonts w:ascii="Arial" w:cs="Arial" w:eastAsia="Arial" w:hAnsi="Arial"/>
          <w:b/>
          <w:bCs/>
          <w:caps/>
          <w:color w:val="88CCEE"/>
          <w:sz w:val="18"/>
          <w:szCs w:val="18"/>
        </w:rPr>
        <w:t xml:space="preserve">SYNTHOS SYSTEMS — ADDENDUM</w:t>
      </w:r>
    </w:p>
    <w:p>
      <w:pPr>
        <w:shd w:fill="0F2D4A" w:val="clear"/>
        <w:spacing w:before="80" w:after="80"/>
        <w:jc w:val="center"/>
      </w:pPr>
      <w:r>
        <w:rPr>
          <w:rFonts w:ascii="Arial" w:cs="Arial" w:eastAsia="Arial" w:hAnsi="Arial"/>
          <w:b/>
          <w:bCs/>
          <w:color w:val="FFFFFF"/>
          <w:sz w:val="40"/>
          <w:szCs w:val="40"/>
        </w:rPr>
        <w:t xml:space="preserve">Operations Spec — Addendum 2</w:t>
      </w:r>
    </w:p>
    <w:p>
      <w:pPr>
        <w:shd w:fill="0F2D4A" w:val="clear"/>
        <w:spacing w:before="0" w:after="60"/>
        <w:jc w:val="center"/>
      </w:pPr>
      <w:r>
        <w:rPr>
          <w:rFonts w:ascii="Arial" w:cs="Arial" w:eastAsia="Arial" w:hAnsi="Arial"/>
          <w:i/>
          <w:iCs/>
          <w:color w:val="88CCEE"/>
          <w:sz w:val="22"/>
          <w:szCs w:val="22"/>
        </w:rPr>
        <w:t xml:space="preserve">Governance Layer, Polling Scheduler, and Source Architecture</w:t>
      </w:r>
    </w:p>
    <w:p>
      <w:pPr>
        <w:shd w:fill="0F2D4A" w:val="clear"/>
        <w:spacing w:before="0" w:after="60"/>
        <w:jc w:val="center"/>
      </w:pPr>
      <w:r>
        <w:rPr>
          <w:rFonts w:ascii="Arial" w:cs="Arial" w:eastAsia="Arial" w:hAnsi="Arial"/>
          <w:color w:val="AAAAAA"/>
          <w:sz w:val="20"/>
          <w:szCs w:val="20"/>
        </w:rPr>
        <w:t xml:space="preserve">Appends: SYNTHOS_OPERATIONS_SPEC.md v1.0 + Addendum 1</w:t>
      </w:r>
    </w:p>
    <w:tbl>
      <w:tblPr>
        <w:tblW w:type="dxa" w:w="9360"/>
      </w:tblPr>
      <w:tblGrid>
        <w:gridCol w:w="2340"/>
        <w:gridCol w:w="2340"/>
        <w:gridCol w:w="2340"/>
        <w:gridCol w:w="2340"/>
      </w:tblGrid>
      <w:tr>
        <w:tc>
          <w:tcPr>
            <w:tcW w:type="dxa" w:w="2340"/>
            <w:tcBorders>
              <w:top w:val="none"/>
              <w:left w:val="none"/>
              <w:bottom w:val="none"/>
              <w:right w:val="none"/>
            </w:tcBorders>
            <w:shd w:fill="0F2D4A" w:val="clear"/>
            <w:tcMar>
              <w:top w:type="dxa" w:w="80"/>
              <w:left w:type="dxa" w:w="120"/>
              <w:bottom w:type="dxa" w:w="80"/>
              <w:right w:type="dxa" w:w="120"/>
            </w:tcMar>
          </w:tcPr>
          <w:p>
            <w:pPr>
              <w:jc w:val="center"/>
            </w:pPr>
            <w:r>
              <w:rPr>
                <w:rFonts w:ascii="Arial" w:cs="Arial" w:eastAsia="Arial" w:hAnsi="Arial"/>
                <w:b/>
                <w:bCs/>
                <w:color w:val="AAAAAA"/>
                <w:sz w:val="16"/>
                <w:szCs w:val="16"/>
              </w:rPr>
              <w:t xml:space="preserve">Doc ID
</w:t>
            </w:r>
            <w:r>
              <w:rPr>
                <w:rFonts w:ascii="Arial" w:cs="Arial" w:eastAsia="Arial" w:hAnsi="Arial"/>
                <w:color w:val="FFFFFF"/>
                <w:sz w:val="18"/>
                <w:szCs w:val="18"/>
              </w:rPr>
              <w:t xml:space="preserve">OPS-ADD-002</w:t>
            </w:r>
          </w:p>
        </w:tc>
        <w:tc>
          <w:tcPr>
            <w:tcW w:type="dxa" w:w="2340"/>
            <w:tcBorders>
              <w:top w:val="none"/>
              <w:left w:val="none"/>
              <w:bottom w:val="none"/>
              <w:right w:val="none"/>
            </w:tcBorders>
            <w:shd w:fill="0F2D4A" w:val="clear"/>
            <w:tcMar>
              <w:top w:type="dxa" w:w="80"/>
              <w:left w:type="dxa" w:w="120"/>
              <w:bottom w:type="dxa" w:w="80"/>
              <w:right w:type="dxa" w:w="120"/>
            </w:tcMar>
          </w:tcPr>
          <w:p>
            <w:pPr>
              <w:jc w:val="center"/>
            </w:pPr>
            <w:r>
              <w:rPr>
                <w:rFonts w:ascii="Arial" w:cs="Arial" w:eastAsia="Arial" w:hAnsi="Arial"/>
                <w:b/>
                <w:bCs/>
                <w:color w:val="AAAAAA"/>
                <w:sz w:val="16"/>
                <w:szCs w:val="16"/>
              </w:rPr>
              <w:t xml:space="preserve">Version
</w:t>
            </w:r>
            <w:r>
              <w:rPr>
                <w:rFonts w:ascii="Arial" w:cs="Arial" w:eastAsia="Arial" w:hAnsi="Arial"/>
                <w:color w:val="FFFFFF"/>
                <w:sz w:val="18"/>
                <w:szCs w:val="18"/>
              </w:rPr>
              <w:t xml:space="preserve">1.0</w:t>
            </w:r>
          </w:p>
        </w:tc>
        <w:tc>
          <w:tcPr>
            <w:tcW w:type="dxa" w:w="2340"/>
            <w:tcBorders>
              <w:top w:val="none"/>
              <w:left w:val="none"/>
              <w:bottom w:val="none"/>
              <w:right w:val="none"/>
            </w:tcBorders>
            <w:shd w:fill="0F2D4A" w:val="clear"/>
            <w:tcMar>
              <w:top w:type="dxa" w:w="80"/>
              <w:left w:type="dxa" w:w="120"/>
              <w:bottom w:type="dxa" w:w="80"/>
              <w:right w:type="dxa" w:w="120"/>
            </w:tcMar>
          </w:tcPr>
          <w:p>
            <w:pPr>
              <w:jc w:val="center"/>
            </w:pPr>
            <w:r>
              <w:rPr>
                <w:rFonts w:ascii="Arial" w:cs="Arial" w:eastAsia="Arial" w:hAnsi="Arial"/>
                <w:b/>
                <w:bCs/>
                <w:color w:val="AAAAAA"/>
                <w:sz w:val="16"/>
                <w:szCs w:val="16"/>
              </w:rPr>
              <w:t xml:space="preserve">Date
</w:t>
            </w:r>
            <w:r>
              <w:rPr>
                <w:rFonts w:ascii="Arial" w:cs="Arial" w:eastAsia="Arial" w:hAnsi="Arial"/>
                <w:color w:val="FFFFFF"/>
                <w:sz w:val="18"/>
                <w:szCs w:val="18"/>
              </w:rPr>
              <w:t xml:space="preserve">March 27, 2026</w:t>
            </w:r>
          </w:p>
        </w:tc>
        <w:tc>
          <w:tcPr>
            <w:tcW w:type="dxa" w:w="2340"/>
            <w:tcBorders>
              <w:top w:val="none"/>
              <w:left w:val="none"/>
              <w:bottom w:val="none"/>
              <w:right w:val="none"/>
            </w:tcBorders>
            <w:shd w:fill="0F2D4A" w:val="clear"/>
            <w:tcMar>
              <w:top w:type="dxa" w:w="80"/>
              <w:left w:type="dxa" w:w="120"/>
              <w:bottom w:type="dxa" w:w="80"/>
              <w:right w:type="dxa" w:w="120"/>
            </w:tcMar>
          </w:tcPr>
          <w:p>
            <w:pPr>
              <w:jc w:val="center"/>
            </w:pPr>
            <w:r>
              <w:rPr>
                <w:rFonts w:ascii="Arial" w:cs="Arial" w:eastAsia="Arial" w:hAnsi="Arial"/>
                <w:b/>
                <w:bCs/>
                <w:color w:val="AAAAAA"/>
                <w:sz w:val="16"/>
                <w:szCs w:val="16"/>
              </w:rPr>
              <w:t xml:space="preserve">Status
</w:t>
            </w:r>
            <w:r>
              <w:rPr>
                <w:rFonts w:ascii="Arial" w:cs="Arial" w:eastAsia="Arial" w:hAnsi="Arial"/>
                <w:color w:val="FFFFFF"/>
                <w:sz w:val="18"/>
                <w:szCs w:val="18"/>
              </w:rPr>
              <w:t xml:space="preserve">ACTIVE</w:t>
            </w:r>
          </w:p>
        </w:tc>
      </w:tr>
    </w:tbl>
    <w:p>
      <w:pPr>
        <w:shd w:fill="0F2D4A" w:val="clear"/>
        <w:spacing w:before="0" w:after="200"/>
        <w:jc w:val="center"/>
      </w:pPr>
      <w:r>
        <w:rPr>
          <w:rFonts w:ascii="Arial" w:cs="Arial" w:eastAsia="Arial" w:hAnsi="Arial"/>
          <w:sz w:val="4"/>
          <w:szCs w:val="4"/>
        </w:rPr>
        <w:t xml:space="preserve"> </w:t>
      </w:r>
    </w:p>
    <w:p>
      <w:pPr>
        <w:pStyle w:val="Heading1"/>
        <w:pBdr>
          <w:bottom w:val="single" w:color="0D6E72" w:sz="4" w:space="4"/>
        </w:pBdr>
        <w:spacing w:before="360" w:after="160"/>
      </w:pPr>
      <w:r>
        <w:rPr>
          <w:rFonts w:ascii="Arial" w:cs="Arial" w:eastAsia="Arial" w:hAnsi="Arial"/>
          <w:b/>
          <w:bCs/>
          <w:color w:val="0F2D4A"/>
          <w:sz w:val="32"/>
          <w:szCs w:val="32"/>
        </w:rPr>
        <w:t xml:space="preserve">1. Purpose of This Addendum</w:t>
      </w:r>
    </w:p>
    <w:p>
      <w:pPr>
        <w:spacing w:before="60" w:after="60" w:line="340" w:lineRule="auto"/>
      </w:pPr>
      <w:r>
        <w:rPr>
          <w:rFonts w:ascii="Arial" w:cs="Arial" w:eastAsia="Arial" w:hAnsi="Arial"/>
          <w:color w:val="333333"/>
          <w:sz w:val="20"/>
          <w:szCs w:val="20"/>
        </w:rPr>
        <w:t xml:space="preserve">This addendum documents three architectural decisions that emerged from analysis of the system's polling and network behavior during Phase 1 design review. None of these decisions require changes to the existing agent codebase in Phase 1. They are documented now so the design is captured and can be implemented in the correct sequence as the system scales.</w:t>
      </w:r>
    </w:p>
    <w:p>
      <w:pPr>
        <w:spacing w:before="60" w:after="60" w:line="340" w:lineRule="auto"/>
      </w:pPr>
      <w:r>
        <w:rPr>
          <w:rFonts w:ascii="Arial" w:cs="Arial" w:eastAsia="Arial" w:hAnsi="Arial"/>
          <w:color w:val="333333"/>
          <w:sz w:val="20"/>
          <w:szCs w:val="20"/>
        </w:rPr>
        <w:t xml:space="preserve">The three areas covered are: (1) a governance and observability layer that sits above the primary system, (2) a polling scheduler that plans and distributes the day's external data collection work, and (3) the organizational polling model that establishes the Company Pi as the sole external caller for shared research sources.</w:t>
      </w:r>
    </w:p>
    <w:p>
      <w:pPr>
        <w:pBdr>
          <w:left w:val="single" w:color="D35400" w:sz="12"/>
        </w:pBdr>
        <w:shd w:fill="FEF9E7" w:val="clear"/>
        <w:spacing w:before="80" w:after="80"/>
        <w:ind w:left="360"/>
      </w:pPr>
      <w:r>
        <w:rPr>
          <w:rFonts w:ascii="Arial" w:cs="Arial" w:eastAsia="Arial" w:hAnsi="Arial"/>
          <w:b/>
          <w:bCs/>
          <w:color w:val="D35400"/>
          <w:sz w:val="20"/>
          <w:szCs w:val="20"/>
        </w:rPr>
        <w:t xml:space="preserve">NOTE  </w:t>
      </w:r>
      <w:r>
        <w:rPr>
          <w:rFonts w:ascii="Arial" w:cs="Arial" w:eastAsia="Arial" w:hAnsi="Arial"/>
          <w:color w:val="333333"/>
          <w:sz w:val="20"/>
          <w:szCs w:val="20"/>
        </w:rPr>
        <w:t xml:space="preserve">Phase 1 testing is not blocked on any of these items. Document them, move on, implement in sequence when the system is ready.</w:t>
      </w:r>
    </w:p>
    <w:p>
      <w:pPr>
        <w:pStyle w:val="Heading1"/>
        <w:pBdr>
          <w:bottom w:val="single" w:color="0D6E72" w:sz="4" w:space="4"/>
        </w:pBdr>
        <w:spacing w:before="360" w:after="160"/>
      </w:pPr>
      <w:r>
        <w:rPr>
          <w:rFonts w:ascii="Arial" w:cs="Arial" w:eastAsia="Arial" w:hAnsi="Arial"/>
          <w:b/>
          <w:bCs/>
          <w:color w:val="0F2D4A"/>
          <w:sz w:val="32"/>
          <w:szCs w:val="32"/>
        </w:rPr>
        <w:t xml:space="preserve">2. Governance and Observability Layer</w:t>
      </w:r>
    </w:p>
    <w:p>
      <w:pPr>
        <w:pStyle w:val="Heading2"/>
        <w:spacing w:before="240" w:after="120"/>
      </w:pPr>
      <w:r>
        <w:rPr>
          <w:rFonts w:ascii="Arial" w:cs="Arial" w:eastAsia="Arial" w:hAnsi="Arial"/>
          <w:b/>
          <w:bCs/>
          <w:color w:val="0D6E72"/>
          <w:sz w:val="26"/>
          <w:szCs w:val="26"/>
        </w:rPr>
        <w:t xml:space="preserve">2.1 What It Is</w:t>
      </w:r>
    </w:p>
    <w:p>
      <w:pPr>
        <w:spacing w:before="60" w:after="60" w:line="340" w:lineRule="auto"/>
      </w:pPr>
      <w:r>
        <w:rPr>
          <w:rFonts w:ascii="Arial" w:cs="Arial" w:eastAsia="Arial" w:hAnsi="Arial"/>
          <w:color w:val="333333"/>
          <w:sz w:val="20"/>
          <w:szCs w:val="20"/>
        </w:rPr>
        <w:t xml:space="preserve">The governance layer is a separate operational tier that monitors and controls the primary agent system without being part of it. It does not replace any existing agent. It observes what agents are doing, validates that they are operating within policy, surfaces trends and anomalies, and provides the operator with the tools to intervene.</w:t>
      </w:r>
    </w:p>
    <w:p>
      <w:pPr>
        <w:spacing w:before="60" w:after="60" w:line="340" w:lineRule="auto"/>
      </w:pPr>
      <w:r>
        <w:rPr>
          <w:rFonts w:ascii="Arial" w:cs="Arial" w:eastAsia="Arial" w:hAnsi="Arial"/>
          <w:color w:val="333333"/>
          <w:sz w:val="20"/>
          <w:szCs w:val="20"/>
        </w:rPr>
        <w:t xml:space="preserve">The analogy: the primary system is the engine. The governance layer is the instrumentation panel and the throttle governor. The engine runs without the panel, but you cannot safely operate at scale without it.</w:t>
      </w:r>
    </w:p>
    <w:p>
      <w:pPr>
        <w:pStyle w:val="Heading2"/>
        <w:spacing w:before="240" w:after="120"/>
      </w:pPr>
      <w:r>
        <w:rPr>
          <w:rFonts w:ascii="Arial" w:cs="Arial" w:eastAsia="Arial" w:hAnsi="Arial"/>
          <w:b/>
          <w:bCs/>
          <w:color w:val="0D6E72"/>
          <w:sz w:val="26"/>
          <w:szCs w:val="26"/>
        </w:rPr>
        <w:t xml:space="preserve">2.2 What It Does</w:t>
      </w:r>
    </w:p>
    <w:tbl>
      <w:tblPr>
        <w:tblW w:type="dxa" w:w="9360"/>
      </w:tblPr>
      <w:tblGrid>
        <w:gridCol w:w="3800"/>
        <w:gridCol w:w="4360"/>
        <w:gridCol w:w="1200"/>
      </w:tblGrid>
      <w:tr>
        <w:trPr>
          <w:tblHeader/>
        </w:trPr>
        <w:tc>
          <w:tcPr>
            <w:tcW w:type="dxa" w:w="38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436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2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38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Polling schedule planning</w:t>
            </w:r>
          </w:p>
        </w:tc>
        <w:tc>
          <w:tcPr>
            <w:tcW w:type="dxa" w:w="43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Plans the day's external source collection schedule and distributes assignments to nodes</w:t>
            </w:r>
          </w:p>
        </w:tc>
        <w:tc>
          <w:tcPr>
            <w:tcW w:type="dxa" w:w="12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w:t>
            </w:r>
          </w:p>
        </w:tc>
      </w:tr>
      <w:tr>
        <w:tc>
          <w:tcPr>
            <w:tcW w:type="dxa" w:w="38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Rate limit enforcement</w:t>
            </w:r>
          </w:p>
        </w:tc>
        <w:tc>
          <w:tcPr>
            <w:tcW w:type="dxa" w:w="436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Validates that no source is being polled faster than its approved interval</w:t>
            </w:r>
          </w:p>
        </w:tc>
        <w:tc>
          <w:tcPr>
            <w:tcW w:type="dxa" w:w="12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2</w:t>
            </w:r>
          </w:p>
        </w:tc>
      </w:tr>
      <w:tr>
        <w:tc>
          <w:tcPr>
            <w:tcW w:type="dxa" w:w="38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Source registry</w:t>
            </w:r>
          </w:p>
        </w:tc>
        <w:tc>
          <w:tcPr>
            <w:tcW w:type="dxa" w:w="43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Authoritative list of approved sources, access methods, and per-source intervals. Single source of truth for both layers.</w:t>
            </w:r>
          </w:p>
        </w:tc>
        <w:tc>
          <w:tcPr>
            <w:tcW w:type="dxa" w:w="12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w:t>
            </w:r>
          </w:p>
        </w:tc>
      </w:tr>
      <w:tr>
        <w:tc>
          <w:tcPr>
            <w:tcW w:type="dxa" w:w="38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Kill switch delivery</w:t>
            </w:r>
          </w:p>
        </w:tc>
        <w:tc>
          <w:tcPr>
            <w:tcW w:type="dxa" w:w="436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System-wide pause/halt signal broadcast to all nodes via a shared flag file or lightweight queue</w:t>
            </w:r>
          </w:p>
        </w:tc>
        <w:tc>
          <w:tcPr>
            <w:tcW w:type="dxa" w:w="12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2</w:t>
            </w:r>
          </w:p>
        </w:tc>
      </w:tr>
      <w:tr>
        <w:tc>
          <w:tcPr>
            <w:tcW w:type="dxa" w:w="38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Tuning test harness</w:t>
            </w:r>
          </w:p>
        </w:tc>
        <w:tc>
          <w:tcPr>
            <w:tcW w:type="dxa" w:w="43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Runs calibration tests against live sources and produces recommended interval adjustments</w:t>
            </w:r>
          </w:p>
        </w:tc>
        <w:tc>
          <w:tcPr>
            <w:tcW w:type="dxa" w:w="12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w:t>
            </w:r>
          </w:p>
        </w:tc>
      </w:tr>
      <w:tr>
        <w:tc>
          <w:tcPr>
            <w:tcW w:type="dxa" w:w="38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Trend and anomaly reporting</w:t>
            </w:r>
          </w:p>
        </w:tc>
        <w:tc>
          <w:tcPr>
            <w:tcW w:type="dxa" w:w="436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Feeds summary data into the morning report: missed events, excessive re-fetches, source error patterns</w:t>
            </w:r>
          </w:p>
        </w:tc>
        <w:tc>
          <w:tcPr>
            <w:tcW w:type="dxa" w:w="12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3</w:t>
            </w:r>
          </w:p>
        </w:tc>
      </w:tr>
      <w:tr>
        <w:tc>
          <w:tcPr>
            <w:tcW w:type="dxa" w:w="38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Violation log</w:t>
            </w:r>
          </w:p>
        </w:tc>
        <w:tc>
          <w:tcPr>
            <w:tcW w:type="dxa" w:w="43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Records policy violations with severity, source, and timestamp for operator review</w:t>
            </w:r>
          </w:p>
        </w:tc>
        <w:tc>
          <w:tcPr>
            <w:tcW w:type="dxa" w:w="12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w:t>
            </w:r>
          </w:p>
        </w:tc>
      </w:tr>
    </w:tbl>
    <w:p>
      <w:pPr>
        <w:spacing w:before="40" w:after="40"/>
      </w:pPr>
    </w:p>
    <w:p>
      <w:pPr>
        <w:pStyle w:val="Heading2"/>
        <w:spacing w:before="240" w:after="120"/>
      </w:pPr>
      <w:r>
        <w:rPr>
          <w:rFonts w:ascii="Arial" w:cs="Arial" w:eastAsia="Arial" w:hAnsi="Arial"/>
          <w:b/>
          <w:bCs/>
          <w:color w:val="0D6E72"/>
          <w:sz w:val="26"/>
          <w:szCs w:val="26"/>
        </w:rPr>
        <w:t xml:space="preserve">2.3 Integration Model — Passive First</w:t>
      </w:r>
    </w:p>
    <w:p>
      <w:pPr>
        <w:spacing w:before="60" w:after="60" w:line="340" w:lineRule="auto"/>
      </w:pPr>
      <w:r>
        <w:rPr>
          <w:rFonts w:ascii="Arial" w:cs="Arial" w:eastAsia="Arial" w:hAnsi="Arial"/>
          <w:color w:val="333333"/>
          <w:sz w:val="20"/>
          <w:szCs w:val="20"/>
        </w:rPr>
        <w:t xml:space="preserve">In Phase 2, the governance layer integrates passively: it reads from the same database the agents write to. It does not require changes to any existing agent code. This is intentional — the goal is to get observability running before touching the primary system.</w:t>
      </w:r>
    </w:p>
    <w:p>
      <w:pPr>
        <w:spacing w:before="60" w:after="60" w:line="340" w:lineRule="auto"/>
      </w:pPr>
      <w:r>
        <w:rPr>
          <w:rFonts w:ascii="Arial" w:cs="Arial" w:eastAsia="Arial" w:hAnsi="Arial"/>
          <w:color w:val="333333"/>
          <w:sz w:val="20"/>
          <w:szCs w:val="20"/>
        </w:rPr>
        <w:t xml:space="preserve">In Phase 3, agents gain lightweight active reporting hooks: a single function call at the end of each fetch that writes a structured record to a shared governance log. This improves timing accuracy but is not required for the governance layer to function.</w:t>
      </w:r>
    </w:p>
    <w:p>
      <w:pPr>
        <w:pBdr>
          <w:left w:val="single" w:color="C0392B" w:sz="12"/>
        </w:pBdr>
        <w:shd w:fill="FDEDEC" w:val="clear"/>
        <w:spacing w:before="80" w:after="80"/>
        <w:ind w:left="360"/>
      </w:pPr>
      <w:r>
        <w:rPr>
          <w:rFonts w:ascii="Arial" w:cs="Arial" w:eastAsia="Arial" w:hAnsi="Arial"/>
          <w:b/>
          <w:bCs/>
          <w:color w:val="C0392B"/>
          <w:sz w:val="20"/>
          <w:szCs w:val="20"/>
        </w:rPr>
        <w:t xml:space="preserve">WARNING  </w:t>
      </w:r>
      <w:r>
        <w:rPr>
          <w:rFonts w:ascii="Arial" w:cs="Arial" w:eastAsia="Arial" w:hAnsi="Arial"/>
          <w:color w:val="333333"/>
          <w:sz w:val="20"/>
          <w:szCs w:val="20"/>
        </w:rPr>
        <w:t xml:space="preserve">Passive observation has an inherent lag equal to the governance layer's own polling interval on the database. This lag is acceptable for trend analysis and morning reporting. It is NOT acceptable as a safety mechanism. Per-request rate limiting and kill switch compliance must live inside the agents themselves — enforced at execution time, not observed after the fact. The governance layer is a visibility tool, not a safety net.</w:t>
      </w:r>
    </w:p>
    <w:p>
      <w:pPr>
        <w:pBdr>
          <w:left w:val="single" w:color="1E7E34" w:sz="12"/>
        </w:pBdr>
        <w:shd w:fill="EAFAF1" w:val="clear"/>
        <w:spacing w:before="80" w:after="80"/>
        <w:ind w:left="360"/>
      </w:pPr>
      <w:r>
        <w:rPr>
          <w:rFonts w:ascii="Arial" w:cs="Arial" w:eastAsia="Arial" w:hAnsi="Arial"/>
          <w:b/>
          <w:bCs/>
          <w:color w:val="1E7E34"/>
          <w:sz w:val="20"/>
          <w:szCs w:val="20"/>
        </w:rPr>
        <w:t xml:space="preserve">DESIGN DECISION  </w:t>
      </w:r>
      <w:r>
        <w:rPr>
          <w:rFonts w:ascii="Arial" w:cs="Arial" w:eastAsia="Arial" w:hAnsi="Arial"/>
          <w:color w:val="333333"/>
          <w:sz w:val="20"/>
          <w:szCs w:val="20"/>
        </w:rPr>
        <w:t xml:space="preserve">Safety behaviors (rate limits, kill switch, backoff) live in agents. Governance layer provides visibility, trend data, and configuration management. These are two different jobs. Never conflate them.</w:t>
      </w:r>
    </w:p>
    <w:p>
      <w:pPr>
        <w:pStyle w:val="Heading2"/>
        <w:spacing w:before="240" w:after="120"/>
      </w:pPr>
      <w:r>
        <w:rPr>
          <w:rFonts w:ascii="Arial" w:cs="Arial" w:eastAsia="Arial" w:hAnsi="Arial"/>
          <w:b/>
          <w:bCs/>
          <w:color w:val="0D6E72"/>
          <w:sz w:val="26"/>
          <w:szCs w:val="26"/>
        </w:rPr>
        <w:t xml:space="preserve">2.4 Configuration Ownership</w:t>
      </w:r>
    </w:p>
    <w:p>
      <w:pPr>
        <w:spacing w:before="60" w:after="60" w:line="340" w:lineRule="auto"/>
      </w:pPr>
      <w:r>
        <w:rPr>
          <w:rFonts w:ascii="Arial" w:cs="Arial" w:eastAsia="Arial" w:hAnsi="Arial"/>
          <w:color w:val="333333"/>
          <w:sz w:val="20"/>
          <w:szCs w:val="20"/>
        </w:rPr>
        <w:t xml:space="preserve">The governance layer owns the source registry — the authoritative list of approved sources, their access methods, and their polling intervals. Both the governance layer and the primary agents read from this single source. This prevents configuration drift where the two layers operate on different assumptions about what is approved.</w:t>
      </w:r>
    </w:p>
    <w:p>
      <w:pPr>
        <w:spacing w:before="60" w:after="60" w:line="340" w:lineRule="auto"/>
      </w:pPr>
      <w:r>
        <w:rPr>
          <w:rFonts w:ascii="Arial" w:cs="Arial" w:eastAsia="Arial" w:hAnsi="Arial"/>
          <w:color w:val="333333"/>
          <w:sz w:val="20"/>
          <w:szCs w:val="20"/>
        </w:rPr>
        <w:t xml:space="preserve">The source registry is a versioned file, not a database table, so it can be tracked in version control alongside the codebase. Format is defined in the YAML policy bundle addendum.</w:t>
      </w:r>
    </w:p>
    <w:p>
      <w:pPr>
        <w:pStyle w:val="Heading2"/>
        <w:spacing w:before="240" w:after="120"/>
      </w:pPr>
      <w:r>
        <w:rPr>
          <w:rFonts w:ascii="Arial" w:cs="Arial" w:eastAsia="Arial" w:hAnsi="Arial"/>
          <w:b/>
          <w:bCs/>
          <w:color w:val="0D6E72"/>
          <w:sz w:val="26"/>
          <w:szCs w:val="26"/>
        </w:rPr>
        <w:t xml:space="preserve">2.5 Single Point of Failure Mitigation</w:t>
      </w:r>
    </w:p>
    <w:p>
      <w:pPr>
        <w:spacing w:before="60" w:after="60" w:line="340" w:lineRule="auto"/>
      </w:pPr>
      <w:r>
        <w:rPr>
          <w:rFonts w:ascii="Arial" w:cs="Arial" w:eastAsia="Arial" w:hAnsi="Arial"/>
          <w:color w:val="333333"/>
          <w:sz w:val="20"/>
          <w:szCs w:val="20"/>
        </w:rPr>
        <w:t xml:space="preserve">The polling scheduler (Section 3) is part of the governance layer. If the scheduler goes down, agents must not stop or self-assign work freely. The scheduler produces a frozen schedule file at the start of each day. If the scheduler becomes unreachable, agents execute from the frozen file. This keeps them running conservatively — within the day's approved intervals — without requiring a live scheduler connection.</w:t>
      </w:r>
    </w:p>
    <w:tbl>
      <w:tblPr>
        <w:tblW w:type="dxa" w:w="9360"/>
      </w:tblPr>
      <w:tblGrid>
        <w:gridCol w:w="2800"/>
        <w:gridCol w:w="6560"/>
      </w:tblGrid>
      <w:tr>
        <w:tc>
          <w:tcPr>
            <w:tcW w:type="dxa" w:w="2800"/>
            <w:tcBorders>
              <w:top w:val="single" w:color="C8D0D8" w:sz="1"/>
              <w:left w:val="single" w:color="C8D0D8" w:sz="1"/>
              <w:bottom w:val="single" w:color="C8D0D8" w:sz="1"/>
              <w:right w:val="single" w:color="C8D0D8" w:sz="1"/>
            </w:tcBorders>
            <w:shd w:fill="EAF2FB" w:val="clear"/>
            <w:tcMar>
              <w:top w:type="dxa" w:w="80"/>
              <w:left w:type="dxa" w:w="120"/>
              <w:bottom w:type="dxa" w:w="80"/>
              <w:right w:type="dxa" w:w="120"/>
            </w:tcMar>
          </w:tcPr>
          <w:p>
            <w:r>
              <w:rPr>
                <w:rFonts w:ascii="Arial" w:cs="Arial" w:eastAsia="Arial" w:hAnsi="Arial"/>
                <w:b/>
                <w:bCs/>
                <w:color w:val="0F2D4A"/>
                <w:sz w:val="18"/>
                <w:szCs w:val="18"/>
              </w:rPr>
              <w:t xml:space="preserve">Frozen schedule file location</w:t>
            </w:r>
          </w:p>
        </w:tc>
        <w:tc>
          <w:tcPr>
            <w:tcW w:type="dxa" w:w="65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data/governance/schedule_today.json</w:t>
            </w:r>
          </w:p>
        </w:tc>
      </w:tr>
      <w:tr>
        <w:tc>
          <w:tcPr>
            <w:tcW w:type="dxa" w:w="2800"/>
            <w:tcBorders>
              <w:top w:val="single" w:color="C8D0D8" w:sz="1"/>
              <w:left w:val="single" w:color="C8D0D8" w:sz="1"/>
              <w:bottom w:val="single" w:color="C8D0D8" w:sz="1"/>
              <w:right w:val="single" w:color="C8D0D8" w:sz="1"/>
            </w:tcBorders>
            <w:shd w:fill="F5F8FA" w:val="clear"/>
            <w:tcMar>
              <w:top w:type="dxa" w:w="80"/>
              <w:left w:type="dxa" w:w="120"/>
              <w:bottom w:type="dxa" w:w="80"/>
              <w:right w:type="dxa" w:w="120"/>
            </w:tcMar>
          </w:tcPr>
          <w:p>
            <w:r>
              <w:rPr>
                <w:rFonts w:ascii="Arial" w:cs="Arial" w:eastAsia="Arial" w:hAnsi="Arial"/>
                <w:b/>
                <w:bCs/>
                <w:color w:val="0F2D4A"/>
                <w:sz w:val="18"/>
                <w:szCs w:val="18"/>
              </w:rPr>
              <w:t xml:space="preserve">Generated by</w:t>
            </w:r>
          </w:p>
        </w:tc>
        <w:tc>
          <w:tcPr>
            <w:tcW w:type="dxa" w:w="6560"/>
            <w:tcBorders>
              <w:top w:val="single" w:color="C8D0D8" w:sz="1"/>
              <w:left w:val="single" w:color="C8D0D8" w:sz="1"/>
              <w:bottom w:val="single" w:color="C8D0D8" w:sz="1"/>
              <w:right w:val="single" w:color="C8D0D8" w:sz="1"/>
            </w:tcBorders>
            <w:shd w:fill="FAFBFC" w:val="clear"/>
            <w:tcMar>
              <w:top w:type="dxa" w:w="80"/>
              <w:left w:type="dxa" w:w="120"/>
              <w:bottom w:type="dxa" w:w="80"/>
              <w:right w:type="dxa" w:w="120"/>
            </w:tcMar>
          </w:tcPr>
          <w:p>
            <w:r>
              <w:rPr>
                <w:rFonts w:ascii="Arial" w:cs="Arial" w:eastAsia="Arial" w:hAnsi="Arial"/>
                <w:color w:val="333333"/>
                <w:sz w:val="18"/>
                <w:szCs w:val="18"/>
              </w:rPr>
              <w:t xml:space="preserve">Polling scheduler, daily at 05:30 ET</w:t>
            </w:r>
          </w:p>
        </w:tc>
      </w:tr>
      <w:tr>
        <w:tc>
          <w:tcPr>
            <w:tcW w:type="dxa" w:w="2800"/>
            <w:tcBorders>
              <w:top w:val="single" w:color="C8D0D8" w:sz="1"/>
              <w:left w:val="single" w:color="C8D0D8" w:sz="1"/>
              <w:bottom w:val="single" w:color="C8D0D8" w:sz="1"/>
              <w:right w:val="single" w:color="C8D0D8" w:sz="1"/>
            </w:tcBorders>
            <w:shd w:fill="EAF2FB" w:val="clear"/>
            <w:tcMar>
              <w:top w:type="dxa" w:w="80"/>
              <w:left w:type="dxa" w:w="120"/>
              <w:bottom w:type="dxa" w:w="80"/>
              <w:right w:type="dxa" w:w="120"/>
            </w:tcMar>
          </w:tcPr>
          <w:p>
            <w:r>
              <w:rPr>
                <w:rFonts w:ascii="Arial" w:cs="Arial" w:eastAsia="Arial" w:hAnsi="Arial"/>
                <w:b/>
                <w:bCs/>
                <w:color w:val="0F2D4A"/>
                <w:sz w:val="18"/>
                <w:szCs w:val="18"/>
              </w:rPr>
              <w:t xml:space="preserve">Fallback behavior</w:t>
            </w:r>
          </w:p>
        </w:tc>
        <w:tc>
          <w:tcPr>
            <w:tcW w:type="dxa" w:w="65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Agents read frozen file if scheduler unreachable</w:t>
            </w:r>
          </w:p>
        </w:tc>
      </w:tr>
      <w:tr>
        <w:tc>
          <w:tcPr>
            <w:tcW w:type="dxa" w:w="2800"/>
            <w:tcBorders>
              <w:top w:val="single" w:color="C8D0D8" w:sz="1"/>
              <w:left w:val="single" w:color="C8D0D8" w:sz="1"/>
              <w:bottom w:val="single" w:color="C8D0D8" w:sz="1"/>
              <w:right w:val="single" w:color="C8D0D8" w:sz="1"/>
            </w:tcBorders>
            <w:shd w:fill="F5F8FA" w:val="clear"/>
            <w:tcMar>
              <w:top w:type="dxa" w:w="80"/>
              <w:left w:type="dxa" w:w="120"/>
              <w:bottom w:type="dxa" w:w="80"/>
              <w:right w:type="dxa" w:w="120"/>
            </w:tcMar>
          </w:tcPr>
          <w:p>
            <w:r>
              <w:rPr>
                <w:rFonts w:ascii="Arial" w:cs="Arial" w:eastAsia="Arial" w:hAnsi="Arial"/>
                <w:b/>
                <w:bCs/>
                <w:color w:val="0F2D4A"/>
                <w:sz w:val="18"/>
                <w:szCs w:val="18"/>
              </w:rPr>
              <w:t xml:space="preserve">Frozen file expiry</w:t>
            </w:r>
          </w:p>
        </w:tc>
        <w:tc>
          <w:tcPr>
            <w:tcW w:type="dxa" w:w="6560"/>
            <w:tcBorders>
              <w:top w:val="single" w:color="C8D0D8" w:sz="1"/>
              <w:left w:val="single" w:color="C8D0D8" w:sz="1"/>
              <w:bottom w:val="single" w:color="C8D0D8" w:sz="1"/>
              <w:right w:val="single" w:color="C8D0D8" w:sz="1"/>
            </w:tcBorders>
            <w:shd w:fill="FAFBFC" w:val="clear"/>
            <w:tcMar>
              <w:top w:type="dxa" w:w="80"/>
              <w:left w:type="dxa" w:w="120"/>
              <w:bottom w:type="dxa" w:w="80"/>
              <w:right w:type="dxa" w:w="120"/>
            </w:tcMar>
          </w:tcPr>
          <w:p>
            <w:r>
              <w:rPr>
                <w:rFonts w:ascii="Arial" w:cs="Arial" w:eastAsia="Arial" w:hAnsi="Arial"/>
                <w:color w:val="333333"/>
                <w:sz w:val="18"/>
                <w:szCs w:val="18"/>
              </w:rPr>
              <w:t xml:space="preserve">48 hours — agents halt polling and flag if file is older than 48h</w:t>
            </w:r>
          </w:p>
        </w:tc>
      </w:tr>
      <w:tr>
        <w:tc>
          <w:tcPr>
            <w:tcW w:type="dxa" w:w="2800"/>
            <w:tcBorders>
              <w:top w:val="single" w:color="C8D0D8" w:sz="1"/>
              <w:left w:val="single" w:color="C8D0D8" w:sz="1"/>
              <w:bottom w:val="single" w:color="C8D0D8" w:sz="1"/>
              <w:right w:val="single" w:color="C8D0D8" w:sz="1"/>
            </w:tcBorders>
            <w:shd w:fill="EAF2FB" w:val="clear"/>
            <w:tcMar>
              <w:top w:type="dxa" w:w="80"/>
              <w:left w:type="dxa" w:w="120"/>
              <w:bottom w:type="dxa" w:w="80"/>
              <w:right w:type="dxa" w:w="120"/>
            </w:tcMar>
          </w:tcPr>
          <w:p>
            <w:r>
              <w:rPr>
                <w:rFonts w:ascii="Arial" w:cs="Arial" w:eastAsia="Arial" w:hAnsi="Arial"/>
                <w:b/>
                <w:bCs/>
                <w:color w:val="0F2D4A"/>
                <w:sz w:val="18"/>
                <w:szCs w:val="18"/>
              </w:rPr>
              <w:t xml:space="preserve">File format</w:t>
            </w:r>
          </w:p>
        </w:tc>
        <w:tc>
          <w:tcPr>
            <w:tcW w:type="dxa" w:w="65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JSON — source list with intervals, jitter seeds, node assignments</w:t>
            </w:r>
          </w:p>
        </w:tc>
      </w:tr>
    </w:tbl>
    <w:p>
      <w:pPr>
        <w:pStyle w:val="Heading1"/>
        <w:pBdr>
          <w:bottom w:val="single" w:color="0D6E72" w:sz="4" w:space="4"/>
        </w:pBdr>
        <w:spacing w:before="360" w:after="160"/>
      </w:pPr>
      <w:r>
        <w:rPr>
          <w:rFonts w:ascii="Arial" w:cs="Arial" w:eastAsia="Arial" w:hAnsi="Arial"/>
          <w:b/>
          <w:bCs/>
          <w:color w:val="0F2D4A"/>
          <w:sz w:val="32"/>
          <w:szCs w:val="32"/>
        </w:rPr>
        <w:t xml:space="preserve">3. Polling Scheduler</w:t>
      </w:r>
    </w:p>
    <w:p>
      <w:pPr>
        <w:pStyle w:val="Heading2"/>
        <w:spacing w:before="240" w:after="120"/>
      </w:pPr>
      <w:r>
        <w:rPr>
          <w:rFonts w:ascii="Arial" w:cs="Arial" w:eastAsia="Arial" w:hAnsi="Arial"/>
          <w:b/>
          <w:bCs/>
          <w:color w:val="0D6E72"/>
          <w:sz w:val="26"/>
          <w:szCs w:val="26"/>
        </w:rPr>
        <w:t xml:space="preserve">3.1 Role</w:t>
      </w:r>
    </w:p>
    <w:p>
      <w:pPr>
        <w:spacing w:before="60" w:after="60" w:line="340" w:lineRule="auto"/>
      </w:pPr>
      <w:r>
        <w:rPr>
          <w:rFonts w:ascii="Arial" w:cs="Arial" w:eastAsia="Arial" w:hAnsi="Arial"/>
          <w:color w:val="333333"/>
          <w:sz w:val="20"/>
          <w:szCs w:val="20"/>
        </w:rPr>
        <w:t xml:space="preserve">The polling scheduler plans and distributes the day's external source collection work. It runs on the Company Pi as part of the governance layer. It is the system's single point of authority for what gets fetched, when, and by which node.</w:t>
      </w:r>
    </w:p>
    <w:p>
      <w:pPr>
        <w:spacing w:before="60" w:after="60" w:line="340" w:lineRule="auto"/>
      </w:pPr>
      <w:r>
        <w:rPr>
          <w:rFonts w:ascii="Arial" w:cs="Arial" w:eastAsia="Arial" w:hAnsi="Arial"/>
          <w:color w:val="333333"/>
          <w:sz w:val="20"/>
          <w:szCs w:val="20"/>
        </w:rPr>
        <w:t xml:space="preserve">By centralizing this decision, the scheduler eliminates the race condition where two nodes simultaneously check whether a task is covered and both proceed. The scheduler owns task assignment atomically — it assigns before any node begins.</w:t>
      </w:r>
    </w:p>
    <w:p>
      <w:pPr>
        <w:pStyle w:val="Heading2"/>
        <w:spacing w:before="240" w:after="120"/>
      </w:pPr>
      <w:r>
        <w:rPr>
          <w:rFonts w:ascii="Arial" w:cs="Arial" w:eastAsia="Arial" w:hAnsi="Arial"/>
          <w:b/>
          <w:bCs/>
          <w:color w:val="0D6E72"/>
          <w:sz w:val="26"/>
          <w:szCs w:val="26"/>
        </w:rPr>
        <w:t xml:space="preserve">3.2 Daily Schedule Generation — 05:30 ET</w:t>
      </w:r>
    </w:p>
    <w:p>
      <w:pPr>
        <w:spacing w:before="60" w:after="60" w:line="340" w:lineRule="auto"/>
      </w:pPr>
      <w:r>
        <w:rPr>
          <w:rFonts w:ascii="Arial" w:cs="Arial" w:eastAsia="Arial" w:hAnsi="Arial"/>
          <w:color w:val="333333"/>
          <w:sz w:val="20"/>
          <w:szCs w:val="20"/>
        </w:rPr>
        <w:t xml:space="preserve">Each morning at 05:30 ET, the scheduler runs the following sequence:</w:t>
      </w:r>
    </w:p>
    <w:p>
      <w:pPr>
        <w:pStyle w:val="ListParagraph"/>
        <w:numPr>
          <w:ilvl w:val="0"/>
          <w:numId w:val="2"/>
        </w:numPr>
        <w:spacing w:before="40" w:after="40"/>
      </w:pPr>
      <w:r>
        <w:rPr>
          <w:rFonts w:ascii="Arial" w:cs="Arial" w:eastAsia="Arial" w:hAnsi="Arial"/>
          <w:color w:val="333333"/>
          <w:sz w:val="20"/>
          <w:szCs w:val="20"/>
        </w:rPr>
        <w:t xml:space="preserve">Load the approved source registry</w:t>
      </w:r>
    </w:p>
    <w:p>
      <w:pPr>
        <w:pStyle w:val="ListParagraph"/>
        <w:numPr>
          <w:ilvl w:val="0"/>
          <w:numId w:val="2"/>
        </w:numPr>
        <w:spacing w:before="40" w:after="40"/>
      </w:pPr>
      <w:r>
        <w:rPr>
          <w:rFonts w:ascii="Arial" w:cs="Arial" w:eastAsia="Arial" w:hAnsi="Arial"/>
          <w:color w:val="333333"/>
          <w:sz w:val="20"/>
          <w:szCs w:val="20"/>
        </w:rPr>
        <w:t xml:space="preserve">Load current node availability (which Pis are online and have reported in the last hour)</w:t>
      </w:r>
    </w:p>
    <w:p>
      <w:pPr>
        <w:pStyle w:val="ListParagraph"/>
        <w:numPr>
          <w:ilvl w:val="0"/>
          <w:numId w:val="2"/>
        </w:numPr>
        <w:spacing w:before="40" w:after="40"/>
      </w:pPr>
      <w:r>
        <w:rPr>
          <w:rFonts w:ascii="Arial" w:cs="Arial" w:eastAsia="Arial" w:hAnsi="Arial"/>
          <w:color w:val="333333"/>
          <w:sz w:val="20"/>
          <w:szCs w:val="20"/>
        </w:rPr>
        <w:t xml:space="preserve">For each source, calculate the day's fetch times based on approved interval, applying per-node jitter seeds so no two nodes are synchronized</w:t>
      </w:r>
    </w:p>
    <w:p>
      <w:pPr>
        <w:pStyle w:val="ListParagraph"/>
        <w:numPr>
          <w:ilvl w:val="0"/>
          <w:numId w:val="2"/>
        </w:numPr>
        <w:spacing w:before="40" w:after="40"/>
      </w:pPr>
      <w:r>
        <w:rPr>
          <w:rFonts w:ascii="Arial" w:cs="Arial" w:eastAsia="Arial" w:hAnsi="Arial"/>
          <w:color w:val="333333"/>
          <w:sz w:val="20"/>
          <w:szCs w:val="20"/>
        </w:rPr>
        <w:t xml:space="preserve">Assign each source to a node — Company Pi owns all external research sources (see Section 4), retail Pis own their Alpaca calls</w:t>
      </w:r>
    </w:p>
    <w:p>
      <w:pPr>
        <w:pStyle w:val="ListParagraph"/>
        <w:numPr>
          <w:ilvl w:val="0"/>
          <w:numId w:val="2"/>
        </w:numPr>
        <w:spacing w:before="40" w:after="40"/>
      </w:pPr>
      <w:r>
        <w:rPr>
          <w:rFonts w:ascii="Arial" w:cs="Arial" w:eastAsia="Arial" w:hAnsi="Arial"/>
          <w:color w:val="333333"/>
          <w:sz w:val="20"/>
          <w:szCs w:val="20"/>
        </w:rPr>
        <w:t xml:space="preserve">Write the frozen schedule file to data/governance/schedule_today.json</w:t>
      </w:r>
    </w:p>
    <w:p>
      <w:pPr>
        <w:pStyle w:val="ListParagraph"/>
        <w:numPr>
          <w:ilvl w:val="0"/>
          <w:numId w:val="2"/>
        </w:numPr>
        <w:spacing w:before="40" w:after="40"/>
      </w:pPr>
      <w:r>
        <w:rPr>
          <w:rFonts w:ascii="Arial" w:cs="Arial" w:eastAsia="Arial" w:hAnsi="Arial"/>
          <w:color w:val="333333"/>
          <w:sz w:val="20"/>
          <w:szCs w:val="20"/>
        </w:rPr>
        <w:t xml:space="preserve">Distribute node-specific schedule slices to each assigned node via the existing heartbeat channel</w:t>
      </w:r>
    </w:p>
    <w:p>
      <w:pPr>
        <w:pStyle w:val="ListParagraph"/>
        <w:numPr>
          <w:ilvl w:val="0"/>
          <w:numId w:val="2"/>
        </w:numPr>
        <w:spacing w:before="40" w:after="40"/>
      </w:pPr>
      <w:r>
        <w:rPr>
          <w:rFonts w:ascii="Arial" w:cs="Arial" w:eastAsia="Arial" w:hAnsi="Arial"/>
          <w:color w:val="333333"/>
          <w:sz w:val="20"/>
          <w:szCs w:val="20"/>
        </w:rPr>
        <w:t xml:space="preserve">Log the schedule generation event with source count, node count, and any sources skipped due to node unavailability</w:t>
      </w:r>
    </w:p>
    <w:p>
      <w:pPr>
        <w:spacing w:before="40" w:after="40"/>
      </w:pPr>
    </w:p>
    <w:p>
      <w:pPr>
        <w:pStyle w:val="Heading2"/>
        <w:spacing w:before="240" w:after="120"/>
      </w:pPr>
      <w:r>
        <w:rPr>
          <w:rFonts w:ascii="Arial" w:cs="Arial" w:eastAsia="Arial" w:hAnsi="Arial"/>
          <w:b/>
          <w:bCs/>
          <w:color w:val="0D6E72"/>
          <w:sz w:val="26"/>
          <w:szCs w:val="26"/>
        </w:rPr>
        <w:t xml:space="preserve">3.3 Intraday Adjustments</w:t>
      </w:r>
    </w:p>
    <w:p>
      <w:pPr>
        <w:spacing w:before="60" w:after="60" w:line="340" w:lineRule="auto"/>
      </w:pPr>
      <w:r>
        <w:rPr>
          <w:rFonts w:ascii="Arial" w:cs="Arial" w:eastAsia="Arial" w:hAnsi="Arial"/>
          <w:color w:val="333333"/>
          <w:sz w:val="20"/>
          <w:szCs w:val="20"/>
        </w:rPr>
        <w:t xml:space="preserve">The scheduler may issue intraday adjustments when a source signals stress or when a node goes offline mid-day. Adjustments are written to data/governance/schedule_patch_{timestamp}.json and supersede the corresponding entries in the frozen file. Agents check for patches at the start of each scheduled fetch.</w:t>
      </w:r>
    </w:p>
    <w:p>
      <w:pPr>
        <w:pStyle w:val="Heading2"/>
        <w:spacing w:before="240" w:after="120"/>
      </w:pPr>
      <w:r>
        <w:rPr>
          <w:rFonts w:ascii="Arial" w:cs="Arial" w:eastAsia="Arial" w:hAnsi="Arial"/>
          <w:b/>
          <w:bCs/>
          <w:color w:val="0D6E72"/>
          <w:sz w:val="26"/>
          <w:szCs w:val="26"/>
        </w:rPr>
        <w:t xml:space="preserve">3.4 Scheduler Inputs Required</w:t>
      </w:r>
    </w:p>
    <w:tbl>
      <w:tblPr>
        <w:tblW w:type="dxa" w:w="9360"/>
      </w:tblPr>
      <w:tblGrid>
        <w:gridCol w:w="2800"/>
        <w:gridCol w:w="3000"/>
        <w:gridCol w:w="3560"/>
      </w:tblGrid>
      <w:tr>
        <w:trPr>
          <w:tblHeader/>
        </w:trPr>
        <w:tc>
          <w:tcPr>
            <w:tcW w:type="dxa" w:w="28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30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356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tcPr>
          <w:p>
            <w:r>
              <w:rPr>
                <w:rFonts w:ascii="Arial" w:cs="Arial" w:eastAsia="Arial" w:hAnsi="Arial"/>
                <w:b/>
                <w:bCs/>
                <w:color w:val="FFFFFF"/>
                <w:sz w:val="18"/>
                <w:szCs w:val="18"/>
              </w:rPr>
              <w:t xml:space="preserve">Required For</w:t>
            </w:r>
          </w:p>
        </w:tc>
      </w:tr>
      <w:tr>
        <w:tc>
          <w:tcPr>
            <w:tcW w:type="dxa" w:w="28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Approved source registry</w:t>
            </w:r>
          </w:p>
        </w:tc>
        <w:tc>
          <w:tcPr>
            <w:tcW w:type="dxa" w:w="30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governance/source_registry.json</w:t>
            </w:r>
          </w:p>
        </w:tc>
        <w:tc>
          <w:tcPr>
            <w:tcW w:type="dxa" w:w="35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Knows what to schedule</w:t>
            </w:r>
          </w:p>
        </w:tc>
      </w:tr>
      <w:tr>
        <w:tc>
          <w:tcPr>
            <w:tcW w:type="dxa" w:w="28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Per-source baseline intervals</w:t>
            </w:r>
          </w:p>
        </w:tc>
        <w:tc>
          <w:tcPr>
            <w:tcW w:type="dxa" w:w="30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source_registry.json — see Section 5</w:t>
            </w:r>
          </w:p>
        </w:tc>
        <w:tc>
          <w:tcPr>
            <w:tcW w:type="dxa" w:w="356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Knows how often</w:t>
            </w:r>
          </w:p>
        </w:tc>
      </w:tr>
      <w:tr>
        <w:tc>
          <w:tcPr>
            <w:tcW w:type="dxa" w:w="28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Node availability</w:t>
            </w:r>
          </w:p>
        </w:tc>
        <w:tc>
          <w:tcPr>
            <w:tcW w:type="dxa" w:w="30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Last heartbeat timestamp per Pi</w:t>
            </w:r>
          </w:p>
        </w:tc>
        <w:tc>
          <w:tcPr>
            <w:tcW w:type="dxa" w:w="35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Knows who is available</w:t>
            </w:r>
          </w:p>
        </w:tc>
      </w:tr>
      <w:tr>
        <w:tc>
          <w:tcPr>
            <w:tcW w:type="dxa" w:w="28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Previous day error log</w:t>
            </w:r>
          </w:p>
        </w:tc>
        <w:tc>
          <w:tcPr>
            <w:tcW w:type="dxa" w:w="30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governance/error_log.json</w:t>
            </w:r>
          </w:p>
        </w:tc>
        <w:tc>
          <w:tcPr>
            <w:tcW w:type="dxa" w:w="356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Avoids re-scheduling stressed sources at full rate</w:t>
            </w:r>
          </w:p>
        </w:tc>
      </w:tr>
      <w:tr>
        <w:tc>
          <w:tcPr>
            <w:tcW w:type="dxa" w:w="28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Per-source jitter seeds</w:t>
            </w:r>
          </w:p>
        </w:tc>
        <w:tc>
          <w:tcPr>
            <w:tcW w:type="dxa" w:w="30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Generated fresh each day</w:t>
            </w:r>
          </w:p>
        </w:tc>
        <w:tc>
          <w:tcPr>
            <w:tcW w:type="dxa" w:w="35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Ensures no two nodes synchronize</w:t>
            </w:r>
          </w:p>
        </w:tc>
      </w:tr>
    </w:tbl>
    <w:p>
      <w:pPr>
        <w:pStyle w:val="Heading1"/>
        <w:pBdr>
          <w:bottom w:val="single" w:color="0D6E72" w:sz="4" w:space="4"/>
        </w:pBdr>
        <w:spacing w:before="360" w:after="160"/>
      </w:pPr>
      <w:r>
        <w:rPr>
          <w:rFonts w:ascii="Arial" w:cs="Arial" w:eastAsia="Arial" w:hAnsi="Arial"/>
          <w:b/>
          <w:bCs/>
          <w:color w:val="0F2D4A"/>
          <w:sz w:val="32"/>
          <w:szCs w:val="32"/>
        </w:rPr>
        <w:t xml:space="preserve">4. Organizational Polling Model — One Caller Per External Source</w:t>
      </w:r>
    </w:p>
    <w:p>
      <w:pPr>
        <w:pStyle w:val="Heading2"/>
        <w:spacing w:before="240" w:after="120"/>
      </w:pPr>
      <w:r>
        <w:rPr>
          <w:rFonts w:ascii="Arial" w:cs="Arial" w:eastAsia="Arial" w:hAnsi="Arial"/>
          <w:b/>
          <w:bCs/>
          <w:color w:val="0D6E72"/>
          <w:sz w:val="26"/>
          <w:szCs w:val="26"/>
        </w:rPr>
        <w:t xml:space="preserve">4.1 The Core Rule</w:t>
      </w:r>
    </w:p>
    <w:p>
      <w:pPr>
        <w:spacing w:before="60" w:after="60" w:line="340" w:lineRule="auto"/>
      </w:pPr>
      <w:r>
        <w:rPr>
          <w:rFonts w:ascii="Arial" w:cs="Arial" w:eastAsia="Arial" w:hAnsi="Arial"/>
          <w:color w:val="333333"/>
          <w:sz w:val="20"/>
          <w:szCs w:val="20"/>
        </w:rPr>
        <w:t xml:space="preserve">External research sources — congressional disclosures, Federal Register, RSS news feeds, and any other shared data source — are called once per organization, not once per Pi. The Company Pi is the sole external caller for all research data. Retail Pis receive research data from the Company Pi, not from the external source directly.</w:t>
      </w:r>
    </w:p>
    <w:p>
      <w:pPr>
        <w:pBdr>
          <w:left w:val="single" w:color="C0392B" w:sz="12"/>
        </w:pBdr>
        <w:shd w:fill="FDEDEC" w:val="clear"/>
        <w:spacing w:before="80" w:after="80"/>
        <w:ind w:left="360"/>
      </w:pPr>
      <w:r>
        <w:rPr>
          <w:rFonts w:ascii="Arial" w:cs="Arial" w:eastAsia="Arial" w:hAnsi="Arial"/>
          <w:b/>
          <w:bCs/>
          <w:color w:val="C0392B"/>
          <w:sz w:val="20"/>
          <w:szCs w:val="20"/>
        </w:rPr>
        <w:t xml:space="preserve">WARNING  </w:t>
      </w:r>
      <w:r>
        <w:rPr>
          <w:rFonts w:ascii="Arial" w:cs="Arial" w:eastAsia="Arial" w:hAnsi="Arial"/>
          <w:color w:val="333333"/>
          <w:sz w:val="20"/>
          <w:szCs w:val="20"/>
        </w:rPr>
        <w:t xml:space="preserve">If each retail Pi independently polls an external source, the source sees N requests per interval where N is your number of Pis. With 20 retail Pis polling Congress.gov every 30 minutes, that source sees 40 requests per hour from your organization. That is aggressive polling regardless of how politely each individual Pi behaves. It will get the organization rate-limited or blocked.</w:t>
      </w:r>
    </w:p>
    <w:p>
      <w:pPr>
        <w:pStyle w:val="Heading2"/>
        <w:spacing w:before="240" w:after="120"/>
      </w:pPr>
      <w:r>
        <w:rPr>
          <w:rFonts w:ascii="Arial" w:cs="Arial" w:eastAsia="Arial" w:hAnsi="Arial"/>
          <w:b/>
          <w:bCs/>
          <w:color w:val="0D6E72"/>
          <w:sz w:val="26"/>
          <w:szCs w:val="26"/>
        </w:rPr>
        <w:t xml:space="preserve">4.2 Data Flow — Research Sources</w:t>
      </w:r>
    </w:p>
    <w:p>
      <w:pPr>
        <w:spacing w:before="60" w:after="60" w:line="340" w:lineRule="auto"/>
      </w:pPr>
      <w:r>
        <w:rPr>
          <w:rFonts w:ascii="Arial" w:cs="Arial" w:eastAsia="Arial" w:hAnsi="Arial"/>
          <w:color w:val="333333"/>
          <w:sz w:val="20"/>
          <w:szCs w:val="20"/>
        </w:rPr>
        <w:t xml:space="preserve">The correct data flow for shared research sources is:</w:t>
      </w:r>
    </w:p>
    <w:p>
      <w:pPr>
        <w:pStyle w:val="ListParagraph"/>
        <w:numPr>
          <w:ilvl w:val="0"/>
          <w:numId w:val="2"/>
        </w:numPr>
        <w:spacing w:before="40" w:after="40"/>
      </w:pPr>
      <w:r>
        <w:rPr>
          <w:rFonts w:ascii="Arial" w:cs="Arial" w:eastAsia="Arial" w:hAnsi="Arial"/>
          <w:color w:val="333333"/>
          <w:sz w:val="20"/>
          <w:szCs w:val="20"/>
        </w:rPr>
        <w:t xml:space="preserve">Company Pi polling scheduler assigns Congress.gov, Federal Register, and RSS feeds to the Company Pi's research fetch process</w:t>
      </w:r>
    </w:p>
    <w:p>
      <w:pPr>
        <w:pStyle w:val="ListParagraph"/>
        <w:numPr>
          <w:ilvl w:val="0"/>
          <w:numId w:val="2"/>
        </w:numPr>
        <w:spacing w:before="40" w:after="40"/>
      </w:pPr>
      <w:r>
        <w:rPr>
          <w:rFonts w:ascii="Arial" w:cs="Arial" w:eastAsia="Arial" w:hAnsi="Arial"/>
          <w:color w:val="333333"/>
          <w:sz w:val="20"/>
          <w:szCs w:val="20"/>
        </w:rPr>
        <w:t xml:space="preserve">Company Pi fetches, caches result in company.db</w:t>
      </w:r>
    </w:p>
    <w:p>
      <w:pPr>
        <w:pStyle w:val="ListParagraph"/>
        <w:numPr>
          <w:ilvl w:val="0"/>
          <w:numId w:val="2"/>
        </w:numPr>
        <w:spacing w:before="40" w:after="40"/>
      </w:pPr>
      <w:r>
        <w:rPr>
          <w:rFonts w:ascii="Arial" w:cs="Arial" w:eastAsia="Arial" w:hAnsi="Arial"/>
          <w:color w:val="333333"/>
          <w:sz w:val="20"/>
          <w:szCs w:val="20"/>
        </w:rPr>
        <w:t xml:space="preserve">Retail Pis request research data from Company Pi via the existing heartbeat/portal channel rather than fetching externally</w:t>
      </w:r>
    </w:p>
    <w:p>
      <w:pPr>
        <w:pStyle w:val="ListParagraph"/>
        <w:numPr>
          <w:ilvl w:val="0"/>
          <w:numId w:val="2"/>
        </w:numPr>
        <w:spacing w:before="40" w:after="40"/>
      </w:pPr>
      <w:r>
        <w:rPr>
          <w:rFonts w:ascii="Arial" w:cs="Arial" w:eastAsia="Arial" w:hAnsi="Arial"/>
          <w:color w:val="333333"/>
          <w:sz w:val="20"/>
          <w:szCs w:val="20"/>
        </w:rPr>
        <w:t xml:space="preserve">Company Pi serves cached data — no additional external calls</w:t>
      </w:r>
    </w:p>
    <w:p>
      <w:pPr>
        <w:pStyle w:val="ListParagraph"/>
        <w:numPr>
          <w:ilvl w:val="0"/>
          <w:numId w:val="2"/>
        </w:numPr>
        <w:spacing w:before="40" w:after="40"/>
      </w:pPr>
      <w:r>
        <w:rPr>
          <w:rFonts w:ascii="Arial" w:cs="Arial" w:eastAsia="Arial" w:hAnsi="Arial"/>
          <w:color w:val="333333"/>
          <w:sz w:val="20"/>
          <w:szCs w:val="20"/>
        </w:rPr>
        <w:t xml:space="preserve">Cache validity for served data matches the source's polling interval — retail Pis do not need fresher data than the Company Pi has</w:t>
      </w:r>
    </w:p>
    <w:p>
      <w:pPr>
        <w:spacing w:before="40" w:after="40"/>
      </w:pPr>
    </w:p>
    <w:p>
      <w:pPr>
        <w:pBdr>
          <w:left w:val="single" w:color="1E7E34" w:sz="12"/>
        </w:pBdr>
        <w:shd w:fill="EAFAF1" w:val="clear"/>
        <w:spacing w:before="80" w:after="80"/>
        <w:ind w:left="360"/>
      </w:pPr>
      <w:r>
        <w:rPr>
          <w:rFonts w:ascii="Arial" w:cs="Arial" w:eastAsia="Arial" w:hAnsi="Arial"/>
          <w:b/>
          <w:bCs/>
          <w:color w:val="1E7E34"/>
          <w:sz w:val="20"/>
          <w:szCs w:val="20"/>
        </w:rPr>
        <w:t xml:space="preserve">DESIGN DECISION  </w:t>
      </w:r>
      <w:r>
        <w:rPr>
          <w:rFonts w:ascii="Arial" w:cs="Arial" w:eastAsia="Arial" w:hAnsi="Arial"/>
          <w:color w:val="333333"/>
          <w:sz w:val="20"/>
          <w:szCs w:val="20"/>
        </w:rPr>
        <w:t xml:space="preserve">Retail Pis are consumers of research data. Company Pi is the producer. This model also means that if a source changes its API, rate limits, or format, you fix it in one place on the Company Pi — not on every retail Pi individually.</w:t>
      </w:r>
    </w:p>
    <w:p>
      <w:pPr>
        <w:pStyle w:val="Heading2"/>
        <w:spacing w:before="240" w:after="120"/>
      </w:pPr>
      <w:r>
        <w:rPr>
          <w:rFonts w:ascii="Arial" w:cs="Arial" w:eastAsia="Arial" w:hAnsi="Arial"/>
          <w:b/>
          <w:bCs/>
          <w:color w:val="0D6E72"/>
          <w:sz w:val="26"/>
          <w:szCs w:val="26"/>
        </w:rPr>
        <w:t xml:space="preserve">4.3 Per-Pi Calls — What Remains</w:t>
      </w:r>
    </w:p>
    <w:p>
      <w:pPr>
        <w:spacing w:before="60" w:after="60" w:line="340" w:lineRule="auto"/>
      </w:pPr>
      <w:r>
        <w:rPr>
          <w:rFonts w:ascii="Arial" w:cs="Arial" w:eastAsia="Arial" w:hAnsi="Arial"/>
          <w:color w:val="333333"/>
          <w:sz w:val="20"/>
          <w:szCs w:val="20"/>
        </w:rPr>
        <w:t xml:space="preserve">The following calls remain per-Pi because they are genuinely per-customer by design:</w:t>
      </w:r>
    </w:p>
    <w:p>
      <w:pPr>
        <w:pStyle w:val="ListParagraph"/>
        <w:numPr>
          <w:ilvl w:val="0"/>
          <w:numId w:val="3"/>
        </w:numPr>
        <w:spacing w:before="40" w:after="40"/>
      </w:pPr>
      <w:r>
        <w:rPr>
          <w:rFonts w:ascii="Arial" w:cs="Arial" w:eastAsia="Arial" w:hAnsi="Arial"/>
          <w:color w:val="333333"/>
          <w:sz w:val="20"/>
          <w:szCs w:val="20"/>
        </w:rPr>
        <w:t xml:space="preserve">Alpaca API — each customer has their own Alpaca account and credentials. These calls are inherently per-Pi.</w:t>
      </w:r>
    </w:p>
    <w:p>
      <w:pPr>
        <w:pStyle w:val="ListParagraph"/>
        <w:numPr>
          <w:ilvl w:val="0"/>
          <w:numId w:val="3"/>
        </w:numPr>
        <w:spacing w:before="40" w:after="40"/>
      </w:pPr>
      <w:r>
        <w:rPr>
          <w:rFonts w:ascii="Arial" w:cs="Arial" w:eastAsia="Arial" w:hAnsi="Arial"/>
          <w:color w:val="333333"/>
          <w:sz w:val="20"/>
          <w:szCs w:val="20"/>
        </w:rPr>
        <w:t xml:space="preserve">Anthropic Claude API — each trading decision is per-Pi. These are not shared calls.</w:t>
      </w:r>
    </w:p>
    <w:p>
      <w:pPr>
        <w:pStyle w:val="ListParagraph"/>
        <w:numPr>
          <w:ilvl w:val="0"/>
          <w:numId w:val="3"/>
        </w:numPr>
        <w:spacing w:before="40" w:after="40"/>
      </w:pPr>
      <w:r>
        <w:rPr>
          <w:rFonts w:ascii="Arial" w:cs="Arial" w:eastAsia="Arial" w:hAnsi="Arial"/>
          <w:color w:val="333333"/>
          <w:sz w:val="20"/>
          <w:szCs w:val="20"/>
        </w:rPr>
        <w:t xml:space="preserve">License validation — each Pi validates its own key with Vault.</w:t>
      </w:r>
    </w:p>
    <w:p>
      <w:pPr>
        <w:pStyle w:val="ListParagraph"/>
        <w:numPr>
          <w:ilvl w:val="0"/>
          <w:numId w:val="3"/>
        </w:numPr>
        <w:spacing w:before="40" w:after="40"/>
      </w:pPr>
      <w:r>
        <w:rPr>
          <w:rFonts w:ascii="Arial" w:cs="Arial" w:eastAsia="Arial" w:hAnsi="Arial"/>
          <w:color w:val="333333"/>
          <w:sz w:val="20"/>
          <w:szCs w:val="20"/>
        </w:rPr>
        <w:t xml:space="preserve">Heartbeat — each Pi reports its own status.</w:t>
      </w:r>
    </w:p>
    <w:p>
      <w:pPr>
        <w:pBdr>
          <w:left w:val="single" w:color="D35400" w:sz="12"/>
        </w:pBdr>
        <w:shd w:fill="FEF9E7" w:val="clear"/>
        <w:spacing w:before="80" w:after="80"/>
        <w:ind w:left="360"/>
      </w:pPr>
      <w:r>
        <w:rPr>
          <w:rFonts w:ascii="Arial" w:cs="Arial" w:eastAsia="Arial" w:hAnsi="Arial"/>
          <w:b/>
          <w:bCs/>
          <w:color w:val="D35400"/>
          <w:sz w:val="20"/>
          <w:szCs w:val="20"/>
        </w:rPr>
        <w:t xml:space="preserve">NOTE  </w:t>
      </w:r>
      <w:r>
        <w:rPr>
          <w:rFonts w:ascii="Arial" w:cs="Arial" w:eastAsia="Arial" w:hAnsi="Arial"/>
          <w:color w:val="333333"/>
          <w:sz w:val="20"/>
          <w:szCs w:val="20"/>
        </w:rPr>
        <w:t xml:space="preserve">The distinction is: calls that use shared credentials or fetch shared data belong on the Company Pi. Calls that use customer-specific credentials or execute customer-specific actions stay on the retail Pi.</w:t>
      </w:r>
    </w:p>
    <w:p>
      <w:pPr>
        <w:pStyle w:val="Heading2"/>
        <w:spacing w:before="240" w:after="120"/>
      </w:pPr>
      <w:r>
        <w:rPr>
          <w:rFonts w:ascii="Arial" w:cs="Arial" w:eastAsia="Arial" w:hAnsi="Arial"/>
          <w:b/>
          <w:bCs/>
          <w:color w:val="0D6E72"/>
          <w:sz w:val="26"/>
          <w:szCs w:val="26"/>
        </w:rPr>
        <w:t xml:space="preserve">4.4 Phase 1 Implication</w:t>
      </w:r>
    </w:p>
    <w:p>
      <w:pPr>
        <w:spacing w:before="60" w:after="60" w:line="340" w:lineRule="auto"/>
      </w:pPr>
      <w:r>
        <w:rPr>
          <w:rFonts w:ascii="Arial" w:cs="Arial" w:eastAsia="Arial" w:hAnsi="Arial"/>
          <w:color w:val="333333"/>
          <w:sz w:val="20"/>
          <w:szCs w:val="20"/>
        </w:rPr>
        <w:t xml:space="preserve">In Phase 1 with a single retail Pi in testing, this distinction has no practical effect — one Pi polling externally is fine. The architecture must be correct before Phase 2 adds additional Pis. The research agent on the retail Pi should be designed in Phase 1 to accept data from the Company Pi as its primary source, with direct external fetch as a fallback for offline operation only.</w:t>
      </w:r>
    </w:p>
    <w:p>
      <w:pPr>
        <w:pStyle w:val="Heading1"/>
        <w:pBdr>
          <w:bottom w:val="single" w:color="0D6E72" w:sz="4" w:space="4"/>
        </w:pBdr>
        <w:spacing w:before="360" w:after="160"/>
      </w:pPr>
      <w:r>
        <w:rPr>
          <w:rFonts w:ascii="Arial" w:cs="Arial" w:eastAsia="Arial" w:hAnsi="Arial"/>
          <w:b/>
          <w:bCs/>
          <w:color w:val="0F2D4A"/>
          <w:sz w:val="32"/>
          <w:szCs w:val="32"/>
        </w:rPr>
        <w:t xml:space="preserve">5. Baseline Polling Intervals — Specific Values</w:t>
      </w:r>
    </w:p>
    <w:p>
      <w:pPr>
        <w:spacing w:before="60" w:after="60" w:line="340" w:lineRule="auto"/>
      </w:pPr>
      <w:r>
        <w:rPr>
          <w:rFonts w:ascii="Arial" w:cs="Arial" w:eastAsia="Arial" w:hAnsi="Arial"/>
          <w:color w:val="333333"/>
          <w:sz w:val="20"/>
          <w:szCs w:val="20"/>
        </w:rPr>
        <w:t xml:space="preserve">The policy documents RAP-001 and NSB-001 defined ranges for polling intervals. This section replaces those ranges with specific baseline values per source. These baselines are starting points derived from source publication cadence and known rate limits. They are expected to be adjusted based on tuning test results (see Section 6).</w:t>
      </w:r>
    </w:p>
    <w:tbl>
      <w:tblPr>
        <w:tblW w:type="dxa" w:w="9360"/>
      </w:tblPr>
      <w:tblGrid>
        <w:gridCol w:w="2200"/>
        <w:gridCol w:w="600"/>
        <w:gridCol w:w="1440"/>
        <w:gridCol w:w="1320"/>
        <w:gridCol w:w="3800"/>
      </w:tblGrid>
      <w:tr>
        <w:trPr>
          <w:tblHeader/>
        </w:trPr>
        <w:tc>
          <w:tcPr>
            <w:tcW w:type="dxa" w:w="22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6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44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tcPr>
          <w:p>
            <w:r>
              <w:rPr>
                <w:rFonts w:ascii="Arial" w:cs="Arial" w:eastAsia="Arial" w:hAnsi="Arial"/>
                <w:b/>
                <w:bCs/>
                <w:color w:val="FFFFFF"/>
                <w:sz w:val="18"/>
                <w:szCs w:val="18"/>
              </w:rPr>
              <w:t xml:space="preserve">Baseline Interval</w:t>
            </w:r>
          </w:p>
        </w:tc>
        <w:tc>
          <w:tcPr>
            <w:tcW w:type="dxa" w:w="132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tcPr>
          <w:p>
            <w:r>
              <w:rPr>
                <w:rFonts w:ascii="Arial" w:cs="Arial" w:eastAsia="Arial" w:hAnsi="Arial"/>
                <w:b/>
                <w:bCs/>
                <w:color w:val="FFFFFF"/>
                <w:sz w:val="18"/>
                <w:szCs w:val="18"/>
              </w:rPr>
              <w:t xml:space="preserve">Cache Validity</w:t>
            </w:r>
          </w:p>
        </w:tc>
        <w:tc>
          <w:tcPr>
            <w:tcW w:type="dxa" w:w="38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2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Congress.gov — disclosure API</w:t>
            </w:r>
          </w:p>
        </w:tc>
        <w:tc>
          <w:tcPr>
            <w:tcW w:type="dxa" w:w="6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144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30 min</w:t>
            </w:r>
          </w:p>
        </w:tc>
        <w:tc>
          <w:tcPr>
            <w:tcW w:type="dxa" w:w="132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25 min</w:t>
            </w:r>
          </w:p>
        </w:tc>
        <w:tc>
          <w:tcPr>
            <w:tcW w:type="dxa" w:w="38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Disclosures filed sporadically; 30 min catches same-day filings within market hours</w:t>
            </w:r>
          </w:p>
        </w:tc>
      </w:tr>
      <w:tr>
        <w:tc>
          <w:tcPr>
            <w:tcW w:type="dxa" w:w="22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SEC EDGAR — RSS feed</w:t>
            </w:r>
          </w:p>
        </w:tc>
        <w:tc>
          <w:tcPr>
            <w:tcW w:type="dxa" w:w="6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144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20 min</w:t>
            </w:r>
          </w:p>
        </w:tc>
        <w:tc>
          <w:tcPr>
            <w:tcW w:type="dxa" w:w="132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15 min</w:t>
            </w:r>
          </w:p>
        </w:tc>
        <w:tc>
          <w:tcPr>
            <w:tcW w:type="dxa" w:w="38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EDGAR publishes continuously during market hours; 20 min is conservative and within documented limits</w:t>
            </w:r>
          </w:p>
        </w:tc>
      </w:tr>
      <w:tr>
        <w:tc>
          <w:tcPr>
            <w:tcW w:type="dxa" w:w="22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Federal Register API</w:t>
            </w:r>
          </w:p>
        </w:tc>
        <w:tc>
          <w:tcPr>
            <w:tcW w:type="dxa" w:w="6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144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60 min</w:t>
            </w:r>
          </w:p>
        </w:tc>
        <w:tc>
          <w:tcPr>
            <w:tcW w:type="dxa" w:w="132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55 min</w:t>
            </w:r>
          </w:p>
        </w:tc>
        <w:tc>
          <w:tcPr>
            <w:tcW w:type="dxa" w:w="38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Federal Register publishes once daily; 60 min is more than sufficient</w:t>
            </w:r>
          </w:p>
        </w:tc>
      </w:tr>
      <w:tr>
        <w:tc>
          <w:tcPr>
            <w:tcW w:type="dxa" w:w="22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Capitol Trades (if used)</w:t>
            </w:r>
          </w:p>
        </w:tc>
        <w:tc>
          <w:tcPr>
            <w:tcW w:type="dxa" w:w="6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144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45 min</w:t>
            </w:r>
          </w:p>
        </w:tc>
        <w:tc>
          <w:tcPr>
            <w:tcW w:type="dxa" w:w="132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40 min</w:t>
            </w:r>
          </w:p>
        </w:tc>
        <w:tc>
          <w:tcPr>
            <w:tcW w:type="dxa" w:w="38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Aggregator; less time-critical than primary sources</w:t>
            </w:r>
          </w:p>
        </w:tc>
      </w:tr>
      <w:tr>
        <w:tc>
          <w:tcPr>
            <w:tcW w:type="dxa" w:w="22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RSS — major financial news</w:t>
            </w:r>
          </w:p>
        </w:tc>
        <w:tc>
          <w:tcPr>
            <w:tcW w:type="dxa" w:w="6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4</w:t>
            </w:r>
          </w:p>
        </w:tc>
        <w:tc>
          <w:tcPr>
            <w:tcW w:type="dxa" w:w="144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15 min</w:t>
            </w:r>
          </w:p>
        </w:tc>
        <w:tc>
          <w:tcPr>
            <w:tcW w:type="dxa" w:w="132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12 min</w:t>
            </w:r>
          </w:p>
        </w:tc>
        <w:tc>
          <w:tcPr>
            <w:tcW w:type="dxa" w:w="38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News is time-sensitive during market hours; 15 min baseline acceptable</w:t>
            </w:r>
          </w:p>
        </w:tc>
      </w:tr>
      <w:tr>
        <w:tc>
          <w:tcPr>
            <w:tcW w:type="dxa" w:w="22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RSS — general news feeds</w:t>
            </w:r>
          </w:p>
        </w:tc>
        <w:tc>
          <w:tcPr>
            <w:tcW w:type="dxa" w:w="6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4</w:t>
            </w:r>
          </w:p>
        </w:tc>
        <w:tc>
          <w:tcPr>
            <w:tcW w:type="dxa" w:w="144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30 min</w:t>
            </w:r>
          </w:p>
        </w:tc>
        <w:tc>
          <w:tcPr>
            <w:tcW w:type="dxa" w:w="132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25 min</w:t>
            </w:r>
          </w:p>
        </w:tc>
        <w:tc>
          <w:tcPr>
            <w:tcW w:type="dxa" w:w="38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Less time-critical than financial news</w:t>
            </w:r>
          </w:p>
        </w:tc>
      </w:tr>
      <w:tr>
        <w:tc>
          <w:tcPr>
            <w:tcW w:type="dxa" w:w="22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Company Pi → Retail Pi data push</w:t>
            </w:r>
          </w:p>
        </w:tc>
        <w:tc>
          <w:tcPr>
            <w:tcW w:type="dxa" w:w="6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N/A</w:t>
            </w:r>
          </w:p>
        </w:tc>
        <w:tc>
          <w:tcPr>
            <w:tcW w:type="dxa" w:w="144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On scheduler tick</w:t>
            </w:r>
          </w:p>
        </w:tc>
        <w:tc>
          <w:tcPr>
            <w:tcW w:type="dxa" w:w="132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Until next push</w:t>
            </w:r>
          </w:p>
        </w:tc>
        <w:tc>
          <w:tcPr>
            <w:tcW w:type="dxa" w:w="38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Retail Pis consume, not fetch; data arrives on the Company Pi's schedule</w:t>
            </w:r>
          </w:p>
        </w:tc>
      </w:tr>
      <w:tr>
        <w:tc>
          <w:tcPr>
            <w:tcW w:type="dxa" w:w="22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Alpaca market data</w:t>
            </w:r>
          </w:p>
        </w:tc>
        <w:tc>
          <w:tcPr>
            <w:tcW w:type="dxa" w:w="6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N/A</w:t>
            </w:r>
          </w:p>
        </w:tc>
        <w:tc>
          <w:tcPr>
            <w:tcW w:type="dxa" w:w="144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Per trade signal</w:t>
            </w:r>
          </w:p>
        </w:tc>
        <w:tc>
          <w:tcPr>
            <w:tcW w:type="dxa" w:w="132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N/A</w:t>
            </w:r>
          </w:p>
        </w:tc>
        <w:tc>
          <w:tcPr>
            <w:tcW w:type="dxa" w:w="38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Per-Pi, event-driven, not scheduled polling</w:t>
            </w:r>
          </w:p>
        </w:tc>
      </w:tr>
    </w:tbl>
    <w:p>
      <w:pPr>
        <w:spacing w:before="40" w:after="40"/>
      </w:pPr>
    </w:p>
    <w:p>
      <w:pPr>
        <w:pBdr>
          <w:left w:val="single" w:color="D35400" w:sz="12"/>
        </w:pBdr>
        <w:shd w:fill="FEF9E7" w:val="clear"/>
        <w:spacing w:before="80" w:after="80"/>
        <w:ind w:left="360"/>
      </w:pPr>
      <w:r>
        <w:rPr>
          <w:rFonts w:ascii="Arial" w:cs="Arial" w:eastAsia="Arial" w:hAnsi="Arial"/>
          <w:b/>
          <w:bCs/>
          <w:color w:val="D35400"/>
          <w:sz w:val="20"/>
          <w:szCs w:val="20"/>
        </w:rPr>
        <w:t xml:space="preserve">NOTE  </w:t>
      </w:r>
      <w:r>
        <w:rPr>
          <w:rFonts w:ascii="Arial" w:cs="Arial" w:eastAsia="Arial" w:hAnsi="Arial"/>
          <w:color w:val="333333"/>
          <w:sz w:val="20"/>
          <w:szCs w:val="20"/>
        </w:rPr>
        <w:t xml:space="preserve">Cache validity is intentionally set 5 minutes shorter than the polling interval. This gives the fetch time to complete and the cache time to be written before the next consumer requests data. Do not set cache validity equal to the interval — that creates a race condition on cache expiry.</w:t>
      </w:r>
    </w:p>
    <w:p>
      <w:pPr>
        <w:pStyle w:val="Heading1"/>
        <w:pBdr>
          <w:bottom w:val="single" w:color="0D6E72" w:sz="4" w:space="4"/>
        </w:pBdr>
        <w:spacing w:before="360" w:after="160"/>
      </w:pPr>
      <w:r>
        <w:rPr>
          <w:rFonts w:ascii="Arial" w:cs="Arial" w:eastAsia="Arial" w:hAnsi="Arial"/>
          <w:b/>
          <w:bCs/>
          <w:color w:val="0F2D4A"/>
          <w:sz w:val="32"/>
          <w:szCs w:val="32"/>
        </w:rPr>
        <w:t xml:space="preserve">6. Tuning Test Harness</w:t>
      </w:r>
    </w:p>
    <w:p>
      <w:pPr>
        <w:pStyle w:val="Heading2"/>
        <w:spacing w:before="240" w:after="120"/>
      </w:pPr>
      <w:r>
        <w:rPr>
          <w:rFonts w:ascii="Arial" w:cs="Arial" w:eastAsia="Arial" w:hAnsi="Arial"/>
          <w:b/>
          <w:bCs/>
          <w:color w:val="0D6E72"/>
          <w:sz w:val="26"/>
          <w:szCs w:val="26"/>
        </w:rPr>
        <w:t xml:space="preserve">6.1 Purpose</w:t>
      </w:r>
    </w:p>
    <w:p>
      <w:pPr>
        <w:spacing w:before="60" w:after="60" w:line="340" w:lineRule="auto"/>
      </w:pPr>
      <w:r>
        <w:rPr>
          <w:rFonts w:ascii="Arial" w:cs="Arial" w:eastAsia="Arial" w:hAnsi="Arial"/>
          <w:color w:val="333333"/>
          <w:sz w:val="20"/>
          <w:szCs w:val="20"/>
        </w:rPr>
        <w:t xml:space="preserve">The tuning test harness runs against live sources during the implementation phase to validate that baseline intervals are appropriate. It produces a recommended adjustment per source — not a pass/fail. The output feeds directly into the scheduler's configuration.</w:t>
      </w:r>
    </w:p>
    <w:p>
      <w:pPr>
        <w:pStyle w:val="Heading2"/>
        <w:spacing w:before="240" w:after="120"/>
      </w:pPr>
      <w:r>
        <w:rPr>
          <w:rFonts w:ascii="Arial" w:cs="Arial" w:eastAsia="Arial" w:hAnsi="Arial"/>
          <w:b/>
          <w:bCs/>
          <w:color w:val="0D6E72"/>
          <w:sz w:val="26"/>
          <w:szCs w:val="26"/>
        </w:rPr>
        <w:t xml:space="preserve">6.2 What the Harness Measures</w:t>
      </w:r>
    </w:p>
    <w:tbl>
      <w:tblPr>
        <w:tblW w:type="dxa" w:w="9360"/>
      </w:tblPr>
      <w:tblGrid>
        <w:gridCol w:w="2400"/>
        <w:gridCol w:w="3200"/>
        <w:gridCol w:w="3760"/>
      </w:tblGrid>
      <w:tr>
        <w:trPr>
          <w:tblHeader/>
        </w:trPr>
        <w:tc>
          <w:tcPr>
            <w:tcW w:type="dxa" w:w="24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32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tcPr>
          <w:p>
            <w:r>
              <w:rPr>
                <w:rFonts w:ascii="Arial" w:cs="Arial" w:eastAsia="Arial" w:hAnsi="Arial"/>
                <w:b/>
                <w:bCs/>
                <w:color w:val="FFFFFF"/>
                <w:sz w:val="18"/>
                <w:szCs w:val="18"/>
              </w:rPr>
              <w:t xml:space="preserve">What It Tells You</w:t>
            </w:r>
          </w:p>
        </w:tc>
        <w:tc>
          <w:tcPr>
            <w:tcW w:type="dxa" w:w="376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tcPr>
          <w:p>
            <w:r>
              <w:rPr>
                <w:rFonts w:ascii="Arial" w:cs="Arial" w:eastAsia="Arial" w:hAnsi="Arial"/>
                <w:b/>
                <w:bCs/>
                <w:color w:val="FFFFFF"/>
                <w:sz w:val="18"/>
                <w:szCs w:val="18"/>
              </w:rPr>
              <w:t xml:space="preserve">Adjustment Signal</w:t>
            </w:r>
          </w:p>
        </w:tc>
      </w:tr>
      <w:tr>
        <w:tc>
          <w:tcPr>
            <w:tcW w:type="dxa" w:w="24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Events missed between fetches</w:t>
            </w:r>
          </w:p>
        </w:tc>
        <w:tc>
          <w:tcPr>
            <w:tcW w:type="dxa" w:w="32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How many new items appeared at the source between two fetches with a meaningful timestamp gap</w:t>
            </w:r>
          </w:p>
        </w:tc>
        <w:tc>
          <w:tcPr>
            <w:tcW w:type="dxa" w:w="37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Interval too long — reduce</w:t>
            </w:r>
          </w:p>
        </w:tc>
      </w:tr>
      <w:tr>
        <w:tc>
          <w:tcPr>
            <w:tcW w:type="dxa" w:w="24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Unchanged data rate</w:t>
            </w:r>
          </w:p>
        </w:tc>
        <w:tc>
          <w:tcPr>
            <w:tcW w:type="dxa" w:w="32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 of fetches that returned identical data to the previous fetch</w:t>
            </w:r>
          </w:p>
        </w:tc>
        <w:tc>
          <w:tcPr>
            <w:tcW w:type="dxa" w:w="376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Interval too short for this source's actual update frequency — increase</w:t>
            </w:r>
          </w:p>
        </w:tc>
      </w:tr>
      <w:tr>
        <w:tc>
          <w:tcPr>
            <w:tcW w:type="dxa" w:w="24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Source response time (p50, p95)</w:t>
            </w:r>
          </w:p>
        </w:tc>
        <w:tc>
          <w:tcPr>
            <w:tcW w:type="dxa" w:w="32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How long the source takes to respond</w:t>
            </w:r>
          </w:p>
        </w:tc>
        <w:tc>
          <w:tcPr>
            <w:tcW w:type="dxa" w:w="37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High p95 latency suggests source stress or throttling — increase interval</w:t>
            </w:r>
          </w:p>
        </w:tc>
      </w:tr>
      <w:tr>
        <w:tc>
          <w:tcPr>
            <w:tcW w:type="dxa" w:w="24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HTTP 429 / error rate</w:t>
            </w:r>
          </w:p>
        </w:tc>
        <w:tc>
          <w:tcPr>
            <w:tcW w:type="dxa" w:w="32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How often the source pushes back</w:t>
            </w:r>
          </w:p>
        </w:tc>
        <w:tc>
          <w:tcPr>
            <w:tcW w:type="dxa" w:w="376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Any 429s mean interval is too aggressive — increase immediately</w:t>
            </w:r>
          </w:p>
        </w:tc>
      </w:tr>
      <w:tr>
        <w:tc>
          <w:tcPr>
            <w:tcW w:type="dxa" w:w="24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Cache hit rate on retail Pi requests</w:t>
            </w:r>
          </w:p>
        </w:tc>
        <w:tc>
          <w:tcPr>
            <w:tcW w:type="dxa" w:w="32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How often retail Pis get served from cache vs. waiting for a fresh fetch</w:t>
            </w:r>
          </w:p>
        </w:tc>
        <w:tc>
          <w:tcPr>
            <w:tcW w:type="dxa" w:w="37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Low cache hit rate means cache validity window is too short</w:t>
            </w:r>
          </w:p>
        </w:tc>
      </w:tr>
    </w:tbl>
    <w:p>
      <w:pPr>
        <w:spacing w:before="40" w:after="40"/>
      </w:pPr>
    </w:p>
    <w:p>
      <w:pPr>
        <w:pStyle w:val="Heading2"/>
        <w:spacing w:before="240" w:after="120"/>
      </w:pPr>
      <w:r>
        <w:rPr>
          <w:rFonts w:ascii="Arial" w:cs="Arial" w:eastAsia="Arial" w:hAnsi="Arial"/>
          <w:b/>
          <w:bCs/>
          <w:color w:val="0D6E72"/>
          <w:sz w:val="26"/>
          <w:szCs w:val="26"/>
        </w:rPr>
        <w:t xml:space="preserve">6.3 Harness Run Schedule</w:t>
      </w:r>
    </w:p>
    <w:p>
      <w:pPr>
        <w:spacing w:before="60" w:after="60" w:line="340" w:lineRule="auto"/>
      </w:pPr>
      <w:r>
        <w:rPr>
          <w:rFonts w:ascii="Arial" w:cs="Arial" w:eastAsia="Arial" w:hAnsi="Arial"/>
          <w:color w:val="333333"/>
          <w:sz w:val="20"/>
          <w:szCs w:val="20"/>
        </w:rPr>
        <w:t xml:space="preserve">The tuning harness runs in three phases:</w:t>
      </w:r>
    </w:p>
    <w:p>
      <w:pPr>
        <w:pStyle w:val="ListParagraph"/>
        <w:numPr>
          <w:ilvl w:val="0"/>
          <w:numId w:val="2"/>
        </w:numPr>
        <w:spacing w:before="40" w:after="40"/>
      </w:pPr>
      <w:r>
        <w:rPr>
          <w:rFonts w:ascii="Arial" w:cs="Arial" w:eastAsia="Arial" w:hAnsi="Arial"/>
          <w:color w:val="333333"/>
          <w:sz w:val="20"/>
          <w:szCs w:val="20"/>
        </w:rPr>
        <w:t xml:space="preserve">Implementation phase — runs continuously for the first two weeks after each source is connected, logging all five metrics per source</w:t>
      </w:r>
    </w:p>
    <w:p>
      <w:pPr>
        <w:pStyle w:val="ListParagraph"/>
        <w:numPr>
          <w:ilvl w:val="0"/>
          <w:numId w:val="2"/>
        </w:numPr>
        <w:spacing w:before="40" w:after="40"/>
      </w:pPr>
      <w:r>
        <w:rPr>
          <w:rFonts w:ascii="Arial" w:cs="Arial" w:eastAsia="Arial" w:hAnsi="Arial"/>
          <w:color w:val="333333"/>
          <w:sz w:val="20"/>
          <w:szCs w:val="20"/>
        </w:rPr>
        <w:t xml:space="preserve">Stabilization phase — runs weekly, flags sources where any metric has moved more than 20% from its baseline</w:t>
      </w:r>
    </w:p>
    <w:p>
      <w:pPr>
        <w:pStyle w:val="ListParagraph"/>
        <w:numPr>
          <w:ilvl w:val="0"/>
          <w:numId w:val="2"/>
        </w:numPr>
        <w:spacing w:before="40" w:after="40"/>
      </w:pPr>
      <w:r>
        <w:rPr>
          <w:rFonts w:ascii="Arial" w:cs="Arial" w:eastAsia="Arial" w:hAnsi="Arial"/>
          <w:color w:val="333333"/>
          <w:sz w:val="20"/>
          <w:szCs w:val="20"/>
        </w:rPr>
        <w:t xml:space="preserve">Ongoing — runs monthly, produces a tuning report for the morning report with any recommended interval adjustments</w:t>
      </w:r>
    </w:p>
    <w:p>
      <w:pPr>
        <w:pStyle w:val="Heading2"/>
        <w:spacing w:before="240" w:after="120"/>
      </w:pPr>
      <w:r>
        <w:rPr>
          <w:rFonts w:ascii="Arial" w:cs="Arial" w:eastAsia="Arial" w:hAnsi="Arial"/>
          <w:b/>
          <w:bCs/>
          <w:color w:val="0D6E72"/>
          <w:sz w:val="26"/>
          <w:szCs w:val="26"/>
        </w:rPr>
        <w:t xml:space="preserve">6.4 Tuning Report Format</w:t>
      </w:r>
    </w:p>
    <w:p>
      <w:pPr>
        <w:spacing w:before="60" w:after="60" w:line="340" w:lineRule="auto"/>
      </w:pPr>
      <w:r>
        <w:rPr>
          <w:rFonts w:ascii="Arial" w:cs="Arial" w:eastAsia="Arial" w:hAnsi="Arial"/>
          <w:color w:val="333333"/>
          <w:sz w:val="20"/>
          <w:szCs w:val="20"/>
        </w:rPr>
        <w:t xml:space="preserve">Each tuning report entry contains:</w:t>
      </w:r>
    </w:p>
    <w:p>
      <w:pPr>
        <w:pStyle w:val="ListParagraph"/>
        <w:numPr>
          <w:ilvl w:val="0"/>
          <w:numId w:val="3"/>
        </w:numPr>
        <w:spacing w:before="40" w:after="40"/>
      </w:pPr>
      <w:r>
        <w:rPr>
          <w:rFonts w:ascii="Arial" w:cs="Arial" w:eastAsia="Arial" w:hAnsi="Arial"/>
          <w:color w:val="333333"/>
          <w:sz w:val="20"/>
          <w:szCs w:val="20"/>
        </w:rPr>
        <w:t xml:space="preserve">Source name and current interval</w:t>
      </w:r>
    </w:p>
    <w:p>
      <w:pPr>
        <w:pStyle w:val="ListParagraph"/>
        <w:numPr>
          <w:ilvl w:val="0"/>
          <w:numId w:val="3"/>
        </w:numPr>
        <w:spacing w:before="40" w:after="40"/>
      </w:pPr>
      <w:r>
        <w:rPr>
          <w:rFonts w:ascii="Arial" w:cs="Arial" w:eastAsia="Arial" w:hAnsi="Arial"/>
          <w:color w:val="333333"/>
          <w:sz w:val="20"/>
          <w:szCs w:val="20"/>
        </w:rPr>
        <w:t xml:space="preserve">Each metric value vs. its acceptable range</w:t>
      </w:r>
    </w:p>
    <w:p>
      <w:pPr>
        <w:pStyle w:val="ListParagraph"/>
        <w:numPr>
          <w:ilvl w:val="0"/>
          <w:numId w:val="3"/>
        </w:numPr>
        <w:spacing w:before="40" w:after="40"/>
      </w:pPr>
      <w:r>
        <w:rPr>
          <w:rFonts w:ascii="Arial" w:cs="Arial" w:eastAsia="Arial" w:hAnsi="Arial"/>
          <w:color w:val="333333"/>
          <w:sz w:val="20"/>
          <w:szCs w:val="20"/>
        </w:rPr>
        <w:t xml:space="preserve">Recommended new interval (or 'no change')</w:t>
      </w:r>
    </w:p>
    <w:p>
      <w:pPr>
        <w:pStyle w:val="ListParagraph"/>
        <w:numPr>
          <w:ilvl w:val="0"/>
          <w:numId w:val="3"/>
        </w:numPr>
        <w:spacing w:before="40" w:after="40"/>
      </w:pPr>
      <w:r>
        <w:rPr>
          <w:rFonts w:ascii="Arial" w:cs="Arial" w:eastAsia="Arial" w:hAnsi="Arial"/>
          <w:color w:val="333333"/>
          <w:sz w:val="20"/>
          <w:szCs w:val="20"/>
        </w:rPr>
        <w:t xml:space="preserve">Confidence in recommendation (based on sample size)</w:t>
      </w:r>
    </w:p>
    <w:p>
      <w:pPr>
        <w:pStyle w:val="ListParagraph"/>
        <w:numPr>
          <w:ilvl w:val="0"/>
          <w:numId w:val="3"/>
        </w:numPr>
        <w:spacing w:before="40" w:after="40"/>
      </w:pPr>
      <w:r>
        <w:rPr>
          <w:rFonts w:ascii="Arial" w:cs="Arial" w:eastAsia="Arial" w:hAnsi="Arial"/>
          <w:color w:val="333333"/>
          <w:sz w:val="20"/>
          <w:szCs w:val="20"/>
        </w:rPr>
        <w:t xml:space="preserve">Whether the recommendation requires operator approval before taking effect</w:t>
      </w:r>
    </w:p>
    <w:p>
      <w:pPr>
        <w:pBdr>
          <w:left w:val="single" w:color="D35400" w:sz="12"/>
        </w:pBdr>
        <w:shd w:fill="FEF9E7" w:val="clear"/>
        <w:spacing w:before="80" w:after="80"/>
        <w:ind w:left="360"/>
      </w:pPr>
      <w:r>
        <w:rPr>
          <w:rFonts w:ascii="Arial" w:cs="Arial" w:eastAsia="Arial" w:hAnsi="Arial"/>
          <w:b/>
          <w:bCs/>
          <w:color w:val="D35400"/>
          <w:sz w:val="20"/>
          <w:szCs w:val="20"/>
        </w:rPr>
        <w:t xml:space="preserve">NOTE  </w:t>
      </w:r>
      <w:r>
        <w:rPr>
          <w:rFonts w:ascii="Arial" w:cs="Arial" w:eastAsia="Arial" w:hAnsi="Arial"/>
          <w:color w:val="333333"/>
          <w:sz w:val="20"/>
          <w:szCs w:val="20"/>
        </w:rPr>
        <w:t xml:space="preserve">Interval reductions (polling faster) always require operator approval. Interval increases (polling slower) can be applied automatically if the tuning harness confidence is high and the change is less than 50% of the current interval.</w:t>
      </w:r>
    </w:p>
    <w:p>
      <w:pPr>
        <w:pStyle w:val="Heading1"/>
        <w:pBdr>
          <w:bottom w:val="single" w:color="0D6E72" w:sz="4" w:space="4"/>
        </w:pBdr>
        <w:spacing w:before="360" w:after="160"/>
      </w:pPr>
      <w:r>
        <w:rPr>
          <w:rFonts w:ascii="Arial" w:cs="Arial" w:eastAsia="Arial" w:hAnsi="Arial"/>
          <w:b/>
          <w:bCs/>
          <w:color w:val="0F2D4A"/>
          <w:sz w:val="32"/>
          <w:szCs w:val="32"/>
        </w:rPr>
        <w:t xml:space="preserve">7. Source Discovery Lock</w:t>
      </w:r>
    </w:p>
    <w:p>
      <w:pPr>
        <w:pStyle w:val="Heading2"/>
        <w:spacing w:before="240" w:after="120"/>
      </w:pPr>
      <w:r>
        <w:rPr>
          <w:rFonts w:ascii="Arial" w:cs="Arial" w:eastAsia="Arial" w:hAnsi="Arial"/>
          <w:b/>
          <w:bCs/>
          <w:color w:val="0D6E72"/>
          <w:sz w:val="26"/>
          <w:szCs w:val="26"/>
        </w:rPr>
        <w:t xml:space="preserve">7.1 Current Status — LOCKED</w:t>
      </w:r>
    </w:p>
    <w:p>
      <w:pPr>
        <w:spacing w:before="60" w:after="60" w:line="340" w:lineRule="auto"/>
      </w:pPr>
      <w:r>
        <w:rPr>
          <w:rFonts w:ascii="Arial" w:cs="Arial" w:eastAsia="Arial" w:hAnsi="Arial"/>
          <w:color w:val="333333"/>
          <w:sz w:val="20"/>
          <w:szCs w:val="20"/>
        </w:rPr>
        <w:t xml:space="preserve">Source discovery by agents is currently disabled. Agents may not add new sources to the approved source list, follow links to adjacent sources, or begin collecting from any source not currently in the registry.</w:t>
      </w:r>
    </w:p>
    <w:p>
      <w:pPr>
        <w:spacing w:before="60" w:after="60" w:line="340" w:lineRule="auto"/>
      </w:pPr>
      <w:r>
        <w:rPr>
          <w:rFonts w:ascii="Arial" w:cs="Arial" w:eastAsia="Arial" w:hAnsi="Arial"/>
          <w:color w:val="333333"/>
          <w:sz w:val="20"/>
          <w:szCs w:val="20"/>
        </w:rPr>
        <w:t xml:space="preserve">The primary source list has not been fully exercised. Adding new sources while calibrating existing ones introduces noise into a signal that is still being established. The lock lifts when the conditions in Section 7.3 are met.</w:t>
      </w:r>
    </w:p>
    <w:tbl>
      <w:tblPr>
        <w:tblW w:type="dxa" w:w="9360"/>
      </w:tblPr>
      <w:tblGrid>
        <w:gridCol w:w="2800"/>
        <w:gridCol w:w="6560"/>
      </w:tblGrid>
      <w:tr>
        <w:tc>
          <w:tcPr>
            <w:tcW w:type="dxa" w:w="2800"/>
            <w:tcBorders>
              <w:top w:val="single" w:color="C8D0D8" w:sz="1"/>
              <w:left w:val="single" w:color="C8D0D8" w:sz="1"/>
              <w:bottom w:val="single" w:color="C8D0D8" w:sz="1"/>
              <w:right w:val="single" w:color="C8D0D8" w:sz="1"/>
            </w:tcBorders>
            <w:shd w:fill="EAF2FB" w:val="clear"/>
            <w:tcMar>
              <w:top w:type="dxa" w:w="80"/>
              <w:left w:type="dxa" w:w="120"/>
              <w:bottom w:type="dxa" w:w="80"/>
              <w:right w:type="dxa" w:w="120"/>
            </w:tcMar>
          </w:tcPr>
          <w:p>
            <w:r>
              <w:rPr>
                <w:rFonts w:ascii="Arial" w:cs="Arial" w:eastAsia="Arial" w:hAnsi="Arial"/>
                <w:b/>
                <w:bCs/>
                <w:color w:val="0F2D4A"/>
                <w:sz w:val="18"/>
                <w:szCs w:val="18"/>
              </w:rPr>
              <w:t xml:space="preserve">Config flag</w:t>
            </w:r>
          </w:p>
        </w:tc>
        <w:tc>
          <w:tcPr>
            <w:tcW w:type="dxa" w:w="65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source_registry.json → discovery_enabled: false</w:t>
            </w:r>
          </w:p>
        </w:tc>
      </w:tr>
      <w:tr>
        <w:tc>
          <w:tcPr>
            <w:tcW w:type="dxa" w:w="2800"/>
            <w:tcBorders>
              <w:top w:val="single" w:color="C8D0D8" w:sz="1"/>
              <w:left w:val="single" w:color="C8D0D8" w:sz="1"/>
              <w:bottom w:val="single" w:color="C8D0D8" w:sz="1"/>
              <w:right w:val="single" w:color="C8D0D8" w:sz="1"/>
            </w:tcBorders>
            <w:shd w:fill="F5F8FA" w:val="clear"/>
            <w:tcMar>
              <w:top w:type="dxa" w:w="80"/>
              <w:left w:type="dxa" w:w="120"/>
              <w:bottom w:type="dxa" w:w="80"/>
              <w:right w:type="dxa" w:w="120"/>
            </w:tcMar>
          </w:tcPr>
          <w:p>
            <w:r>
              <w:rPr>
                <w:rFonts w:ascii="Arial" w:cs="Arial" w:eastAsia="Arial" w:hAnsi="Arial"/>
                <w:b/>
                <w:bCs/>
                <w:color w:val="0F2D4A"/>
                <w:sz w:val="18"/>
                <w:szCs w:val="18"/>
              </w:rPr>
              <w:t xml:space="preserve">Enforcement</w:t>
            </w:r>
          </w:p>
        </w:tc>
        <w:tc>
          <w:tcPr>
            <w:tcW w:type="dxa" w:w="6560"/>
            <w:tcBorders>
              <w:top w:val="single" w:color="C8D0D8" w:sz="1"/>
              <w:left w:val="single" w:color="C8D0D8" w:sz="1"/>
              <w:bottom w:val="single" w:color="C8D0D8" w:sz="1"/>
              <w:right w:val="single" w:color="C8D0D8" w:sz="1"/>
            </w:tcBorders>
            <w:shd w:fill="FAFBFC" w:val="clear"/>
            <w:tcMar>
              <w:top w:type="dxa" w:w="80"/>
              <w:left w:type="dxa" w:w="120"/>
              <w:bottom w:type="dxa" w:w="80"/>
              <w:right w:type="dxa" w:w="120"/>
            </w:tcMar>
          </w:tcPr>
          <w:p>
            <w:r>
              <w:rPr>
                <w:rFonts w:ascii="Arial" w:cs="Arial" w:eastAsia="Arial" w:hAnsi="Arial"/>
                <w:color w:val="333333"/>
                <w:sz w:val="18"/>
                <w:szCs w:val="18"/>
              </w:rPr>
              <w:t xml:space="preserve">Hard flag read by agents at startup — not a documentation-only rule</w:t>
            </w:r>
          </w:p>
        </w:tc>
      </w:tr>
      <w:tr>
        <w:tc>
          <w:tcPr>
            <w:tcW w:type="dxa" w:w="2800"/>
            <w:tcBorders>
              <w:top w:val="single" w:color="C8D0D8" w:sz="1"/>
              <w:left w:val="single" w:color="C8D0D8" w:sz="1"/>
              <w:bottom w:val="single" w:color="C8D0D8" w:sz="1"/>
              <w:right w:val="single" w:color="C8D0D8" w:sz="1"/>
            </w:tcBorders>
            <w:shd w:fill="EAF2FB" w:val="clear"/>
            <w:tcMar>
              <w:top w:type="dxa" w:w="80"/>
              <w:left w:type="dxa" w:w="120"/>
              <w:bottom w:type="dxa" w:w="80"/>
              <w:right w:type="dxa" w:w="120"/>
            </w:tcMar>
          </w:tcPr>
          <w:p>
            <w:r>
              <w:rPr>
                <w:rFonts w:ascii="Arial" w:cs="Arial" w:eastAsia="Arial" w:hAnsi="Arial"/>
                <w:b/>
                <w:bCs/>
                <w:color w:val="0F2D4A"/>
                <w:sz w:val="18"/>
                <w:szCs w:val="18"/>
              </w:rPr>
              <w:t xml:space="preserve">Current status</w:t>
            </w:r>
          </w:p>
        </w:tc>
        <w:tc>
          <w:tcPr>
            <w:tcW w:type="dxa" w:w="65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LOCKED</w:t>
            </w:r>
          </w:p>
        </w:tc>
      </w:tr>
      <w:tr>
        <w:tc>
          <w:tcPr>
            <w:tcW w:type="dxa" w:w="2800"/>
            <w:tcBorders>
              <w:top w:val="single" w:color="C8D0D8" w:sz="1"/>
              <w:left w:val="single" w:color="C8D0D8" w:sz="1"/>
              <w:bottom w:val="single" w:color="C8D0D8" w:sz="1"/>
              <w:right w:val="single" w:color="C8D0D8" w:sz="1"/>
            </w:tcBorders>
            <w:shd w:fill="F5F8FA" w:val="clear"/>
            <w:tcMar>
              <w:top w:type="dxa" w:w="80"/>
              <w:left w:type="dxa" w:w="120"/>
              <w:bottom w:type="dxa" w:w="80"/>
              <w:right w:type="dxa" w:w="120"/>
            </w:tcMar>
          </w:tcPr>
          <w:p>
            <w:r>
              <w:rPr>
                <w:rFonts w:ascii="Arial" w:cs="Arial" w:eastAsia="Arial" w:hAnsi="Arial"/>
                <w:b/>
                <w:bCs/>
                <w:color w:val="0F2D4A"/>
                <w:sz w:val="18"/>
                <w:szCs w:val="18"/>
              </w:rPr>
              <w:t xml:space="preserve">Who can change</w:t>
            </w:r>
          </w:p>
        </w:tc>
        <w:tc>
          <w:tcPr>
            <w:tcW w:type="dxa" w:w="6560"/>
            <w:tcBorders>
              <w:top w:val="single" w:color="C8D0D8" w:sz="1"/>
              <w:left w:val="single" w:color="C8D0D8" w:sz="1"/>
              <w:bottom w:val="single" w:color="C8D0D8" w:sz="1"/>
              <w:right w:val="single" w:color="C8D0D8" w:sz="1"/>
            </w:tcBorders>
            <w:shd w:fill="FAFBFC" w:val="clear"/>
            <w:tcMar>
              <w:top w:type="dxa" w:w="80"/>
              <w:left w:type="dxa" w:w="120"/>
              <w:bottom w:type="dxa" w:w="80"/>
              <w:right w:type="dxa" w:w="120"/>
            </w:tcMar>
          </w:tcPr>
          <w:p>
            <w:r>
              <w:rPr>
                <w:rFonts w:ascii="Arial" w:cs="Arial" w:eastAsia="Arial" w:hAnsi="Arial"/>
                <w:color w:val="333333"/>
                <w:sz w:val="18"/>
                <w:szCs w:val="18"/>
              </w:rPr>
              <w:t xml:space="preserve">Project lead only, via config file change</w:t>
            </w:r>
          </w:p>
        </w:tc>
      </w:tr>
      <w:tr>
        <w:tc>
          <w:tcPr>
            <w:tcW w:type="dxa" w:w="2800"/>
            <w:tcBorders>
              <w:top w:val="single" w:color="C8D0D8" w:sz="1"/>
              <w:left w:val="single" w:color="C8D0D8" w:sz="1"/>
              <w:bottom w:val="single" w:color="C8D0D8" w:sz="1"/>
              <w:right w:val="single" w:color="C8D0D8" w:sz="1"/>
            </w:tcBorders>
            <w:shd w:fill="EAF2FB" w:val="clear"/>
            <w:tcMar>
              <w:top w:type="dxa" w:w="80"/>
              <w:left w:type="dxa" w:w="120"/>
              <w:bottom w:type="dxa" w:w="80"/>
              <w:right w:type="dxa" w:w="120"/>
            </w:tcMar>
          </w:tcPr>
          <w:p>
            <w:r>
              <w:rPr>
                <w:rFonts w:ascii="Arial" w:cs="Arial" w:eastAsia="Arial" w:hAnsi="Arial"/>
                <w:b/>
                <w:bCs/>
                <w:color w:val="0F2D4A"/>
                <w:sz w:val="18"/>
                <w:szCs w:val="18"/>
              </w:rPr>
              <w:t xml:space="preserve">Agent behavior when locked</w:t>
            </w:r>
          </w:p>
        </w:tc>
        <w:tc>
          <w:tcPr>
            <w:tcW w:type="dxa" w:w="65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Flag discovered sources to governance log, do not begin collecting</w:t>
            </w:r>
          </w:p>
        </w:tc>
      </w:tr>
    </w:tbl>
    <w:p>
      <w:pPr>
        <w:pStyle w:val="Heading2"/>
        <w:spacing w:before="240" w:after="120"/>
      </w:pPr>
      <w:r>
        <w:rPr>
          <w:rFonts w:ascii="Arial" w:cs="Arial" w:eastAsia="Arial" w:hAnsi="Arial"/>
          <w:b/>
          <w:bCs/>
          <w:color w:val="0D6E72"/>
          <w:sz w:val="26"/>
          <w:szCs w:val="26"/>
        </w:rPr>
        <w:t xml:space="preserve">7.2 Quarantine Tier</w:t>
      </w:r>
    </w:p>
    <w:p>
      <w:pPr>
        <w:spacing w:before="60" w:after="60" w:line="340" w:lineRule="auto"/>
      </w:pPr>
      <w:r>
        <w:rPr>
          <w:rFonts w:ascii="Arial" w:cs="Arial" w:eastAsia="Arial" w:hAnsi="Arial"/>
          <w:color w:val="333333"/>
          <w:sz w:val="20"/>
          <w:szCs w:val="20"/>
        </w:rPr>
        <w:t xml:space="preserve">When agents discover potentially useful sources during normal operation, they must log them to the governance layer's source_candidates.json file rather than silently discarding them. This creates a visible backlog of candidate sources for operator review. The schema for candidate entries is reserved in the source registry now so it does not need to be retrofitted later.</w:t>
      </w:r>
    </w:p>
    <w:p>
      <w:pPr>
        <w:spacing w:before="60" w:after="60" w:line="340" w:lineRule="auto"/>
      </w:pPr>
      <w:r>
        <w:rPr>
          <w:rFonts w:ascii="Arial" w:cs="Arial" w:eastAsia="Arial" w:hAnsi="Arial"/>
          <w:color w:val="333333"/>
          <w:sz w:val="20"/>
          <w:szCs w:val="20"/>
        </w:rPr>
        <w:t xml:space="preserve">A candidate entry contains: discovered URL, discovery context (which source it was found in, what link or reference led to it), estimated relevance, and the date discovered. The operator reviews candidates during weekly tuning review and promotes or discards them.</w:t>
      </w:r>
    </w:p>
    <w:p>
      <w:pPr>
        <w:pStyle w:val="Heading2"/>
        <w:spacing w:before="240" w:after="120"/>
      </w:pPr>
      <w:r>
        <w:rPr>
          <w:rFonts w:ascii="Arial" w:cs="Arial" w:eastAsia="Arial" w:hAnsi="Arial"/>
          <w:b/>
          <w:bCs/>
          <w:color w:val="0D6E72"/>
          <w:sz w:val="26"/>
          <w:szCs w:val="26"/>
        </w:rPr>
        <w:t xml:space="preserve">7.3 Conditions to Lift the Lock</w:t>
      </w:r>
    </w:p>
    <w:p>
      <w:pPr>
        <w:spacing w:before="60" w:after="60" w:line="340" w:lineRule="auto"/>
      </w:pPr>
      <w:r>
        <w:rPr>
          <w:rFonts w:ascii="Arial" w:cs="Arial" w:eastAsia="Arial" w:hAnsi="Arial"/>
          <w:color w:val="333333"/>
          <w:sz w:val="20"/>
          <w:szCs w:val="20"/>
        </w:rPr>
        <w:t xml:space="preserve">The source discovery lock lifts when all of the following are true:</w:t>
      </w:r>
    </w:p>
    <w:p>
      <w:pPr>
        <w:pStyle w:val="ListParagraph"/>
        <w:numPr>
          <w:ilvl w:val="0"/>
          <w:numId w:val="2"/>
        </w:numPr>
        <w:spacing w:before="40" w:after="40"/>
      </w:pPr>
      <w:r>
        <w:rPr>
          <w:rFonts w:ascii="Arial" w:cs="Arial" w:eastAsia="Arial" w:hAnsi="Arial"/>
          <w:color w:val="333333"/>
          <w:sz w:val="20"/>
          <w:szCs w:val="20"/>
        </w:rPr>
        <w:t xml:space="preserve">All sources in the current registry have been through at least one full tuning cycle (two weeks of harness data)</w:t>
      </w:r>
    </w:p>
    <w:p>
      <w:pPr>
        <w:pStyle w:val="ListParagraph"/>
        <w:numPr>
          <w:ilvl w:val="0"/>
          <w:numId w:val="2"/>
        </w:numPr>
        <w:spacing w:before="40" w:after="40"/>
      </w:pPr>
      <w:r>
        <w:rPr>
          <w:rFonts w:ascii="Arial" w:cs="Arial" w:eastAsia="Arial" w:hAnsi="Arial"/>
          <w:color w:val="333333"/>
          <w:sz w:val="20"/>
          <w:szCs w:val="20"/>
        </w:rPr>
        <w:t xml:space="preserve">No source in the current registry has an open stress or rate-limit flag</w:t>
      </w:r>
    </w:p>
    <w:p>
      <w:pPr>
        <w:pStyle w:val="ListParagraph"/>
        <w:numPr>
          <w:ilvl w:val="0"/>
          <w:numId w:val="2"/>
        </w:numPr>
        <w:spacing w:before="40" w:after="40"/>
      </w:pPr>
      <w:r>
        <w:rPr>
          <w:rFonts w:ascii="Arial" w:cs="Arial" w:eastAsia="Arial" w:hAnsi="Arial"/>
          <w:color w:val="333333"/>
          <w:sz w:val="20"/>
          <w:szCs w:val="20"/>
        </w:rPr>
        <w:t xml:space="preserve">The governance layer is operational and the source registry is actively managed</w:t>
      </w:r>
    </w:p>
    <w:p>
      <w:pPr>
        <w:pStyle w:val="ListParagraph"/>
        <w:numPr>
          <w:ilvl w:val="0"/>
          <w:numId w:val="2"/>
        </w:numPr>
        <w:spacing w:before="40" w:after="40"/>
      </w:pPr>
      <w:r>
        <w:rPr>
          <w:rFonts w:ascii="Arial" w:cs="Arial" w:eastAsia="Arial" w:hAnsi="Arial"/>
          <w:color w:val="333333"/>
          <w:sz w:val="20"/>
          <w:szCs w:val="20"/>
        </w:rPr>
        <w:t xml:space="preserve">The project lead has explicitly approved the lift in writing</w:t>
      </w:r>
    </w:p>
    <w:p>
      <w:pPr>
        <w:pStyle w:val="Heading1"/>
        <w:pBdr>
          <w:bottom w:val="single" w:color="0D6E72" w:sz="4" w:space="4"/>
        </w:pBdr>
        <w:spacing w:before="360" w:after="160"/>
      </w:pPr>
      <w:r>
        <w:rPr>
          <w:rFonts w:ascii="Arial" w:cs="Arial" w:eastAsia="Arial" w:hAnsi="Arial"/>
          <w:b/>
          <w:bCs/>
          <w:color w:val="0F2D4A"/>
          <w:sz w:val="32"/>
          <w:szCs w:val="32"/>
        </w:rPr>
        <w:t xml:space="preserve">8. Document Control</w:t>
      </w:r>
    </w:p>
    <w:tbl>
      <w:tblPr>
        <w:tblW w:type="dxa" w:w="9360"/>
      </w:tblPr>
      <w:tblGrid>
        <w:gridCol w:w="2800"/>
        <w:gridCol w:w="6560"/>
      </w:tblGrid>
      <w:tr>
        <w:tc>
          <w:tcPr>
            <w:tcW w:type="dxa" w:w="2800"/>
            <w:tcBorders>
              <w:top w:val="single" w:color="C8D0D8" w:sz="1"/>
              <w:left w:val="single" w:color="C8D0D8" w:sz="1"/>
              <w:bottom w:val="single" w:color="C8D0D8" w:sz="1"/>
              <w:right w:val="single" w:color="C8D0D8" w:sz="1"/>
            </w:tcBorders>
            <w:shd w:fill="EAF2FB" w:val="clear"/>
            <w:tcMar>
              <w:top w:type="dxa" w:w="80"/>
              <w:left w:type="dxa" w:w="120"/>
              <w:bottom w:type="dxa" w:w="80"/>
              <w:right w:type="dxa" w:w="120"/>
            </w:tcMar>
          </w:tcPr>
          <w:p>
            <w:r>
              <w:rPr>
                <w:rFonts w:ascii="Arial" w:cs="Arial" w:eastAsia="Arial" w:hAnsi="Arial"/>
                <w:b/>
                <w:bCs/>
                <w:color w:val="0F2D4A"/>
                <w:sz w:val="18"/>
                <w:szCs w:val="18"/>
              </w:rPr>
              <w:t xml:space="preserve">Document ID</w:t>
            </w:r>
          </w:p>
        </w:tc>
        <w:tc>
          <w:tcPr>
            <w:tcW w:type="dxa" w:w="65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OPS-ADD-002</w:t>
            </w:r>
          </w:p>
        </w:tc>
      </w:tr>
      <w:tr>
        <w:tc>
          <w:tcPr>
            <w:tcW w:type="dxa" w:w="2800"/>
            <w:tcBorders>
              <w:top w:val="single" w:color="C8D0D8" w:sz="1"/>
              <w:left w:val="single" w:color="C8D0D8" w:sz="1"/>
              <w:bottom w:val="single" w:color="C8D0D8" w:sz="1"/>
              <w:right w:val="single" w:color="C8D0D8" w:sz="1"/>
            </w:tcBorders>
            <w:shd w:fill="F5F8FA" w:val="clear"/>
            <w:tcMar>
              <w:top w:type="dxa" w:w="80"/>
              <w:left w:type="dxa" w:w="120"/>
              <w:bottom w:type="dxa" w:w="80"/>
              <w:right w:type="dxa" w:w="120"/>
            </w:tcMar>
          </w:tcPr>
          <w:p>
            <w:r>
              <w:rPr>
                <w:rFonts w:ascii="Arial" w:cs="Arial" w:eastAsia="Arial" w:hAnsi="Arial"/>
                <w:b/>
                <w:bCs/>
                <w:color w:val="0F2D4A"/>
                <w:sz w:val="18"/>
                <w:szCs w:val="18"/>
              </w:rPr>
              <w:t xml:space="preserve">Version</w:t>
            </w:r>
          </w:p>
        </w:tc>
        <w:tc>
          <w:tcPr>
            <w:tcW w:type="dxa" w:w="6560"/>
            <w:tcBorders>
              <w:top w:val="single" w:color="C8D0D8" w:sz="1"/>
              <w:left w:val="single" w:color="C8D0D8" w:sz="1"/>
              <w:bottom w:val="single" w:color="C8D0D8" w:sz="1"/>
              <w:right w:val="single" w:color="C8D0D8" w:sz="1"/>
            </w:tcBorders>
            <w:shd w:fill="FAFBFC" w:val="clear"/>
            <w:tcMar>
              <w:top w:type="dxa" w:w="80"/>
              <w:left w:type="dxa" w:w="120"/>
              <w:bottom w:type="dxa" w:w="80"/>
              <w:right w:type="dxa" w:w="120"/>
            </w:tcMar>
          </w:tcPr>
          <w:p>
            <w:r>
              <w:rPr>
                <w:rFonts w:ascii="Arial" w:cs="Arial" w:eastAsia="Arial" w:hAnsi="Arial"/>
                <w:color w:val="333333"/>
                <w:sz w:val="18"/>
                <w:szCs w:val="18"/>
              </w:rPr>
              <w:t xml:space="preserve">1.0</w:t>
            </w:r>
          </w:p>
        </w:tc>
      </w:tr>
      <w:tr>
        <w:tc>
          <w:tcPr>
            <w:tcW w:type="dxa" w:w="2800"/>
            <w:tcBorders>
              <w:top w:val="single" w:color="C8D0D8" w:sz="1"/>
              <w:left w:val="single" w:color="C8D0D8" w:sz="1"/>
              <w:bottom w:val="single" w:color="C8D0D8" w:sz="1"/>
              <w:right w:val="single" w:color="C8D0D8" w:sz="1"/>
            </w:tcBorders>
            <w:shd w:fill="EAF2FB" w:val="clear"/>
            <w:tcMar>
              <w:top w:type="dxa" w:w="80"/>
              <w:left w:type="dxa" w:w="120"/>
              <w:bottom w:type="dxa" w:w="80"/>
              <w:right w:type="dxa" w:w="120"/>
            </w:tcMar>
          </w:tcPr>
          <w:p>
            <w:r>
              <w:rPr>
                <w:rFonts w:ascii="Arial" w:cs="Arial" w:eastAsia="Arial" w:hAnsi="Arial"/>
                <w:b/>
                <w:bCs/>
                <w:color w:val="0F2D4A"/>
                <w:sz w:val="18"/>
                <w:szCs w:val="18"/>
              </w:rPr>
              <w:t xml:space="preserve">Effective Date</w:t>
            </w:r>
          </w:p>
        </w:tc>
        <w:tc>
          <w:tcPr>
            <w:tcW w:type="dxa" w:w="65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March 27, 2026</w:t>
            </w:r>
          </w:p>
        </w:tc>
      </w:tr>
      <w:tr>
        <w:tc>
          <w:tcPr>
            <w:tcW w:type="dxa" w:w="2800"/>
            <w:tcBorders>
              <w:top w:val="single" w:color="C8D0D8" w:sz="1"/>
              <w:left w:val="single" w:color="C8D0D8" w:sz="1"/>
              <w:bottom w:val="single" w:color="C8D0D8" w:sz="1"/>
              <w:right w:val="single" w:color="C8D0D8" w:sz="1"/>
            </w:tcBorders>
            <w:shd w:fill="F5F8FA" w:val="clear"/>
            <w:tcMar>
              <w:top w:type="dxa" w:w="80"/>
              <w:left w:type="dxa" w:w="120"/>
              <w:bottom w:type="dxa" w:w="80"/>
              <w:right w:type="dxa" w:w="120"/>
            </w:tcMar>
          </w:tcPr>
          <w:p>
            <w:r>
              <w:rPr>
                <w:rFonts w:ascii="Arial" w:cs="Arial" w:eastAsia="Arial" w:hAnsi="Arial"/>
                <w:b/>
                <w:bCs/>
                <w:color w:val="0F2D4A"/>
                <w:sz w:val="18"/>
                <w:szCs w:val="18"/>
              </w:rPr>
              <w:t xml:space="preserve">Appends</w:t>
            </w:r>
          </w:p>
        </w:tc>
        <w:tc>
          <w:tcPr>
            <w:tcW w:type="dxa" w:w="6560"/>
            <w:tcBorders>
              <w:top w:val="single" w:color="C8D0D8" w:sz="1"/>
              <w:left w:val="single" w:color="C8D0D8" w:sz="1"/>
              <w:bottom w:val="single" w:color="C8D0D8" w:sz="1"/>
              <w:right w:val="single" w:color="C8D0D8" w:sz="1"/>
            </w:tcBorders>
            <w:shd w:fill="FAFBFC" w:val="clear"/>
            <w:tcMar>
              <w:top w:type="dxa" w:w="80"/>
              <w:left w:type="dxa" w:w="120"/>
              <w:bottom w:type="dxa" w:w="80"/>
              <w:right w:type="dxa" w:w="120"/>
            </w:tcMar>
          </w:tcPr>
          <w:p>
            <w:r>
              <w:rPr>
                <w:rFonts w:ascii="Arial" w:cs="Arial" w:eastAsia="Arial" w:hAnsi="Arial"/>
                <w:color w:val="333333"/>
                <w:sz w:val="18"/>
                <w:szCs w:val="18"/>
              </w:rPr>
              <w:t xml:space="preserve">SYNTHOS_OPERATIONS_SPEC.md v1.0 and Addendum 1</w:t>
            </w:r>
          </w:p>
        </w:tc>
      </w:tr>
      <w:tr>
        <w:tc>
          <w:tcPr>
            <w:tcW w:type="dxa" w:w="2800"/>
            <w:tcBorders>
              <w:top w:val="single" w:color="C8D0D8" w:sz="1"/>
              <w:left w:val="single" w:color="C8D0D8" w:sz="1"/>
              <w:bottom w:val="single" w:color="C8D0D8" w:sz="1"/>
              <w:right w:val="single" w:color="C8D0D8" w:sz="1"/>
            </w:tcBorders>
            <w:shd w:fill="EAF2FB" w:val="clear"/>
            <w:tcMar>
              <w:top w:type="dxa" w:w="80"/>
              <w:left w:type="dxa" w:w="120"/>
              <w:bottom w:type="dxa" w:w="80"/>
              <w:right w:type="dxa" w:w="120"/>
            </w:tcMar>
          </w:tcPr>
          <w:p>
            <w:r>
              <w:rPr>
                <w:rFonts w:ascii="Arial" w:cs="Arial" w:eastAsia="Arial" w:hAnsi="Arial"/>
                <w:b/>
                <w:bCs/>
                <w:color w:val="0F2D4A"/>
                <w:sz w:val="18"/>
                <w:szCs w:val="18"/>
              </w:rPr>
              <w:t xml:space="preserve">Owner</w:t>
            </w:r>
          </w:p>
        </w:tc>
        <w:tc>
          <w:tcPr>
            <w:tcW w:type="dxa" w:w="65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Synthos Systems — Project Lead</w:t>
            </w:r>
          </w:p>
        </w:tc>
      </w:tr>
      <w:tr>
        <w:tc>
          <w:tcPr>
            <w:tcW w:type="dxa" w:w="2800"/>
            <w:tcBorders>
              <w:top w:val="single" w:color="C8D0D8" w:sz="1"/>
              <w:left w:val="single" w:color="C8D0D8" w:sz="1"/>
              <w:bottom w:val="single" w:color="C8D0D8" w:sz="1"/>
              <w:right w:val="single" w:color="C8D0D8" w:sz="1"/>
            </w:tcBorders>
            <w:shd w:fill="F5F8FA" w:val="clear"/>
            <w:tcMar>
              <w:top w:type="dxa" w:w="80"/>
              <w:left w:type="dxa" w:w="120"/>
              <w:bottom w:type="dxa" w:w="80"/>
              <w:right w:type="dxa" w:w="120"/>
            </w:tcMar>
          </w:tcPr>
          <w:p>
            <w:r>
              <w:rPr>
                <w:rFonts w:ascii="Arial" w:cs="Arial" w:eastAsia="Arial" w:hAnsi="Arial"/>
                <w:b/>
                <w:bCs/>
                <w:color w:val="0F2D4A"/>
                <w:sz w:val="18"/>
                <w:szCs w:val="18"/>
              </w:rPr>
              <w:t xml:space="preserve">Next Review</w:t>
            </w:r>
          </w:p>
        </w:tc>
        <w:tc>
          <w:tcPr>
            <w:tcW w:type="dxa" w:w="6560"/>
            <w:tcBorders>
              <w:top w:val="single" w:color="C8D0D8" w:sz="1"/>
              <w:left w:val="single" w:color="C8D0D8" w:sz="1"/>
              <w:bottom w:val="single" w:color="C8D0D8" w:sz="1"/>
              <w:right w:val="single" w:color="C8D0D8" w:sz="1"/>
            </w:tcBorders>
            <w:shd w:fill="FAFBFC" w:val="clear"/>
            <w:tcMar>
              <w:top w:type="dxa" w:w="80"/>
              <w:left w:type="dxa" w:w="120"/>
              <w:bottom w:type="dxa" w:w="80"/>
              <w:right w:type="dxa" w:w="120"/>
            </w:tcMar>
          </w:tcPr>
          <w:p>
            <w:r>
              <w:rPr>
                <w:rFonts w:ascii="Arial" w:cs="Arial" w:eastAsia="Arial" w:hAnsi="Arial"/>
                <w:color w:val="333333"/>
                <w:sz w:val="18"/>
                <w:szCs w:val="18"/>
              </w:rPr>
              <w:t xml:space="preserve">When Phase 2 hardware acquired or governance layer enters implementation</w:t>
            </w:r>
          </w:p>
        </w:tc>
      </w:tr>
    </w:tbl>
    <w:p>
      <w:pPr>
        <w:spacing w:before="40" w:after="40"/>
      </w:pPr>
    </w:p>
    <w:p>
      <w:pPr>
        <w:pBdr>
          <w:top w:val="single" w:color="BDC3C7" w:sz="2"/>
        </w:pBdr>
        <w:spacing w:before="200"/>
        <w:jc w:val="center"/>
      </w:pPr>
      <w:r>
        <w:rPr>
          <w:rFonts w:ascii="Arial" w:cs="Arial" w:eastAsia="Arial" w:hAnsi="Arial"/>
          <w:i/>
          <w:iCs/>
          <w:color w:val="AAAAAA"/>
          <w:sz w:val="18"/>
          <w:szCs w:val="18"/>
        </w:rPr>
        <w:t xml:space="preserve">END OF DOCUMENT — OPS-ADD-002 v1.0</w:t>
      </w:r>
    </w:p>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4"/>
      </w:pBdr>
    </w:pPr>
    <w:r>
      <w:rPr>
        <w:rFonts w:ascii="Arial" w:cs="Arial" w:eastAsia="Arial" w:hAnsi="Arial"/>
        <w:color w:val="888888"/>
        <w:sz w:val="16"/>
        <w:szCs w:val="16"/>
      </w:rPr>
      <w:t xml:space="preserve">Synthos Systems — Internal Policy Addendum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E72" w:sz="4" w:space="4"/>
      </w:pBdr>
      <w:spacing w:before="0" w:after="80"/>
    </w:pPr>
    <w:r>
      <w:rPr>
        <w:rFonts w:ascii="Arial" w:cs="Arial" w:eastAsia="Arial" w:hAnsi="Arial"/>
        <w:color w:val="AAAAAA"/>
        <w:sz w:val="16"/>
        <w:szCs w:val="16"/>
      </w:rPr>
      <w:t xml:space="preserve">SYNTHOS SYSTEMS  |  </w:t>
    </w:r>
    <w:r>
      <w:rPr>
        <w:rFonts w:ascii="Arial" w:cs="Arial" w:eastAsia="Arial" w:hAnsi="Arial"/>
        <w:b/>
        <w:bCs/>
        <w:color w:val="0F2D4A"/>
        <w:sz w:val="16"/>
        <w:szCs w:val="16"/>
      </w:rPr>
      <w:t xml:space="preserve">Operations Spec — Addendum 2  •  OPS-ADD-002</w:t>
    </w:r>
    <w:r>
      <w:rPr>
        <w:rFonts w:ascii="Arial" w:cs="Arial" w:eastAsia="Arial" w:hAnsi="Arial"/>
        <w:color w:val="C0392B"/>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F2D4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D6E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2026-03-27T10:26:33.173Z</dcterms:created>
  <dcterms:modified xsi:type="dcterms:W3CDTF">2026-03-27T10:26:33.174Z</dcterms:modified>
</cp:coreProperties>
</file>

<file path=docProps/custom.xml><?xml version="1.0" encoding="utf-8"?>
<Properties xmlns="http://schemas.openxmlformats.org/officeDocument/2006/custom-properties" xmlns:vt="http://schemas.openxmlformats.org/officeDocument/2006/docPropsVTypes"/>
</file>