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4A" w:val="clear"/>
        <w:spacing w:before="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0F2D4A" w:val="clear"/>
        <w:spacing w:before="40" w:after="0"/>
        <w:jc w:val="center"/>
      </w:pPr>
      <w:r>
        <w:rPr>
          <w:rFonts w:ascii="Arial" w:cs="Arial" w:eastAsia="Arial" w:hAnsi="Arial"/>
          <w:b/>
          <w:bCs/>
          <w:caps/>
          <w:color w:val="88CCEE"/>
          <w:sz w:val="18"/>
          <w:szCs w:val="18"/>
        </w:rPr>
        <w:t xml:space="preserve">SYNTHOS SYSTEMS — ADDENDUM</w:t>
      </w:r>
    </w:p>
    <w:p>
      <w:pPr>
        <w:shd w:fill="0F2D4A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RAP-001 — Addendum 1</w:t>
      </w:r>
    </w:p>
    <w:p>
      <w:pPr>
        <w:shd w:fill="0F2D4A" w:val="clear"/>
        <w:spacing w:before="0" w:after="60"/>
        <w:jc w:val="center"/>
      </w:pPr>
      <w:r>
        <w:rPr>
          <w:rFonts w:ascii="Arial" w:cs="Arial" w:eastAsia="Arial" w:hAnsi="Arial"/>
          <w:i/>
          <w:iCs/>
          <w:color w:val="88CCEE"/>
          <w:sz w:val="22"/>
          <w:szCs w:val="22"/>
        </w:rPr>
        <w:t xml:space="preserve">Baseline Values, Operator Definition, Kill Switch, and Source Discovery Lock</w:t>
      </w:r>
    </w:p>
    <w:p>
      <w:pPr>
        <w:shd w:fill="0F2D4A" w:val="clear"/>
        <w:spacing w:before="0" w:after="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Appends: RAP-001 Research Agent Access Policy v1.0</w:t>
      </w:r>
    </w:p>
    <w:tbl>
      <w:tblPr>
        <w:tblW w:type="dxa" w:w="936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Doc ID
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RAP-001-ADD-001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Version
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Date
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March 27, 2026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Status
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ACTIVE</w:t>
            </w:r>
          </w:p>
        </w:tc>
      </w:tr>
    </w:tbl>
    <w:p>
      <w:pPr>
        <w:shd w:fill="0F2D4A" w:val="clear"/>
        <w:spacing w:before="0" w:after="20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1. Purpose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v1.0 correctly established policy principles but deliberately left several values undefined, noting that Phase 1 testing had not yet produced the data needed to set them with confidence. This addendum fills those gaps with baseline values, defines the roles and mechanisms that RAP-001 assumed but did not specify, and records the source discovery lock decision.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values in this addendum are baselines. They are expected to be tuned based on the harness data described in OPS-ADD-002 Section 6. When a value is adjusted by tuning, this addendum is superseded by a new version — it is not edited in place.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2. Definition of 'Operator'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references the operator throughout as the authority for approvals, escalations, and reviews. This section defines what that means in the Synthos context.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2.1 Primary Operator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primary operator is the project lead. The project lead is the sole authority for all decisions described in RAP-001 as requiring operator approval, including source additions, scope expansions, and policy exceptions. There is currently one primary operator.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2.2 Operator Unavailability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operator is unavailable (not reachable within 4 hours during market hours, or 24 hours outside market hours), agents must not self-authorize decisions that require operator approval. The following rules apply during operator unavailability: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Fail-safe conditions that have triggered must remain in the halted state — they do not self-resolve on a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Sources paused due to repeated failures remain paused — they do not auto-resume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 sources discovered during the operator's absence remain in the candidate queue — they are not auto-approved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morning report flags operator unavailability if it persists beyond 24 hours</w:t>
      </w:r>
    </w:p>
    <w:p>
      <w:pPr>
        <w:pBdr>
          <w:left w:val="single" w:color="D35400" w:sz="12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There is no automatic resolution for any item that requires operator approval. The system waits. This is by design — the alternative is agents self-authorizing, which is what these rules exist to prevent.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2.3 Operator Identity in Logs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approvals, resolutions, and policy exceptions must be logged with the approver identity as 'project_lead' and a UTC timestamp. There is no anonymous approval. If an action cannot be attributed to the project lead in the log, it was not authorized.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3. Cache Validity Windows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Section 3 required caching but did not define validity windows. The following values apply. These are the same values specified in OPS-ADD-002 Section 5 and are reproduced here for policy completeness.</w:t>
      </w:r>
    </w:p>
    <w:tbl>
      <w:tblPr>
        <w:tblW w:type="dxa" w:w="9360"/>
      </w:tblPr>
      <w:tblGrid>
        <w:gridCol w:w="2400"/>
        <w:gridCol w:w="1560"/>
        <w:gridCol w:w="144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Category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Polling Interval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Validity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Congress.gov disclosures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 gap allows fetch to complete before expiry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 EDGAR RSS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 gap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Federal Register API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 gap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Capitol Trades aggregator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 gap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news RSS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 gap — faster cadence, tighter window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news RSS</w:t>
            </w:r>
          </w:p>
        </w:tc>
        <w:tc>
          <w:tcPr>
            <w:tcW w:type="dxa" w:w="1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min</w:t>
            </w:r>
          </w:p>
        </w:tc>
        <w:tc>
          <w:tcPr>
            <w:tcW w:type="dxa" w:w="39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 gap</w:t>
            </w:r>
          </w:p>
        </w:tc>
      </w:tr>
    </w:tbl>
    <w:p>
      <w:pPr>
        <w:spacing w:before="40" w:after="40"/>
      </w:pPr>
    </w:p>
    <w:p>
      <w:pPr>
        <w:pBdr>
          <w:left w:val="single" w:color="C0392B" w:sz="12"/>
        </w:pBdr>
        <w:shd w:fill="FDEDE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Cache validity must never equal the polling interval. A validity window equal to the interval creates a race condition: the cache expires exactly as the next fetch begins, and any consumer requesting data in that window gets a stale-cache error rather than served data. Always set validity at least 3 minutes shorter than the interval.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3.1 Cache Validity Check Implementation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validity check at fetch time must use the timestamp the data was written to cache, not the timestamp of the data itself. A piece of data published three hours ago that was fetched and cached five minutes ago is valid if the cache window is 25 minutes. The check is: now - cache_write_timestamp &lt; validity_window.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4. Kill Switch Mechanism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Section 10 required agents to check for and comply with a system-wide kill switch. The mechanism is defined here.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4.1 Kill Switch Implementation</w:t>
      </w:r>
    </w:p>
    <w:tbl>
      <w:tblPr>
        <w:tblW w:type="dxa" w:w="9360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Kill switch file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data/governance/system_state.json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Checked by agents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startup, and at the start of every fetch loop iteration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Check interval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fetch cycle — not on a separate timer. An agent that is sleeping between fetches checks on wake.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 "status": "RUNNING" | "PAUSED" | "HALT", "reason": string, "issued_at": ISO UTC, "issued_by": string }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RUNNING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operation. No restriction.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PAUSED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current fetch if mid-request. Do not begin new fetches. Log status. Check again on next cycle.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HALT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immediately. Do not complete current fetch if safely interruptible. Log status. Do not resume without RUNNING signal.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Who can issue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lead only. Written manually to the file or via governance layer command interface.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Agent behavior if file missing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Treat as RUNNING — absence of kill switch is normal operation. Log a warning if file has been absent for more than 24 hours.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6E72"/>
          <w:sz w:val="26"/>
          <w:szCs w:val="26"/>
        </w:rPr>
        <w:t xml:space="preserve">4.2 Kill Switch Failure Mode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file system is unavailable and the kill switch file cannot be read, agents must treat this as PAUSED — not RUNNING. An agent that cannot confirm the system state is authorized to operate should default to not operating. This is the conservative safe behavior.</w:t>
      </w:r>
    </w:p>
    <w:p>
      <w:pPr>
        <w:pBdr>
          <w:left w:val="single" w:color="C0392B" w:sz="12"/>
        </w:pBdr>
        <w:shd w:fill="FDEDE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that defaults to RUNNING when it cannot read the kill switch file is unsafe. The correct default when state is unknown is PAUSED.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5. Source Stress Thresholds — Numeric Definition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referenced 'source stress' and 'unusual error rate spikes' without defining thresholds. The following values apply:</w:t>
      </w:r>
    </w:p>
    <w:tbl>
      <w:tblPr>
        <w:tblW w:type="dxa" w:w="9360"/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Response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429 response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occurrence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2x backoff immediately. Log. If 3 occur within one polling cycle, pause source and flag.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5xx error rate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&gt;10% of requests in a 30-minute window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polling to 2x normal interval. Log. If persists &gt;1 hour, pause and flag.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timeout rate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&gt;15% of requests timeout in a 30-minute window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polling to 2x normal interval. Log. Flag for operator review.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time p95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&gt;10 seconds (vs. normal &lt;2 seconds)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as anomaly. Do not increase polling. Flag in next morning report.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Consecutive failures</w:t>
            </w:r>
          </w:p>
        </w:tc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in a row</w:t>
            </w:r>
          </w:p>
        </w:tc>
        <w:tc>
          <w:tcPr>
            <w:tcW w:type="dxa" w:w="4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Pause source. Write to fail_safe_queue. Flag for operator review.</w:t>
            </w:r>
          </w:p>
        </w:tc>
      </w:tr>
    </w:tbl>
    <w:p>
      <w:pPr>
        <w:spacing w:before="40" w:after="40"/>
      </w:pPr>
    </w:p>
    <w:p>
      <w:pPr>
        <w:pBdr>
          <w:left w:val="single" w:color="D35400" w:sz="12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These thresholds are starting points. The tuning harness (OPS-ADD-002 Section 6) will produce observed baseline error rates per source. Once baselines are established, thresholds should be set relative to each source's normal behavior rather than as absolute values.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6. Corroboration Field — Revised from Boolean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output schema defined 'corroborated' as a boolean. This is insufficient. Corroborated by one independent Tier 1 source is materially different from corroborated by three Tier 4 sources. The field is replaced as follows:</w:t>
      </w:r>
    </w:p>
    <w:tbl>
      <w:tblPr>
        <w:tblW w:type="dxa" w:w="9360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Field name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corroboration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(replaces boolean)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corroboration.confirmed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 — has any independent source confirmed this signal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corroboration.source_count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— number of independent sources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corroboration.highest_tier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1–5 — the highest (lowest number) tier among corroborating sources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corroboration.sources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source URLs or identifiers that corroborate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corroboration.independence_verified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 — have sources been checked to confirm they do not share a common upstream</w:t>
            </w:r>
          </w:p>
        </w:tc>
      </w:tr>
    </w:tbl>
    <w:p>
      <w:pPr>
        <w:spacing w:before="40" w:after="40"/>
      </w:pPr>
    </w:p>
    <w:p>
      <w:pPr>
        <w:pBdr>
          <w:left w:val="single" w:color="D35400" w:sz="12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 sources that both cite the same wire service as their original source are not independent corroboration. independence_verified must be explicitly set, not assumed.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7. Source Discovery Lock — Policy Record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discovery by agents is locked. This is a policy decision, not a temporary technical limitation. The lock is enforced by a hard flag in source_registry.json (discovery_enabled: false) that agents read at startup.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rationale: the primary source list has not been fully exercised. Allowing agents to discover new sources while calibrating existing ones adds noise to a calibration that is still in progress. The lock is appropriate for the current phase and will be reconsidered when the conditions in OPS-ADD-002 Section 7.3 are met.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 that discover candidate sources during normal operation must write them to governance/source_candidates.json. Silently discarding discoveries is not acceptable — the candidate queue is how the operator maintains awareness of what the system is finding without authorizing premature collection.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8. Violation Severity — MEDIUM Escalation Counter</w:t>
      </w:r>
    </w:p>
    <w:p>
      <w:pPr>
        <w:spacing w:before="60" w:after="60" w:line="340" w:lineRule="auto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RAP-001 enforcement section defined MEDIUM violations as requiring only 'log and flag for review.' This was identified as insufficient — it creates no functional distinction between a one-time ambiguous situation and a pattern of repeated policy violations. The following escalation rule is added:</w:t>
      </w:r>
    </w:p>
    <w:tbl>
      <w:tblPr>
        <w:tblW w:type="dxa" w:w="9360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Counter scope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agent, per violation type, rolling 7-day window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MEDIUM violation count 1–2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and flag as before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MEDIUM violation count 3–4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Escalate to HIGH: halt affected behavior and flag for operator review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MEDIUM violation count 5+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Escalate to CRITICAL: halt agent entirely and flag for immediate operator review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Counter reset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Counter resets to 0 when the operator reviews and resolves the flag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Counter persistence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Counters survive agent restarts — stored in governance/violation_counters.json</w:t>
            </w:r>
          </w:p>
        </w:tc>
      </w:tr>
    </w:tbl>
    <w:p>
      <w:pPr>
        <w:spacing w:before="40" w:after="40"/>
      </w:pPr>
    </w:p>
    <w:p>
      <w:pPr>
        <w:pBdr>
          <w:left w:val="single" w:color="D35400" w:sz="12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pattern of MEDIUM violations is operationally more dangerous than a single CRITICAL violation. Single CRITICAL events are usually environmental — source stress, network issues. Repeated MEDIUM violations suggest a systematic behavior problem in the agent that needs correction.</w:t>
      </w:r>
    </w:p>
    <w:p>
      <w:pPr>
        <w:pStyle w:val="Heading1"/>
        <w:pBdr>
          <w:bottom w:val="single" w:color="0D6E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2D4A"/>
          <w:sz w:val="32"/>
          <w:szCs w:val="32"/>
        </w:rPr>
        <w:t xml:space="preserve">9. Document Control</w:t>
      </w:r>
    </w:p>
    <w:tbl>
      <w:tblPr>
        <w:tblW w:type="dxa" w:w="9360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RAP-001-ADD-001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March 27, 2026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Appends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RAP-001 Research Agent Access Policy v1.0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Synthos Systems — Operations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first tuning harness cycle completes (approx. 2 weeks post-implementation)</w:t>
            </w:r>
          </w:p>
        </w:tc>
      </w:tr>
    </w:tbl>
    <w:p>
      <w:pPr>
        <w:spacing w:before="40" w:after="40"/>
      </w:pPr>
    </w:p>
    <w:p>
      <w:pPr>
        <w:pBdr>
          <w:top w:val="single" w:color="BDC3C7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— RAP-001-ADD-001 v1.0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Synthos Systems — Internal Policy Addendum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72" w:sz="4" w:space="4"/>
      </w:pBdr>
      <w:spacing w:before="0" w:after="80"/>
    </w:pPr>
    <w:r>
      <w:rPr>
        <w:rFonts w:ascii="Arial" w:cs="Arial" w:eastAsia="Arial" w:hAnsi="Arial"/>
        <w:color w:val="AAAAAA"/>
        <w:sz w:val="16"/>
        <w:szCs w:val="16"/>
      </w:rPr>
      <w:t xml:space="preserve">SYNTHOS SYSTEMS  |  </w:t>
    </w:r>
    <w:r>
      <w:rPr>
        <w:rFonts w:ascii="Arial" w:cs="Arial" w:eastAsia="Arial" w:hAnsi="Arial"/>
        <w:b/>
        <w:bCs/>
        <w:color w:val="0F2D4A"/>
        <w:sz w:val="16"/>
        <w:szCs w:val="16"/>
      </w:rPr>
      <w:t xml:space="preserve">RAP-001 Addendum 1  •  RAP-001-ADD-001</w:t>
    </w:r>
    <w:r>
      <w:rPr>
        <w:rFonts w:ascii="Arial" w:cs="Arial" w:eastAsia="Arial" w:hAnsi="Arial"/>
        <w:color w:val="C0392B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2D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6E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2026-03-27T10:26:33.216Z</dcterms:created>
  <dcterms:modified xsi:type="dcterms:W3CDTF">2026-03-27T10:26:33.216Z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