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7C3AED"/>
          <w:sz w:val="24"/>
        </w:rPr>
        <w:t>THE ROI PLAYBOOK</w:t>
      </w:r>
    </w:p>
    <w:p>
      <w:pPr>
        <w:spacing w:after="0"/>
        <w:jc w:val="center"/>
      </w:pPr>
      <w:r>
        <w:rPr>
          <w:rFonts w:ascii="Calibri" w:hAnsi="Calibri"/>
          <w:b/>
          <w:i w:val="0"/>
          <w:color w:val="1A1A2E"/>
          <w:sz w:val="60"/>
        </w:rPr>
        <w:t>Save 20X on Your AI Bills.</w:t>
      </w:r>
    </w:p>
    <w:p>
      <w:pPr>
        <w:jc w:val="center"/>
      </w:pPr>
      <w:r>
        <w:rPr>
          <w:rFonts w:ascii="Calibri" w:hAnsi="Calibri"/>
          <w:b/>
          <w:i w:val="0"/>
          <w:color w:val="4F46E5"/>
          <w:sz w:val="60"/>
        </w:rPr>
        <w:t>20X Your AI Investment.</w:t>
      </w:r>
    </w:p>
    <w:p>
      <w:pPr>
        <w:spacing w:before="200"/>
        <w:jc w:val="center"/>
      </w:pPr>
      <w:r>
        <w:rPr>
          <w:rFonts w:ascii="Calibri" w:hAnsi="Calibri"/>
          <w:b w:val="0"/>
          <w:i/>
          <w:color w:val="55576B"/>
          <w:sz w:val="25"/>
        </w:rPr>
        <w:t>How an army of governed AI agents — running inside your CRM on Personize memory —</w:t>
        <w:br/>
        <w:t>pays less per unit of work, earns more from every customer, and is trusted to run at scale.</w:t>
      </w:r>
    </w:p>
    <w:p/>
    <w:p/>
    <w:p>
      <w:pPr>
        <w:jc w:val="center"/>
      </w:pPr>
      <w:r>
        <w:rPr>
          <w:rFonts w:ascii="Calibri" w:hAnsi="Calibri"/>
          <w:b/>
          <w:i w:val="0"/>
          <w:color w:val="1A1A2E"/>
          <w:sz w:val="22"/>
        </w:rPr>
        <w:t>Chapter 1  Cost   ·   Chapter 2  Conversions   ·   Chapter 3  Trust at Scale</w:t>
      </w:r>
    </w:p>
    <w:p/>
    <w:p>
      <w:pPr>
        <w:spacing w:after="40" w:before="160"/>
      </w:pPr>
      <w:r>
        <w:rPr>
          <w:rFonts w:ascii="Calibri" w:hAnsi="Calibri"/>
          <w:b/>
          <w:i w:val="0"/>
          <w:color w:val="1A1A2E"/>
          <w:sz w:val="26"/>
        </w:rPr>
        <w:t>The 20X thesis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1A1A2E"/>
          <w:sz w:val="21"/>
        </w:rPr>
        <w:t>"20X" isn't one lever — it's three multipliers that compound: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9"/>
              </w:rPr>
              <w:t>Multiplier</w:t>
            </w:r>
          </w:p>
        </w:tc>
        <w:tc>
          <w:tcPr>
            <w:tcW w:type="dxa" w:w="5616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9"/>
              </w:rPr>
              <w:t>What it does</w:t>
            </w:r>
          </w:p>
        </w:tc>
        <w:tc>
          <w:tcPr>
            <w:tcW w:type="dxa" w:w="1728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9"/>
              </w:rPr>
              <w:t>Covered in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**Pay less per unit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Compaction + caching + batch + model routing cut the cost of every agent action by up to ~20X.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Chapter 1</w:t>
            </w:r>
          </w:p>
        </w:tc>
      </w:tr>
      <w:tr>
        <w:tc>
          <w:tcPr>
            <w:tcW w:type="dxa" w:w="230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**Earn fresh revenue</w:t>
            </w:r>
          </w:p>
        </w:tc>
        <w:tc>
          <w:tcPr>
            <w:tcW w:type="dxa" w:w="56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A 10–20% revenue lift and lower churn from the customers and infrastructure you already have — $10–20M a year on a $100M book.</w:t>
            </w:r>
          </w:p>
        </w:tc>
        <w:tc>
          <w:tcPr>
            <w:tcW w:type="dxa" w:w="1728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Chapter 2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**Run more units, safely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Governance, error prevention, and audit make it safe to run thousands of agents unattended.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Chapter 3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55576B"/>
          <w:sz w:val="19"/>
        </w:rPr>
        <w:t>Cost down × value up × volume up. Each chapter stands on published data and the cost model from the companion walkthrough — and closes with a combined ROI you can adapt to your own numbers.</w:t>
      </w:r>
    </w:p>
    <w:p>
      <w:pPr>
        <w:spacing w:after="40"/>
      </w:pPr>
      <w:r>
        <w:rPr>
          <w:rFonts w:ascii="Calibri" w:hAnsi="Calibri"/>
          <w:b/>
          <w:i w:val="0"/>
          <w:color w:val="7C3AED"/>
          <w:sz w:val="22"/>
        </w:rPr>
        <w:t>CHAPTER 1</w:t>
      </w:r>
    </w:p>
    <w:p>
      <w:pPr>
        <w:spacing w:before="0" w:after="60"/>
      </w:pPr>
      <w:r>
        <w:rPr>
          <w:rFonts w:ascii="Calibri" w:hAnsi="Calibri"/>
          <w:b/>
          <w:i w:val="0"/>
          <w:color w:val="1A1A2E"/>
          <w:sz w:val="40"/>
        </w:rPr>
        <w:t>Save up to 20X on your AI bills</w:t>
      </w:r>
    </w:p>
    <w:p>
      <w:pPr>
        <w:spacing w:after="120"/>
      </w:pPr>
      <w:r>
        <w:rPr>
          <w:rFonts w:ascii="Calibri" w:hAnsi="Calibri"/>
          <w:b w:val="0"/>
          <w:i/>
          <w:color w:val="55576B"/>
          <w:sz w:val="23"/>
        </w:rPr>
        <w:t>Benchmarked on Personize's own live pricing and today's published model rates — not a projection.</w:t>
      </w:r>
    </w:p>
    <w:p>
      <w:pPr>
        <w:spacing w:after="160"/>
        <w:pBdr>
          <w:bottom w:val="single" w:sz="18" w:space="1" w:color="4F46E5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An AI agent without a memory layer pays the same expensive bill on every run: it pulls a large context from the CRM and the web and ships it to the model again and again. Personize reads each record once, extracts a compact memory, and serves it back for a flat price. On Personize's public calculator that returns up to ~23x more work per dollar — about 20X — and the math traces to current, verifiable rates.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Start with the tokens: what an agent reads per record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Cost begins with tokens. Before an agent can score, write, or decide, it has to read the record's context. Using Personize's published token estimates (~350 tokens per page, ~250 words per page):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752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What the agent reads</w:t>
            </w:r>
          </w:p>
        </w:tc>
        <w:tc>
          <w:tcPr>
            <w:tcW w:type="dxa" w:w="2160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Typical size</w:t>
            </w:r>
          </w:p>
        </w:tc>
        <w:tc>
          <w:tcPr>
            <w:tcW w:type="dxa" w:w="2016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Tokens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CRM note (brief)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~0.5 page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~200</w:t>
            </w:r>
          </w:p>
        </w:tc>
      </w:tr>
      <w:tr>
        <w:tc>
          <w:tcPr>
            <w:tcW w:type="dxa" w:w="475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Single email</w:t>
            </w:r>
          </w:p>
        </w:tc>
        <w:tc>
          <w:tcPr>
            <w:tcW w:type="dxa" w:w="2160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~1 page</w:t>
            </w:r>
          </w:p>
        </w:tc>
        <w:tc>
          <w:tcPr>
            <w:tcW w:type="dxa" w:w="20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~400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Short call notes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~2 pages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~700</w:t>
            </w:r>
          </w:p>
        </w:tc>
      </w:tr>
      <w:tr>
        <w:tc>
          <w:tcPr>
            <w:tcW w:type="dxa" w:w="475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Contact record (CRM + emails + notes)</w:t>
            </w:r>
          </w:p>
        </w:tc>
        <w:tc>
          <w:tcPr>
            <w:tcW w:type="dxa" w:w="2160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~5 pages</w:t>
            </w:r>
          </w:p>
        </w:tc>
        <w:tc>
          <w:tcPr>
            <w:tcW w:type="dxa" w:w="20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~1,750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Email thread (5–8 emails)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~5 pages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~2,000</w:t>
            </w:r>
          </w:p>
        </w:tc>
      </w:tr>
      <w:tr>
        <w:tc>
          <w:tcPr>
            <w:tcW w:type="dxa" w:w="475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Company profile (website, LinkedIn, news)</w:t>
            </w:r>
          </w:p>
        </w:tc>
        <w:tc>
          <w:tcPr>
            <w:tcW w:type="dxa" w:w="2160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~10 pages</w:t>
            </w:r>
          </w:p>
        </w:tc>
        <w:tc>
          <w:tcPr>
            <w:tcW w:type="dxa" w:w="20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~3,500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Meeting transcript (30 min)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~10 pages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~4,000</w:t>
            </w:r>
          </w:p>
        </w:tc>
      </w:tr>
      <w:tr>
        <w:tc>
          <w:tcPr>
            <w:tcW w:type="dxa" w:w="475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Meeting transcript (60 min)</w:t>
            </w:r>
          </w:p>
        </w:tc>
        <w:tc>
          <w:tcPr>
            <w:tcW w:type="dxa" w:w="2160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~22 pages</w:t>
            </w:r>
          </w:p>
        </w:tc>
        <w:tc>
          <w:tcPr>
            <w:tcW w:type="dxa" w:w="20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~8,000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PDF report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~20 pages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~7,000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0"/>
        </w:rPr>
        <w:t>To actually work one account, an agent stitches several of these together — the contact record, the company profile, an email thread, one or two call transcripts, recent notes, and fresh web research. That is ~20,000–40,000 tokens for a typical account, and up to ~58,000 for a heavily-engaged one — read cold, by every agent, every time. Multiply by your records and your fleet and the bill is enormous.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What you pay with Personize (live pricing)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Personize doesn't re-read all of that on each call. The public calculator at personize.ai/pricing/api charges a flat, compact price: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Memorize — </w:t>
      </w:r>
      <w:r>
        <w:rPr>
          <w:rFonts w:ascii="Calibri" w:hAnsi="Calibri"/>
          <w:b w:val="0"/>
          <w:i w:val="0"/>
          <w:color w:val="1A1A2E"/>
          <w:sz w:val="21"/>
        </w:rPr>
        <w:t>$0.003 per 1,000 input tokens to memorize a record — read and extract it, one time.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Recall — </w:t>
      </w:r>
      <w:r>
        <w:rPr>
          <w:rFonts w:ascii="Calibri" w:hAnsi="Calibri"/>
          <w:b w:val="0"/>
          <w:i w:val="0"/>
          <w:color w:val="1A1A2E"/>
          <w:sz w:val="21"/>
        </w:rPr>
        <w:t>$0.001 per agent recall — flat, no matter how large the underlying context.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0"/>
        </w:rPr>
        <w:t>A recall that would cost cents in raw LLM tokens costs a tenth of a cent — and it's the same $0.001 whether the record holds two pages or two hundred.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The savings vs running raw on frontier models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Compared with an agent that fetches raw context and runs it through a frontier model itself, compact recall is dramatically cheaper. At today's verified frontier rates — Claude Opus 4.8 $5/$25, Sonnet 4.6 $3/$15, GPT-5.5 $5/$30 per 1M tokens (in/out) — one 5-page (~1,750-token) recall with a 500-token answer costs: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40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recall_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0"/>
        </w:rPr>
        <w:t>That is the engine behind the headline. On Personize's calculator the default workload returns up to ~23x more work per dollar: memorization saves up to ~65% vs raw LLM processing, and compact recall saves up to ~85% of the context tokens. Even against the cheapest frontier tier the gap is ~13x; on the premium models serious agents actually use, it clears 20x.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E5"/>
            <w:tcBorders>
              <w:left w:val="single" w:sz="24" w:space="0" w:color="B95E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B95E00"/>
                <w:sz w:val="19"/>
              </w:rPr>
              <w:t xml:space="preserve">AND THE LEVERS STACK   </w:t>
            </w: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Prompt caching cuts cached input by 90% and the Batch API cuts input + output by 50% — Anthropic and OpenAI both publish these. Applied on top of compaction, they push the effective saving past 20X — exactly the regime Personize's calculator lands in.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It compounds — capture once, recall many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A record is touched by ~10 agents over its life (research, scoring, outreach, reply analysis, briefs, call summaries, strategy). Cold, every agent re-reads the full ~20–58K-token context. With Personize the first touch memorizes; every later agent pays $0.001 to recall a compact memory. Cold cost grows linearly with each agent added; the Personize cost stays nearly flat — so the gap widens with the fleet. (Full compounding curve: Appendix A–F of the walkthrough deck.)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Why this is the difference between scaling and a canceled project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0"/>
        </w:rPr>
        <w:t>Gartner predicts over 40% of agentic-AI projects will be canceled by end of 2027 — the leading cause being escalating cost, with hidden compute ballooning 2–3x beyond estimates. Re-reading raw context on every run is exactly that hidden cost. And it compounds with another: Gartner puts poor data quality at $12.9M/yr for the average organization, with MIT Sloan finding 15–25% of revenue lost to it. A flat, compact price grounded in clean memory attacks both.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5F0"/>
            <w:tcBorders>
              <w:left w:val="single" w:sz="24" w:space="0" w:color="0E907A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E907A"/>
                <w:sz w:val="19"/>
              </w:rPr>
              <w:t xml:space="preserve">CHAPTER 1 TAKEAWAY   </w:t>
            </w: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On Personize's own live pricing, compact memory returns up to ~23x more work per dollar — about 20X cheaper than running raw context through frontier models — and the compounding lifecycle widens the gap with every agent you add. That is the 'save 20X on your AI bills' half of the equation.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7C3AED"/>
          <w:sz w:val="22"/>
        </w:rPr>
        <w:t>CHAPTER 2</w:t>
      </w:r>
    </w:p>
    <w:p>
      <w:pPr>
        <w:spacing w:before="0" w:after="60"/>
      </w:pPr>
      <w:r>
        <w:rPr>
          <w:rFonts w:ascii="Calibri" w:hAnsi="Calibri"/>
          <w:b/>
          <w:i w:val="0"/>
          <w:color w:val="1A1A2E"/>
          <w:sz w:val="40"/>
        </w:rPr>
        <w:t>Earn 10–20% fresh revenue on the same infrastructure</w:t>
      </w:r>
    </w:p>
    <w:p>
      <w:pPr>
        <w:spacing w:after="120"/>
      </w:pPr>
      <w:r>
        <w:rPr>
          <w:rFonts w:ascii="Calibri" w:hAnsi="Calibri"/>
          <w:b w:val="0"/>
          <w:i/>
          <w:color w:val="55576B"/>
          <w:sz w:val="23"/>
        </w:rPr>
        <w:t>A modest lift on a real revenue base. On a $100M book, that's $10–20M a year.</w:t>
      </w:r>
    </w:p>
    <w:p>
      <w:pPr>
        <w:spacing w:after="160"/>
        <w:pBdr>
          <w:bottom w:val="single" w:sz="18" w:space="1" w:color="4F46E5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Cheaper agents are only half the return; the other half is what they earn. Personalization and proactive selling reliably add 10–20% fresh revenue when every customer gets the attention a great rep reserves for their top three accounts. The leverage here: the same agents already running to cut your AI bill (Chapter 1) are the ones finding the upsell and catching the churn — new revenue from infrastructure you already pay for, with no new headcount.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What a 10–20% lift is actually worth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Personalization reliably lifts revenue 10–15% (McKinsey) and AI next-best-action has grown pipeline by 20%+ of total revenue (McKinsey). Applied to revenue you already have: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Your revenue</w:t>
            </w:r>
          </w:p>
        </w:tc>
        <w:tc>
          <w:tcPr>
            <w:tcW w:type="dxa" w:w="1728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Fresh revenue +10%</w:t>
            </w:r>
          </w:p>
        </w:tc>
        <w:tc>
          <w:tcPr>
            <w:tcW w:type="dxa" w:w="1728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Fresh revenue +20%</w:t>
            </w:r>
          </w:p>
        </w:tc>
        <w:tc>
          <w:tcPr>
            <w:tcW w:type="dxa" w:w="2016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Annual churn lost (~5%)</w:t>
            </w:r>
          </w:p>
        </w:tc>
        <w:tc>
          <w:tcPr>
            <w:tcW w:type="dxa" w:w="2592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Recovered by AI (15–25% less churn)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$10M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$1.0M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$2.0M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$500K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$75K–125K / yr</w:t>
            </w:r>
          </w:p>
        </w:tc>
      </w:tr>
      <w:tr>
        <w:tc>
          <w:tcPr>
            <w:tcW w:type="dxa" w:w="1440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$100M</w:t>
            </w:r>
          </w:p>
        </w:tc>
        <w:tc>
          <w:tcPr>
            <w:tcW w:type="dxa" w:w="1728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$10M</w:t>
            </w:r>
          </w:p>
        </w:tc>
        <w:tc>
          <w:tcPr>
            <w:tcW w:type="dxa" w:w="1728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$20M</w:t>
            </w:r>
          </w:p>
        </w:tc>
        <w:tc>
          <w:tcPr>
            <w:tcW w:type="dxa" w:w="20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$5.0M</w:t>
            </w:r>
          </w:p>
        </w:tc>
        <w:tc>
          <w:tcPr>
            <w:tcW w:type="dxa" w:w="259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$750K–1.25M / yr</w:t>
            </w:r>
          </w:p>
        </w:tc>
      </w:tr>
    </w:tbl>
    <w:p>
      <w:pPr>
        <w:spacing w:after="4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40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freshr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Calibri" w:hAnsi="Calibri"/>
          <w:b w:val="0"/>
          <w:i w:val="0"/>
          <w:color w:val="55576B"/>
          <w:sz w:val="18"/>
        </w:rPr>
        <w:t>Churn loss assumes ~5% annual revenue churn (B2B SaaS averages ~4.9%; SMB 3–5%, enterprise 1–2%). AI churn-prediction studies report 15–25% churn reduction — recurring revenue that compounds, since a 5% retention gain lifts profit 25–95% (Bain).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The cost of churn — and how much AI takes back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Churn is the silent leak — </w:t>
      </w:r>
      <w:r>
        <w:rPr>
          <w:rFonts w:ascii="Calibri" w:hAnsi="Calibri"/>
          <w:b w:val="0"/>
          <w:i w:val="0"/>
          <w:color w:val="1A1A2E"/>
          <w:sz w:val="21"/>
        </w:rPr>
        <w:t>B2B SaaS loses ~4.9% of customers a year on average (SMB 3–5%, enterprise 1–2%); replacing one costs 5–25× more than keeping it (Bain/HBR).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AI plugs it — </w:t>
      </w:r>
      <w:r>
        <w:rPr>
          <w:rFonts w:ascii="Calibri" w:hAnsi="Calibri"/>
          <w:b w:val="0"/>
          <w:i w:val="0"/>
          <w:color w:val="1A1A2E"/>
          <w:sz w:val="21"/>
        </w:rPr>
        <w:t>AI churn-prediction cuts churn 15–25% (some report 10–30%) and lifts customer lifetime value 20–50% by flagging at-risk accounts up to 80% faster.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And it compounds — </w:t>
      </w:r>
      <w:r>
        <w:rPr>
          <w:rFonts w:ascii="Calibri" w:hAnsi="Calibri"/>
          <w:b w:val="0"/>
          <w:i w:val="0"/>
          <w:color w:val="1A1A2E"/>
          <w:sz w:val="21"/>
        </w:rPr>
        <w:t>a 5% retention improvement raises profit 25–95% (Bain); fixing involuntary churn alone can lift revenue 8.6% in year one.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The proof that personalization pays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344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Finding</w:t>
            </w:r>
          </w:p>
        </w:tc>
        <w:tc>
          <w:tcPr>
            <w:tcW w:type="dxa" w:w="2304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Source</w:t>
            </w:r>
          </w:p>
        </w:tc>
      </w:tr>
      <w:tr>
        <w:tc>
          <w:tcPr>
            <w:tcW w:type="dxa" w:w="734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Personalization lifts revenue 10–15% (5–25% by sector), cuts CAC up to 50%, raises marketing ROI 10–30%.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McKinsey</w:t>
            </w:r>
          </w:p>
        </w:tc>
      </w:tr>
      <w:tr>
        <w:tc>
          <w:tcPr>
            <w:tcW w:type="dxa" w:w="734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Personalized experiences drive ~38% more customer spend; 80% of leaders confirm customers spend more.</w:t>
            </w:r>
          </w:p>
        </w:tc>
        <w:tc>
          <w:tcPr>
            <w:tcW w:type="dxa" w:w="230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Twilio Segment</w:t>
            </w:r>
          </w:p>
        </w:tc>
      </w:tr>
      <w:tr>
        <w:tc>
          <w:tcPr>
            <w:tcW w:type="dxa" w:w="734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80% of consumers are more likely to buy from brands that personalize; 90% find it appealing.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Epsilon</w:t>
            </w:r>
          </w:p>
        </w:tc>
      </w:tr>
      <w:tr>
        <w:tc>
          <w:tcPr>
            <w:tcW w:type="dxa" w:w="734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Probability of selling to an existing customer is 60–70%, vs 5–20% for a new prospect.</w:t>
            </w:r>
          </w:p>
        </w:tc>
        <w:tc>
          <w:tcPr>
            <w:tcW w:type="dxa" w:w="230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Marketing Metrics</w:t>
            </w:r>
          </w:p>
        </w:tc>
      </w:tr>
      <w:tr>
        <w:tc>
          <w:tcPr>
            <w:tcW w:type="dxa" w:w="734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 next-best-action grew one firm's pipeline by &gt;20% of revenue; a structured cross-sell motion 10×'d cross-sell.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McKinsey</w:t>
            </w:r>
          </w:p>
        </w:tc>
      </w:tr>
      <w:tr>
        <w:tc>
          <w:tcPr>
            <w:tcW w:type="dxa" w:w="734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Best-in-class net revenue retention is &gt;130%; top-quartile NRR firms trade at ~24× revenue vs ~5× bottom.</w:t>
            </w:r>
          </w:p>
        </w:tc>
        <w:tc>
          <w:tcPr>
            <w:tcW w:type="dxa" w:w="230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McKinsey / SaaS benchmarks</w:t>
            </w:r>
          </w:p>
        </w:tc>
      </w:tr>
      <w:tr>
        <w:tc>
          <w:tcPr>
            <w:tcW w:type="dxa" w:w="734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Reps spend only ~28–30% of their week actually selling — the rest is admin, research, and data entry.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Salesforce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How the agents do it — continuously, on the same infrastructure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This isn't a quarterly campaign. It's the standing fleet from Chapter 1, each agent grounded in the same memory, working every record on a schedule: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Find the fit — </w:t>
      </w:r>
      <w:r>
        <w:rPr>
          <w:rFonts w:ascii="Calibri" w:hAnsi="Calibri"/>
          <w:b w:val="0"/>
          <w:i w:val="0"/>
          <w:color w:val="1A1A2E"/>
          <w:sz w:val="21"/>
        </w:rPr>
        <w:t>score every contact and account against your ICP the moment data changes — never stale.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Spot the signal — </w:t>
      </w:r>
      <w:r>
        <w:rPr>
          <w:rFonts w:ascii="Calibri" w:hAnsi="Calibri"/>
          <w:b w:val="0"/>
          <w:i w:val="0"/>
          <w:color w:val="1A1A2E"/>
          <w:sz w:val="21"/>
        </w:rPr>
        <w:t>research.account-deep-dive + analyze.buying-stage surface who is in-market now and why.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Upsell — </w:t>
      </w:r>
      <w:r>
        <w:rPr>
          <w:rFonts w:ascii="Calibri" w:hAnsi="Calibri"/>
          <w:b w:val="0"/>
          <w:i w:val="0"/>
          <w:color w:val="1A1A2E"/>
          <w:sz w:val="21"/>
        </w:rPr>
        <w:t>on the 60–70% sell-probability base, analyze each account's usage and gaps, then recommend the expansion.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Prevent churn — </w:t>
      </w:r>
      <w:r>
        <w:rPr>
          <w:rFonts w:ascii="Calibri" w:hAnsi="Calibri"/>
          <w:b w:val="0"/>
          <w:i w:val="0"/>
          <w:color w:val="1A1A2E"/>
          <w:sz w:val="21"/>
        </w:rPr>
        <w:t>watch signal_strength and engagement; flag at-risk accounts and draft win-back before they lapse.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4F46E5"/>
          <w:sz w:val="21"/>
        </w:rPr>
        <w:t xml:space="preserve">Strategize — </w:t>
      </w:r>
      <w:r>
        <w:rPr>
          <w:rFonts w:ascii="Calibri" w:hAnsi="Calibri"/>
          <w:b w:val="0"/>
          <w:i w:val="0"/>
          <w:color w:val="1A1A2E"/>
          <w:sz w:val="21"/>
        </w:rPr>
        <w:t>personize_next_best_action on every record, refined weekly from what actually closed (optimize.refine-icp).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5F0"/>
            <w:tcBorders>
              <w:left w:val="single" w:sz="24" w:space="0" w:color="0E907A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E907A"/>
                <w:sz w:val="19"/>
              </w:rPr>
              <w:t xml:space="preserve">WHERE THE BOARD WILL SEE IT   </w:t>
            </w: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A 10–20% lift plus 15–25% less churn lands on your entire revenue base — and shows up in the metric the board lives by: net revenue retention. On a $100M book that's $10–20M a year of fresh revenue from infrastructure you already pay for. Move NRR from a typical 105% toward best-in-class 130%+ and, by McKinsey's analysis, the enterprise-value multiple roughly follows.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7C3AED"/>
          <w:sz w:val="22"/>
        </w:rPr>
        <w:t>CHAPTER 3</w:t>
      </w:r>
    </w:p>
    <w:p>
      <w:pPr>
        <w:spacing w:before="0" w:after="60"/>
      </w:pPr>
      <w:r>
        <w:rPr>
          <w:rFonts w:ascii="Calibri" w:hAnsi="Calibri"/>
          <w:b/>
          <w:i w:val="0"/>
          <w:color w:val="1A1A2E"/>
          <w:sz w:val="40"/>
        </w:rPr>
        <w:t>Error prevention, task completion &amp; trust to scale</w:t>
      </w:r>
    </w:p>
    <w:p>
      <w:pPr>
        <w:spacing w:after="120"/>
      </w:pPr>
      <w:r>
        <w:rPr>
          <w:rFonts w:ascii="Calibri" w:hAnsi="Calibri"/>
          <w:b w:val="0"/>
          <w:i/>
          <w:color w:val="55576B"/>
          <w:sz w:val="23"/>
        </w:rPr>
        <w:t>Trust is the multiplier that lets one agent become a thousand — and the whole industry now agrees memory is how you earn it.</w:t>
      </w:r>
    </w:p>
    <w:p>
      <w:pPr>
        <w:spacing w:after="160"/>
        <w:pBdr>
          <w:bottom w:val="single" w:sz="18" w:space="1" w:color="4F46E5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You can have the cheapest, smartest agents in the world and capture none of the ROI, because a leader won't let an unaccountable agent write to revenue-critical records. Ungoverned agents fail two expensive ways: they break the rules, and they can't finish the job. Both are now well-documented — and both have a known fix.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E5"/>
            <w:tcBorders>
              <w:left w:val="single" w:sz="24" w:space="0" w:color="B95E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B95E00"/>
                <w:sz w:val="19"/>
              </w:rPr>
              <w:t xml:space="preserve">THE STAKES   </w:t>
            </w: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Gartner predicts over 40% of agentic-AI projects will be canceled by end of 2027 — the three named causes are escalating cost, unclear ROI, and inadequate risk controls. That is Chapters 1, 2, and 3 exactly. Trust — governance plus memory — is what keeps a deployment on the right side of that line.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When agents break the rules, it's expensive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Incident</w:t>
            </w:r>
          </w:p>
        </w:tc>
        <w:tc>
          <w:tcPr>
            <w:tcW w:type="dxa" w:w="5184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What the ungoverned agent did</w:t>
            </w:r>
          </w:p>
        </w:tc>
        <w:tc>
          <w:tcPr>
            <w:tcW w:type="dxa" w:w="2592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Outcome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Air Canada, 2024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Chatbot invented a bereavement-refund policy and promised a discount that didn't exist.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Tribunal held the airline liable; its 'the chatbot is a separate legal entity' defense was rejected.</w:t>
            </w:r>
          </w:p>
        </w:tc>
      </w:tr>
      <w:tr>
        <w:tc>
          <w:tcPr>
            <w:tcW w:type="dxa" w:w="187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Chevrolet dealer, 2023</w:t>
            </w:r>
          </w:p>
        </w:tc>
        <w:tc>
          <w:tcPr>
            <w:tcW w:type="dxa" w:w="518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A ChatGPT-powered bot was talked into 'agreeing' to sell a ~$76K Tahoe for $1, 'legally binding'.</w:t>
            </w:r>
          </w:p>
        </w:tc>
        <w:tc>
          <w:tcPr>
            <w:tcW w:type="dxa" w:w="259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Went viral; reputational damage; sale not honored.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BMW dealer, 2026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An AI chatbot made a vehicle buyback offer the dealer couldn't honor.</w:t>
            </w:r>
          </w:p>
        </w:tc>
        <w:tc>
          <w:tcPr>
            <w:tcW w:type="dxa" w:w="259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Had to be reversed once lawyers were involved.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0"/>
        </w:rPr>
        <w:t>These are unauthorized discounts and commitments — exactly the failure mode an agent writing to your CRM must never have. The quieter version is just as costly: Gartner puts poor data quality at $12.9M/yr for the average organization, and MIT Sloan finds firms lose 15–25% of revenue to it. One unguarded agent's mistakes pollute the data every other agent and rep depends on.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How Personize keeps agents on-policy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Axis</w:t>
            </w:r>
          </w:p>
        </w:tc>
        <w:tc>
          <w:tcPr>
            <w:tcW w:type="dxa" w:w="7200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Mechanism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Governed before written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Org guidelines (ICP, brand voice, discount rules, compliance) are injected before the agent generates or writes — no unauthorized offers.</w:t>
            </w:r>
          </w:p>
        </w:tc>
      </w:tr>
      <w:tr>
        <w:tc>
          <w:tcPr>
            <w:tcW w:type="dxa" w:w="2448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Audited</w:t>
            </w:r>
          </w:p>
        </w:tc>
        <w:tc>
          <w:tcPr>
            <w:tcW w:type="dxa" w:w="7200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Every read and write is logged with agent ID, timestamp, and a diff. You can always answer 'who wrote this, when, and why?'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Bounded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DRY_RUN simulates writes; field allowlists confine output to personize_* fields; opt-outs honored; compliance gates fire before any generation.</w:t>
            </w:r>
          </w:p>
        </w:tc>
      </w:tr>
      <w:tr>
        <w:tc>
          <w:tcPr>
            <w:tcW w:type="dxa" w:w="2448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Honest</w:t>
            </w:r>
          </w:p>
        </w:tc>
        <w:tc>
          <w:tcPr>
            <w:tcW w:type="dxa" w:w="7200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When a fact can't be verified the agent aborts instead of inventing; low-confidence results route to a human queue, not to auto-action.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Agents can't finish the job — until they have memory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The second failure is silent: without memory, long agent workflows run out of context and quit halfway. Anthropic reports that adding memory + context editing let agents complete workflows that would otherwise fail outright, with a 39% quality lift on agentic-search tasks and an 84% cut in token use. Its enterprise customers see it directly — Rakuten cut agent error rate 97%, cost 27%, and latency 34% after adding managed-agent memory. This is the ROI of memory: more tasks finished, fewer mistakes, lower cost — at once.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We're not the only ones saying this — the whole frontier is converging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Memory has gone from a feature to the consensus answer for reliable, affordable agents. That validates the category; Personize's role is to deliver it for the CRM, governed and audited.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Who</w:t>
            </w:r>
          </w:p>
        </w:tc>
        <w:tc>
          <w:tcPr>
            <w:tcW w:type="dxa" w:w="5184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Reported result from adding memory</w:t>
            </w:r>
          </w:p>
        </w:tc>
        <w:tc>
          <w:tcPr>
            <w:tcW w:type="dxa" w:w="1728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Source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Anthropic (Managed Agents memory)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Rakuten −97% errors, −27% cost, −34% latency; +39% on agentic search; −84% tokens.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Anthropic</w:t>
            </w:r>
          </w:p>
        </w:tc>
      </w:tr>
      <w:tr>
        <w:tc>
          <w:tcPr>
            <w:tcW w:type="dxa" w:w="273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Mem0</w:t>
            </w:r>
          </w:p>
        </w:tc>
        <w:tc>
          <w:tcPr>
            <w:tcW w:type="dxa" w:w="518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+26% accuracy vs OpenAI's built-in memory; ~90% token savings, 91% lower latency vs full-context.</w:t>
            </w:r>
          </w:p>
        </w:tc>
        <w:tc>
          <w:tcPr>
            <w:tcW w:type="dxa" w:w="1728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Mem0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Zep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+18.5% accuracy and ~90% lower latency vs baseline; tops MemGPT/Mem0 on long-memory benchmarks.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Zep</w:t>
            </w:r>
          </w:p>
        </w:tc>
      </w:tr>
      <w:tr>
        <w:tc>
          <w:tcPr>
            <w:tcW w:type="dxa" w:w="273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Letta (sleep-time compute)</w:t>
            </w:r>
          </w:p>
        </w:tc>
        <w:tc>
          <w:tcPr>
            <w:tcW w:type="dxa" w:w="518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Same accuracy at ~1/5 the tokens, or +13–18% accuracy at equal cost (memory consolidated offline).</w:t>
            </w:r>
          </w:p>
        </w:tc>
        <w:tc>
          <w:tcPr>
            <w:tcW w:type="dxa" w:w="1728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Letta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OpenAI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Ships built-in memory across ChatGPT and its agent platform — memory is now table stakes.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OpenAI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 w:val="0"/>
          <w:i w:val="0"/>
          <w:color w:val="55576B"/>
          <w:sz w:val="18"/>
        </w:rPr>
        <w:t>The difference: those layers make a single agent smarter. Personize makes a whole fleet agree — record-scoped memory plus governance, so every agent sees the same customer and follows the same rules.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07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tru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78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5F0"/>
            <w:tcBorders>
              <w:left w:val="single" w:sz="24" w:space="0" w:color="0E907A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0E907A"/>
                <w:sz w:val="19"/>
              </w:rPr>
              <w:t xml:space="preserve">CHAPTER 3 TAKEAWAY   </w:t>
            </w: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Cost savings (Ch.1) and revenue (Ch.2) only scale as far as trust allows. Governance stops the costly rule-breaking; memory makes agents finish the job (−97% errors at Rakuten). Together they convert a promising pilot into a fleet running your book unattended — the volume that makes the whole ROI real.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7C3AED"/>
          <w:sz w:val="22"/>
        </w:rPr>
        <w:t>PUTTING IT TOGETHER</w:t>
      </w:r>
    </w:p>
    <w:p>
      <w:pPr>
        <w:spacing w:after="120"/>
      </w:pPr>
      <w:r>
        <w:rPr>
          <w:rFonts w:ascii="Calibri" w:hAnsi="Calibri"/>
          <w:b/>
          <w:i w:val="0"/>
          <w:color w:val="1A1A2E"/>
          <w:sz w:val="40"/>
        </w:rPr>
        <w:t>The combined return — by company size</w:t>
      </w:r>
    </w:p>
    <w:p>
      <w:pPr>
        <w:spacing w:after="160"/>
        <w:pBdr>
          <w:bottom w:val="single" w:sz="18" w:space="1" w:color="4F46E5"/>
        </w:pBdr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A1A2E"/>
          <w:sz w:val="21"/>
        </w:rPr>
        <w:t>Return is the sum of three lines — compute saved (Ch.1) + fresh revenue and recovered churn (Ch.2), set against a small AI spend made safe by governance (Ch.3). The ratio gets large because a 10–20% revenue lift lands on your whole revenue base while the AI bill is a fraction of it. Two illustrative profiles: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456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Annual impact</w:t>
            </w:r>
          </w:p>
        </w:tc>
        <w:tc>
          <w:tcPr>
            <w:tcW w:type="dxa" w:w="1872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$10M company</w:t>
            </w:r>
          </w:p>
        </w:tc>
        <w:tc>
          <w:tcPr>
            <w:tcW w:type="dxa" w:w="2016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$100M company</w:t>
            </w:r>
          </w:p>
        </w:tc>
        <w:tc>
          <w:tcPr>
            <w:tcW w:type="dxa" w:w="2304"/>
            <w:shd w:val="clear" w:color="auto" w:fill="EEF0F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1A1A2E"/>
                <w:sz w:val="17"/>
              </w:rPr>
              <w:t>Grounded in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Compute saved vs raw retrieval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~$25–30K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~$250–300K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Ch.1 (live pricing)</w:t>
            </w:r>
          </w:p>
        </w:tc>
      </w:tr>
      <w:tr>
        <w:tc>
          <w:tcPr>
            <w:tcW w:type="dxa" w:w="345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Fresh revenue (+10–20%)</w:t>
            </w:r>
          </w:p>
        </w:tc>
        <w:tc>
          <w:tcPr>
            <w:tcW w:type="dxa" w:w="187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$1–2M</w:t>
            </w:r>
          </w:p>
        </w:tc>
        <w:tc>
          <w:tcPr>
            <w:tcW w:type="dxa" w:w="20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$10–20M</w:t>
            </w:r>
          </w:p>
        </w:tc>
        <w:tc>
          <w:tcPr>
            <w:tcW w:type="dxa" w:w="230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Ch.2 (McKinsey, Segment)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Churn recovered (15–25% less)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$75–125K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$0.75–1.25M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Ch.2 (Bain, churn-AI)</w:t>
            </w:r>
          </w:p>
        </w:tc>
      </w:tr>
      <w:tr>
        <w:tc>
          <w:tcPr>
            <w:tcW w:type="dxa" w:w="345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Est. AI + Personize investment</w:t>
            </w:r>
          </w:p>
        </w:tc>
        <w:tc>
          <w:tcPr>
            <w:tcW w:type="dxa" w:w="1872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~$60–120K</w:t>
            </w:r>
          </w:p>
        </w:tc>
        <w:tc>
          <w:tcPr>
            <w:tcW w:type="dxa" w:w="2016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~$0.3–0.5M</w:t>
            </w:r>
          </w:p>
        </w:tc>
        <w:tc>
          <w:tcPr>
            <w:tcW w:type="dxa" w:w="2304"/>
            <w:shd w:val="clear" w:color="auto" w:fill="FAFAFF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illustrative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**Return on AI investment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~10–20×+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~25–40×+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2E"/>
                <w:sz w:val="17"/>
              </w:rPr>
              <w:t>composite</w:t>
            </w:r>
          </w:p>
        </w:tc>
      </w:tr>
    </w:tbl>
    <w:p>
      <w:pPr>
        <w:spacing w:after="4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55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bys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E5"/>
            <w:tcBorders>
              <w:left w:val="single" w:sz="24" w:space="0" w:color="B95E0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B95E00"/>
                <w:sz w:val="19"/>
              </w:rPr>
              <w:t xml:space="preserve">HOW TO READ THIS   </w:t>
            </w:r>
            <w:r>
              <w:rPr>
                <w:rFonts w:ascii="Calibri" w:hAnsi="Calibri"/>
                <w:b w:val="0"/>
                <w:i w:val="0"/>
                <w:color w:val="1A1A2E"/>
                <w:sz w:val="19"/>
              </w:rPr>
              <w:t>Numbers are illustrative — your mix depends on model tier, context size, customer base, churn, and margins. The structure is the point: compute is ~10–20X cheaper (Ch.1), a 10–20% revenue lift on your base dwarfs the AI bill (Ch.2), and governance + memory let you run the fleet that earns it (Ch.3). Model your own numbers in the savings calculator at personize.ai/pricing.</w:t>
            </w:r>
          </w:p>
        </w:tc>
      </w:tr>
    </w:tbl>
    <w:p>
      <w:pPr>
        <w:spacing w:after="80"/>
      </w:pPr>
    </w:p>
    <w:p>
      <w:pPr>
        <w:spacing w:after="20" w:before="120"/>
      </w:pPr>
      <w:r>
        <w:rPr>
          <w:rFonts w:ascii="Calibri" w:hAnsi="Calibri"/>
          <w:b/>
          <w:i w:val="0"/>
          <w:color w:val="1A1A2E"/>
          <w:sz w:val="21"/>
        </w:rPr>
        <w:t>Honest framing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76B"/>
          <w:sz w:val="19"/>
        </w:rPr>
        <w:t>Methodology: the cost figures trace to Personize's live pricing calculator and today's published frontier-model rates (Chapter 1). The 10–20% revenue lift and 15–25% churn reduction are drawn from third-party research (McKinsey, Bain, Twilio Segment, peer-reviewed churn studies); company-specific results vary with sector, data, and execution. Every figure here is either a cited external finding or a modeled estimate from the calculator — prove your own with a pilot.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Get started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4F46E5"/>
          <w:sz w:val="21"/>
        </w:rPr>
        <w:t xml:space="preserve">1.  </w:t>
      </w:r>
      <w:r>
        <w:rPr>
          <w:rFonts w:ascii="Calibri" w:hAnsi="Calibri"/>
          <w:b w:val="0"/>
          <w:i w:val="0"/>
          <w:color w:val="1A1A2E"/>
          <w:sz w:val="21"/>
        </w:rPr>
        <w:t>Connect HubSpot or Salesforce at app.personize.ai and run crm-agent setup diff (dry-run).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4F46E5"/>
          <w:sz w:val="21"/>
        </w:rPr>
        <w:t xml:space="preserve">2.  </w:t>
      </w:r>
      <w:r>
        <w:rPr>
          <w:rFonts w:ascii="Calibri" w:hAnsi="Calibri"/>
          <w:b w:val="0"/>
          <w:i w:val="0"/>
          <w:color w:val="1A1A2E"/>
          <w:sz w:val="21"/>
        </w:rPr>
        <w:t>Turn on a few operations in dry-run; review the proposed writes; flip the ones you trust to live.</w:t>
      </w:r>
    </w:p>
    <w:p>
      <w:pPr>
        <w:spacing w:after="40"/>
        <w:ind w:left="432"/>
      </w:pPr>
      <w:r>
        <w:rPr>
          <w:rFonts w:ascii="Calibri" w:hAnsi="Calibri"/>
          <w:b/>
          <w:i w:val="0"/>
          <w:color w:val="4F46E5"/>
          <w:sz w:val="21"/>
        </w:rPr>
        <w:t xml:space="preserve">3.  </w:t>
      </w:r>
      <w:r>
        <w:rPr>
          <w:rFonts w:ascii="Calibri" w:hAnsi="Calibri"/>
          <w:b w:val="0"/>
          <w:i w:val="0"/>
          <w:color w:val="1A1A2E"/>
          <w:sz w:val="21"/>
        </w:rPr>
        <w:t>Put an agent on a schedule and measure: AI spend, conversion lift, and data-quality error rate.</w:t>
      </w:r>
    </w:p>
    <w:p>
      <w:pPr>
        <w:spacing w:before="200" w:after="60"/>
      </w:pPr>
      <w:r>
        <w:rPr>
          <w:rFonts w:ascii="Calibri" w:hAnsi="Calibri"/>
          <w:b/>
          <w:i w:val="0"/>
          <w:color w:val="4F46E5"/>
          <w:sz w:val="27"/>
        </w:rPr>
        <w:t>Sources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McKinsey — Value of getting personalization right (Next in Personalization); Unlocking gen AI in B2B sales (next-best-action); NRR advantage in B2B tech (top-quartile NRR → ~24× EV/Revenue): mckinsey.com/capabilities/growth-marketing-and-sales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Twilio Segment — State of Personalization 2024 (personalized experiences → ~38% more spend; 56% become repeat buyers): segment.com/state-of-personalization-report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Net revenue retention benchmarks — best-in-class &gt;130% (enterprise 135%+, mid-market 125%+, SMB 110%+); median ~106%: SaaS Capital, FE International, Pavilion (2025–26).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Epsilon — 80% more likely to purchase with personalization, 90% find it appealing: epsilon.com/us/about-us/pressroom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Bain &amp; Company / HBR (Reichheld) — 5% retention → 25–95% profit; acquisition 5–25× retention: bain.com/insights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Marketing Metrics — 60–70% vs 5–20% sell probability (widely cited).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Salesforce — State of Sales: reps spend ~28–30% of time selling: salesforce.com/sales/state-of-sales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SaaS churn benchmarks (~4.9% B2B; SMB 3–5%, enterprise 1–2%): focus-digital.co, vena, customergauge (2025).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AI churn-prediction cuts churn 15–25%, CLV +20–50%, 80% faster at-risk response: Phoenix Strategy Group, SuperAGI, Nature Sci. Reports.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Gartner — poor data quality costs $12.9M/yr (MIT Sloan: 15–25% revenue lost); &gt;40% of agentic-AI projects canceled by end of 2027 (cost/value/governance): gartner.com/newsroom (2025-06-25).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AI-error incidents — Air Canada chatbot liability (CBS News); Chevrolet $1 Tahoe (CX Today); BMW dealer buyback reversal.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Anthropic — caching 90% off + Batch 50% off → 95%+ savings (platform.claude.com/docs); Managed Agents memory &amp; Rakuten −97% errors/−27% cost/−34% latency, +39% agentic-search, −84% tokens (anthropic.com/news/context-management).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Memory category — Mem0 (+26% vs OpenAI, ~90% token savings) mem0.ai/research; Zep (+18.5% accuracy, ~90% lower latency) blog.getzep.com; Letta sleep-time compute (~5× fewer tokens / +13–18% accuracy) letta.com/blog/sleep-time-compute.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Frontier model pricing (Jun 2026) — Claude Opus 4.8 $5/$25, Sonnet 4.6 $3/$15 (platform.claude.com/docs); GPT-5.5 $5/$30, Batch $2.50/$15 (openai.com/api/pricing).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A1A2E"/>
          <w:sz w:val="17"/>
        </w:rPr>
        <w:t>Personize live pricing &amp; savings calculator — $0.003/1K memorize, $0.001/recall, up to ~23× more work/dollar: personize.ai/pricing/api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