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firstLine="1767" w:firstLineChars="400"/>
      </w:pPr>
      <w:r>
        <w:rPr>
          <w:rFonts w:hint="eastAsia"/>
        </w:rPr>
        <w:t>考试答题卡</w:t>
      </w:r>
    </w:p>
    <w:p>
      <w:pPr>
        <w:ind w:firstLine="420"/>
      </w:pPr>
      <w:r>
        <w:rPr>
          <w:rFonts w:hint="eastAsia"/>
        </w:rPr>
        <w:t>姓名:____</w:t>
      </w:r>
      <w:r>
        <w:rPr>
          <w:rFonts w:hint="eastAsia"/>
          <w:lang w:val="en-US" w:eastAsia="zh-CN"/>
        </w:rPr>
        <w:t>郑天威</w:t>
      </w:r>
      <w:r>
        <w:rPr>
          <w:rFonts w:hint="eastAsia"/>
        </w:rPr>
        <w:t>_____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选择题（每题2分，共40分）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853" w:type="dxa"/>
          </w:tcPr>
          <w:p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r>
              <w:rPr>
                <w:lang w:val="en-US"/>
              </w:rPr>
              <w:t>BC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ABC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AD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ABD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B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C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C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B</w:t>
            </w:r>
          </w:p>
        </w:tc>
        <w:tc>
          <w:tcPr>
            <w:tcW w:w="853" w:type="dxa"/>
          </w:tcPr>
          <w:p>
            <w:r>
              <w:rPr>
                <w:lang w:val="en-US"/>
              </w:rPr>
              <w:t>D</w:t>
            </w:r>
          </w:p>
        </w:tc>
        <w:tc>
          <w:tcPr>
            <w:tcW w:w="853" w:type="dxa"/>
          </w:tcPr>
          <w:p>
            <w:r>
              <w:rPr>
                <w:lang w:val="en-US"/>
              </w:rPr>
              <w:t>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853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853" w:type="dxa"/>
          </w:tcPr>
          <w:p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r>
              <w:rPr>
                <w:lang w:val="en-US"/>
              </w:rPr>
              <w:t>B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B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C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B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C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C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AB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 xml:space="preserve"> BD</w:t>
            </w:r>
          </w:p>
        </w:tc>
        <w:tc>
          <w:tcPr>
            <w:tcW w:w="853" w:type="dxa"/>
          </w:tcPr>
          <w:p>
            <w:r>
              <w:rPr>
                <w:lang w:val="en-US"/>
              </w:rPr>
              <w:t>BD</w:t>
            </w:r>
          </w:p>
        </w:tc>
        <w:tc>
          <w:tcPr>
            <w:tcW w:w="853" w:type="dxa"/>
          </w:tcPr>
          <w:p>
            <w:r>
              <w:rPr>
                <w:lang w:val="en-US"/>
              </w:rPr>
              <w:t>A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判断题（每题1分，共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  <w:r>
        <w:rPr>
          <w:rFonts w:ascii="Times New Roman" w:hAnsi="Times New Roman" w:cs="Times New Roman"/>
          <w:sz w:val="24"/>
        </w:rPr>
        <w:t>分）</w:t>
      </w:r>
    </w:p>
    <w:tbl>
      <w:tblPr>
        <w:tblStyle w:val="4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lang w:val="en-US"/>
              </w:rPr>
              <w:t>false</w:t>
            </w:r>
          </w:p>
        </w:tc>
        <w:tc>
          <w:tcPr>
            <w:tcW w:w="85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false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true</w:t>
            </w:r>
          </w:p>
        </w:tc>
        <w:tc>
          <w:tcPr>
            <w:tcW w:w="852" w:type="dxa"/>
          </w:tcPr>
          <w:p>
            <w:r>
              <w:rPr>
                <w:lang w:val="en-US"/>
              </w:rPr>
              <w:t>true</w:t>
            </w:r>
          </w:p>
        </w:tc>
      </w:tr>
    </w:tbl>
    <w:p/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填空题（每空1分，共10分）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DispatcherServlet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HandlerMapping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Controller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ModelAndView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ViewResolver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9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web.xml中的编码过滤器&lt;filter&gt;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read-only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Advice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joinpoint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Aspect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简答题（每题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  <w:r>
        <w:rPr>
          <w:rFonts w:ascii="Times New Roman" w:hAnsi="Times New Roman" w:cs="Times New Roman"/>
          <w:sz w:val="24"/>
        </w:rPr>
        <w:t>分，共</w:t>
      </w:r>
      <w:r>
        <w:rPr>
          <w:rFonts w:hint="eastAsia" w:ascii="Times New Roman" w:hAnsi="Times New Roman" w:cs="Times New Roman"/>
          <w:sz w:val="24"/>
          <w:lang w:val="en-US" w:eastAsia="zh-CN"/>
        </w:rPr>
        <w:t>45</w:t>
      </w:r>
      <w:r>
        <w:rPr>
          <w:rFonts w:ascii="Times New Roman" w:hAnsi="Times New Roman" w:cs="Times New Roman"/>
          <w:sz w:val="24"/>
        </w:rPr>
        <w:t>分）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</w:p>
    <w:p>
      <w:pPr>
        <w:numPr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依赖注入（DI）是相对于IOC(控制反转)来说的，它们是同一概念的不同表述。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IOC</w:t>
      </w:r>
      <w:r>
        <w:rPr>
          <w:rFonts w:hint="default" w:ascii="Times New Roman" w:hAnsi="Times New Roman" w:cs="Times New Roman"/>
          <w:sz w:val="24"/>
          <w:lang w:val="en-US" w:eastAsia="zh-CN"/>
        </w:rPr>
        <w:t>意味着将设计好的对象交给容器控制，而不是传统的在对象内部直接控制</w:t>
      </w:r>
      <w:r>
        <w:rPr>
          <w:rFonts w:hint="eastAsia" w:ascii="Times New Roman" w:hAnsi="Times New Roman" w:cs="Times New Roman"/>
          <w:sz w:val="24"/>
          <w:lang w:val="en-US" w:eastAsia="zh-CN"/>
        </w:rPr>
        <w:t>，是将依赖对象的创建和依赖关系的维护交给容器主动完成,对象只是被动的接收依赖对象。依赖注入DI是从容器的角度来说的，即被注入对象依赖IOC容器来配置依赖对象。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、</w:t>
      </w:r>
      <w:bookmarkStart w:id="0" w:name="_GoBack"/>
      <w:bookmarkEnd w:id="0"/>
    </w:p>
    <w:p>
      <w:pPr>
        <w:numPr>
          <w:numId w:val="0"/>
        </w:numPr>
        <w:ind w:leftChars="0"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ContextLoaderListener是上下文加载监听器。</w:t>
      </w:r>
    </w:p>
    <w:p>
      <w:pPr>
        <w:numPr>
          <w:ilvl w:val="0"/>
          <w:numId w:val="0"/>
        </w:numPr>
        <w:ind w:firstLine="48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作用就是启动Web容器时，读取在contextConfigLocation中定义的xml文件，自动装配ApplicationContext的配置信息，并产生WebApplicationContext对象，然后将这个对象放置在ServletContext的属性里，这样我们只要得到Servlet就可以得到WebApplicationContext对象，并利用这个对象访问spring容器管理的bean。</w:t>
      </w:r>
    </w:p>
    <w:p>
      <w:pPr>
        <w:numPr>
          <w:ilvl w:val="0"/>
          <w:numId w:val="0"/>
        </w:numPr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简单来说，就是通过配置ContextLoaderListenter为项目提供了spring支持，初始化了Ioc容器。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Spring自带了13个视图解析器，能够将逻辑视图名转换为物理实现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 xml:space="preserve"> InternalResourceViewResolver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是springmvc默认加载的viewResolver，作用是将视图解析为Web应用的内部资源（一般为jsp）。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如果在你的JSP页面中使用了jstl的 话，InternalResourceViewResolver能够将视图名解析为 JstlView形式的JSP文件，从而将JSTL本地化和资源bundle变量暴露给JSTL的格式化（formatting）和信息（message）标签。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4.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spring为ApplicationContext提供的3种实现分别是：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ClassPathXmlApplicationContext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FileSystemXmlApplicationContext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XmlWebApplicationContext</w:t>
      </w:r>
    </w:p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WebXmlApplicationContext:此容器加载一个XML文件，此文件定义了一个WEB应用的所有bean</w:t>
      </w:r>
    </w:p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ClassPathXmlApplicationContext:此容器也从一个XML文件中加载bean的定义，这里需要正确设置classpath因为这个容器将在classpath里找bean配置</w:t>
      </w:r>
    </w:p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FileSystemXmlApplicationContext:此容器从一个XML文件中加载bean的定义，XML Bean配置文件的全路径名必须提供给它的构造函数</w:t>
      </w:r>
    </w:p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五大基本作用域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（1）singleton：默认，每个容器中只有一个bean的实例，单例的模式由BeanFactory自身来维护。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（2）prototype：为每一个bean请求提供一个实例。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（3）request：为每一个网络请求创建一个实例，在请求完成以后，bean会失效并被垃圾回收器回收。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（4）session：与request范围类似，确保每个session中有一个bean的实例，在session过期后，bean会随之失效。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（5）global-session：全局作用域，global-session和Portlet应用相关。当你的应用部署在Portlet容器中工作时，它包含很多portlet。如果你想要声明让所有的portlet共用全局的存储变量的话，那么这全局变量需要存储在global-session中。全局作用域与Servlet中的session作用域效果相同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hint="eastAsia"/>
          <w:b/>
          <w:bCs/>
          <w:color w:val="FF0000"/>
          <w:sz w:val="30"/>
          <w:szCs w:val="30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6</w:t>
      </w:r>
      <w:r>
        <w:rPr>
          <w:rFonts w:hint="eastAsia" w:ascii="Times New Roman" w:hAnsi="Times New Roman" w:cs="Times New Roman"/>
          <w:sz w:val="24"/>
        </w:rPr>
        <w:t>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客户端请求被DispatcherServlet(前端控制器)接收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DispatcherServlet请求HandlerMapping查询Handler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HandlerMapping根据请求URL查找Handler，将Handler和HandlerInterceptor以HandlerExecutionChain的形式一并返回给DispatcherServlet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DispatcherServlet请求HandlerAdapter执行Handler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HandlerAdapter调用Handler的方法做业务逻辑处理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HandlerAdapter处理完Handler会生成一个ModelAndView对象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将ModelAndView对象返回给DispatcherServlet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DispatcherServlet将获取的ModelAndView对象传给ViewResolver视图解析器，请求进行视图解析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ViewResolver将逻辑视图解析成物理视图View，返回给DispatcherServlet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DispatcherServlet根据View进行视图渲染(将模型数据填充到视图中)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DispatcherServlet将渲染后的视图响应给客户端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CEBF5"/>
    <w:multiLevelType w:val="singleLevel"/>
    <w:tmpl w:val="82FCEB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0000000"/>
    <w:multiLevelType w:val="singleLevel"/>
    <w:tmpl w:val="00000000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2">
    <w:nsid w:val="0C39EA27"/>
    <w:multiLevelType w:val="singleLevel"/>
    <w:tmpl w:val="0C39EA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24212677"/>
    <w:rsid w:val="30FE1A3E"/>
    <w:rsid w:val="58937FD9"/>
    <w:rsid w:val="692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272</Characters>
  <Paragraphs>110</Paragraphs>
  <TotalTime>145</TotalTime>
  <ScaleCrop>false</ScaleCrop>
  <LinksUpToDate>false</LinksUpToDate>
  <CharactersWithSpaces>276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zcy</dc:creator>
  <cp:lastModifiedBy>朔风</cp:lastModifiedBy>
  <dcterms:modified xsi:type="dcterms:W3CDTF">2019-12-19T16:36:16Z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