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0EB" w:rsidRDefault="005524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righ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Приложение № 2 к Положению о </w:t>
      </w:r>
    </w:p>
    <w:p w:rsidR="001520EB" w:rsidRDefault="005524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righ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Международном фестивале </w:t>
      </w:r>
    </w:p>
    <w:p w:rsidR="001520EB" w:rsidRDefault="005524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righ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научно-технического творчества </w:t>
      </w:r>
    </w:p>
    <w:p w:rsidR="001520EB" w:rsidRDefault="005524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righ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детей и молодежи</w:t>
      </w:r>
    </w:p>
    <w:p w:rsidR="001520EB" w:rsidRDefault="001520EB">
      <w:pPr>
        <w:spacing w:line="360" w:lineRule="auto"/>
        <w:jc w:val="center"/>
        <w:rPr>
          <w:b/>
          <w:bCs/>
          <w:sz w:val="30"/>
          <w:szCs w:val="30"/>
        </w:rPr>
      </w:pPr>
    </w:p>
    <w:tbl>
      <w:tblPr>
        <w:tblStyle w:val="aa"/>
        <w:tblW w:w="1009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03"/>
        <w:gridCol w:w="3663"/>
        <w:gridCol w:w="5727"/>
      </w:tblGrid>
      <w:tr w:rsidR="001520EB">
        <w:trPr>
          <w:trHeight w:val="38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:rsidR="001520EB" w:rsidRDefault="005524CA">
            <w:pPr>
              <w:spacing w:line="360" w:lineRule="auto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№</w:t>
            </w:r>
          </w:p>
        </w:tc>
        <w:tc>
          <w:tcPr>
            <w:tcW w:w="93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:rsidR="001520EB" w:rsidRDefault="005524CA">
            <w:pPr>
              <w:spacing w:line="36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Формат конкурсной задачи</w:t>
            </w:r>
          </w:p>
        </w:tc>
      </w:tr>
      <w:tr w:rsidR="001520EB">
        <w:trPr>
          <w:trHeight w:val="380"/>
        </w:trPr>
        <w:tc>
          <w:tcPr>
            <w:tcW w:w="70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1</w:t>
            </w:r>
          </w:p>
        </w:tc>
        <w:tc>
          <w:tcPr>
            <w:tcW w:w="366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Общая информация о конкурсной задачи.</w:t>
            </w: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Этап: </w:t>
            </w:r>
            <w:r>
              <w:rPr>
                <w:i/>
                <w:iCs/>
                <w:color w:val="000000"/>
                <w:sz w:val="30"/>
                <w:szCs w:val="30"/>
              </w:rPr>
              <w:t>Финал</w:t>
            </w:r>
          </w:p>
        </w:tc>
      </w:tr>
      <w:tr w:rsidR="001520EB">
        <w:trPr>
          <w:trHeight w:val="38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Конкурсное направление: </w:t>
            </w:r>
            <w:r>
              <w:rPr>
                <w:i/>
                <w:iCs/>
                <w:sz w:val="30"/>
                <w:szCs w:val="30"/>
              </w:rPr>
              <w:t>Р</w:t>
            </w:r>
            <w:r>
              <w:rPr>
                <w:i/>
                <w:iCs/>
                <w:color w:val="000000"/>
                <w:sz w:val="30"/>
                <w:szCs w:val="30"/>
              </w:rPr>
              <w:t>ешения для организационных процессов на предприятиях</w:t>
            </w:r>
          </w:p>
        </w:tc>
      </w:tr>
      <w:tr w:rsidR="001520EB">
        <w:trPr>
          <w:trHeight w:val="38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Партнеры конкурсной задачи: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1.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Ротань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Дарья Владимировна – руководитель Академии VR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Concept</w:t>
            </w:r>
            <w:proofErr w:type="spellEnd"/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2.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Силкин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Дмитрий Викторович – ведущий специалист Департамент управления персоналом Акционерного общества «ИЭК ХОЛДИНГ»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3. Оленина Ксения Владимировна – Руководитель отдела контроля качества логистического комплекса Север АО «Р-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Фарм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>»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4. Желудков Данил Евгеньевич – заместитель директора по производству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Краснокамского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ремонтно-механического завода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5. Савинова Марина Александровна –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Преподаватель Политехнического колледжа Политехнического института Новгородского государственного универс</w:t>
            </w:r>
            <w:r>
              <w:rPr>
                <w:i/>
                <w:iCs/>
                <w:sz w:val="30"/>
                <w:szCs w:val="30"/>
                <w:highlight w:val="white"/>
              </w:rPr>
              <w:t>итета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6. Касаткин Дмитрий Николаевич – Директор ООО «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Гидродрайв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>».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7. Сидоров Антон Михайлович – Руководитель службы внедрения автоматизации и роботизации в производстве АО «БТК Групп»</w:t>
            </w:r>
          </w:p>
        </w:tc>
      </w:tr>
      <w:tr w:rsidR="001520EB">
        <w:trPr>
          <w:trHeight w:val="38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Возрастной трек: </w:t>
            </w:r>
            <w:r>
              <w:rPr>
                <w:i/>
                <w:iCs/>
                <w:color w:val="000000"/>
                <w:sz w:val="30"/>
                <w:szCs w:val="30"/>
              </w:rPr>
              <w:t>Молодежный трек (16-20 ле</w:t>
            </w:r>
            <w:r>
              <w:rPr>
                <w:i/>
                <w:iCs/>
                <w:sz w:val="30"/>
                <w:szCs w:val="30"/>
              </w:rPr>
              <w:t>т)</w:t>
            </w:r>
          </w:p>
        </w:tc>
      </w:tr>
      <w:tr w:rsidR="001520EB">
        <w:trPr>
          <w:trHeight w:val="38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color w:val="000000"/>
                <w:sz w:val="30"/>
                <w:szCs w:val="30"/>
              </w:rPr>
              <w:t xml:space="preserve">Формат участия: </w:t>
            </w:r>
            <w:r>
              <w:rPr>
                <w:i/>
                <w:iCs/>
                <w:color w:val="000000"/>
                <w:sz w:val="30"/>
                <w:szCs w:val="30"/>
              </w:rPr>
              <w:t>очн</w:t>
            </w:r>
            <w:r>
              <w:rPr>
                <w:i/>
                <w:iCs/>
                <w:sz w:val="30"/>
                <w:szCs w:val="30"/>
              </w:rPr>
              <w:t>ое командное участие</w:t>
            </w:r>
            <w:r>
              <w:rPr>
                <w:i/>
                <w:iCs/>
                <w:color w:val="000000"/>
                <w:sz w:val="30"/>
                <w:szCs w:val="30"/>
              </w:rPr>
              <w:t xml:space="preserve">, </w:t>
            </w:r>
            <w:r>
              <w:rPr>
                <w:i/>
                <w:iCs/>
                <w:sz w:val="30"/>
                <w:szCs w:val="30"/>
              </w:rPr>
              <w:t xml:space="preserve">состав команды – </w:t>
            </w:r>
            <w:r>
              <w:rPr>
                <w:i/>
                <w:iCs/>
                <w:sz w:val="30"/>
                <w:szCs w:val="30"/>
                <w:highlight w:val="white"/>
              </w:rPr>
              <w:t>до 4 человек.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Распределение ролей:</w:t>
            </w:r>
          </w:p>
          <w:p w:rsidR="001520EB" w:rsidRDefault="005524C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Логист – лидер команды. Отвечает за удержание общей рамки проекта, распределяет задачи, держит фокус на цельном процессе логистики.</w:t>
            </w:r>
          </w:p>
          <w:p w:rsidR="001520EB" w:rsidRDefault="005524C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Экономист. Отвечает за расчеты и экономические обоснования.</w:t>
            </w:r>
          </w:p>
          <w:p w:rsidR="001520EB" w:rsidRDefault="005524C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HR. Отвечает за кадровые вопросы, думает о людях.</w:t>
            </w:r>
          </w:p>
          <w:p w:rsidR="001520EB" w:rsidRDefault="005524CA">
            <w:pPr>
              <w:numPr>
                <w:ilvl w:val="0"/>
                <w:numId w:val="4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lastRenderedPageBreak/>
              <w:t>Менеджер по автоматизации. Отвечает за анализ процессов автоматизации, предложения по их оптимизации.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Возможны иные варианты по распределению роле</w:t>
            </w:r>
            <w:r>
              <w:rPr>
                <w:i/>
                <w:iCs/>
                <w:sz w:val="30"/>
                <w:szCs w:val="30"/>
              </w:rPr>
              <w:t>й на усмотрение команды.</w:t>
            </w:r>
          </w:p>
        </w:tc>
      </w:tr>
      <w:tr w:rsidR="001520EB">
        <w:trPr>
          <w:trHeight w:val="38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Общее время на выполнение конкурсной задачи: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2 рабочих дня по 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7 </w:t>
            </w:r>
            <w:r>
              <w:rPr>
                <w:i/>
                <w:iCs/>
                <w:sz w:val="30"/>
                <w:szCs w:val="30"/>
              </w:rPr>
              <w:t>часов (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14 </w:t>
            </w:r>
            <w:r>
              <w:rPr>
                <w:i/>
                <w:iCs/>
                <w:sz w:val="30"/>
                <w:szCs w:val="30"/>
              </w:rPr>
              <w:t>часов).</w:t>
            </w:r>
          </w:p>
          <w:p w:rsidR="001520EB" w:rsidRDefault="005524CA">
            <w:pPr>
              <w:spacing w:line="360" w:lineRule="auto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Рекомендуемое распределение времени:</w:t>
            </w:r>
          </w:p>
          <w:p w:rsidR="001520EB" w:rsidRDefault="005524C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Анализ проблемной ситуации и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актуальность проекта:</w:t>
            </w:r>
          </w:p>
          <w:p w:rsidR="001520EB" w:rsidRDefault="005524CA">
            <w:pPr>
              <w:spacing w:line="360" w:lineRule="auto"/>
              <w:jc w:val="both"/>
              <w:rPr>
                <w:b/>
                <w:bCs/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1.1.  Презентация кейса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30 минут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1.2. Изучение текста кейса и вспомогательных материалов, которые погружают участников в проблематику задачи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30 минут</w:t>
            </w:r>
          </w:p>
          <w:p w:rsidR="001520EB" w:rsidRDefault="005524CA">
            <w:pPr>
              <w:spacing w:line="360" w:lineRule="auto"/>
              <w:jc w:val="both"/>
              <w:rPr>
                <w:b/>
                <w:bCs/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1.3. Раскрыть, на решение какой проблемы направлено решение конкурсной задачи, как устроена ситуация заказчика, почему проект важен и нуж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ен, почему проблему заказчика надо решить -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30 минут</w:t>
            </w:r>
          </w:p>
          <w:p w:rsidR="001520EB" w:rsidRDefault="005524CA">
            <w:pPr>
              <w:spacing w:line="360" w:lineRule="auto"/>
              <w:jc w:val="both"/>
              <w:rPr>
                <w:b/>
                <w:bCs/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</w:rPr>
              <w:t xml:space="preserve">1.4. Построение схемы работы склада – </w:t>
            </w:r>
            <w:r>
              <w:rPr>
                <w:b/>
                <w:bCs/>
                <w:i/>
                <w:iCs/>
                <w:sz w:val="30"/>
                <w:szCs w:val="30"/>
              </w:rPr>
              <w:t>1 час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1.5. Формирование ТЗ на решение: предварительно зафиксировать, по каким показателям будет определяться, что </w:t>
            </w: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 xml:space="preserve">решение сформировано и оно удовлетворяет условиям задачи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1 час</w:t>
            </w:r>
            <w:r>
              <w:rPr>
                <w:i/>
                <w:iCs/>
                <w:sz w:val="30"/>
                <w:szCs w:val="30"/>
              </w:rPr>
              <w:t>;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Планирование этапов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</w:rPr>
              <w:t>решения конкурсной задачи, распределение задач по командным р</w:t>
            </w:r>
            <w:r>
              <w:rPr>
                <w:i/>
                <w:iCs/>
                <w:sz w:val="30"/>
                <w:szCs w:val="30"/>
              </w:rPr>
              <w:t>олям –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30 минут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 (список подзадач в п.3).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Проработка конкурсной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</w:rPr>
              <w:t xml:space="preserve">задачи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2,5 часа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: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3.1. В параллель участникам команды рекомендуется проработать отдельные задачи, а именно: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— Выбрать оптимальную локацию для нового склада, учитывая экономию по его содержанию. Для этого необходимо будет проанализировать географию поставок, чтобы минимизировать транспортные издержки и предложить новые маршруты.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— Рассчитать транспортное обеспеч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ение: сколько единиц техники и какой грузоподъёмности потребуется, как изменятся маршруты.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— Провести анализ текущих ИТ систем, выбрать решения для автоматизации нового объекта.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>— Спланировать кадровое обеспечение и затраты на него, ведь не все сотрудник</w:t>
            </w:r>
            <w:r>
              <w:rPr>
                <w:i/>
                <w:iCs/>
                <w:sz w:val="30"/>
                <w:szCs w:val="30"/>
                <w:highlight w:val="white"/>
              </w:rPr>
              <w:t>и готовы переехать в область. Для удержания специалистов стоит предусмотреть различные компенсационные меры.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– При планировании складских площадей учесть климатические показатели складских зон (например, предложить системы регистрации и контроля температур</w:t>
            </w:r>
            <w:r>
              <w:rPr>
                <w:i/>
                <w:iCs/>
                <w:sz w:val="30"/>
                <w:szCs w:val="30"/>
                <w:highlight w:val="white"/>
              </w:rPr>
              <w:t>ы 2-8 °С и 15-25 °С и влажности до 50 % в зоне 15-25 °С), учесть наличие PEST контроля (дератизация и дезинсекция).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3.2. При проработке задач, стоит выделить время на проработку аналогов, которые потенциально отвечают заданным требованиям решения блоков за</w:t>
            </w:r>
            <w:r>
              <w:rPr>
                <w:i/>
                <w:iCs/>
                <w:sz w:val="30"/>
                <w:szCs w:val="30"/>
                <w:highlight w:val="white"/>
              </w:rPr>
              <w:t>дач (</w:t>
            </w:r>
            <w:proofErr w:type="gramStart"/>
            <w:r>
              <w:rPr>
                <w:i/>
                <w:iCs/>
                <w:sz w:val="30"/>
                <w:szCs w:val="30"/>
                <w:highlight w:val="white"/>
              </w:rPr>
              <w:t>в  части</w:t>
            </w:r>
            <w:proofErr w:type="gramEnd"/>
            <w:r>
              <w:rPr>
                <w:i/>
                <w:iCs/>
                <w:sz w:val="30"/>
                <w:szCs w:val="30"/>
                <w:highlight w:val="white"/>
              </w:rPr>
              <w:t xml:space="preserve"> моделей транспортного обеспечения, возможных решений по автоматизации, кадровых решений, представленной таблицы подобранных складов) 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Закончить день рекомендуется гипотезой комплексного решения поставленной проблемы.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– 30 минут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cyan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>2 день:</w:t>
            </w:r>
          </w:p>
          <w:p w:rsidR="001520EB" w:rsidRDefault="005524C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Про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верка составленной гипотезы комплексного решения о поставленную проблему и составленные </w:t>
            </w:r>
            <w:proofErr w:type="gramStart"/>
            <w:r>
              <w:rPr>
                <w:i/>
                <w:iCs/>
                <w:sz w:val="30"/>
                <w:szCs w:val="30"/>
                <w:highlight w:val="white"/>
              </w:rPr>
              <w:t>накануне показатели</w:t>
            </w:r>
            <w:proofErr w:type="gramEnd"/>
            <w:r>
              <w:rPr>
                <w:i/>
                <w:iCs/>
                <w:sz w:val="30"/>
                <w:szCs w:val="30"/>
                <w:highlight w:val="white"/>
              </w:rPr>
              <w:t xml:space="preserve"> эффективности решения –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1 час</w:t>
            </w:r>
          </w:p>
          <w:p w:rsidR="001520EB" w:rsidRDefault="005524C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Переработка тех разделов гипотезы, которые не соответствуют решению проблемы или показателям эффективности. Возможна ко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рректировка показателей эффективности.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2 часа.</w:t>
            </w:r>
          </w:p>
          <w:p w:rsidR="001520EB" w:rsidRDefault="005524C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Сборка финальной версии комплексного проектного решения, включающей план переезда склада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1 час.</w:t>
            </w:r>
          </w:p>
          <w:p w:rsidR="001520EB" w:rsidRDefault="005524C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Финализация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расчетов, проверка адекватности принятых решений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1 час</w:t>
            </w:r>
          </w:p>
          <w:p w:rsidR="001520EB" w:rsidRDefault="005524C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Подготовка к защите (разработка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презента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ции, написание речевого модуля для выступления) – </w:t>
            </w:r>
            <w:r>
              <w:rPr>
                <w:b/>
                <w:bCs/>
                <w:i/>
                <w:iCs/>
                <w:sz w:val="30"/>
                <w:szCs w:val="30"/>
                <w:highlight w:val="white"/>
              </w:rPr>
              <w:t>2 часа</w:t>
            </w:r>
            <w:r>
              <w:rPr>
                <w:i/>
                <w:iCs/>
                <w:sz w:val="30"/>
                <w:szCs w:val="30"/>
                <w:highlight w:val="white"/>
              </w:rPr>
              <w:t>.</w:t>
            </w:r>
          </w:p>
        </w:tc>
      </w:tr>
      <w:tr w:rsidR="001520EB">
        <w:trPr>
          <w:trHeight w:val="800"/>
        </w:trPr>
        <w:tc>
          <w:tcPr>
            <w:tcW w:w="70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lastRenderedPageBreak/>
              <w:t>2</w:t>
            </w:r>
          </w:p>
        </w:tc>
        <w:tc>
          <w:tcPr>
            <w:tcW w:w="366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Описание конкурсной задачи.</w:t>
            </w: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Общий контекст и производственная среда (информация о предприятии, ключевые производственные процессы):</w:t>
            </w:r>
            <w:r>
              <w:rPr>
                <w:i/>
                <w:iCs/>
                <w:color w:val="000000"/>
                <w:sz w:val="30"/>
                <w:szCs w:val="30"/>
              </w:rPr>
              <w:t xml:space="preserve">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i/>
                <w:iCs/>
                <w:color w:val="000000"/>
                <w:sz w:val="30"/>
                <w:szCs w:val="30"/>
              </w:rPr>
              <w:t xml:space="preserve">Фармацевтическая компания </w:t>
            </w:r>
            <w:r>
              <w:rPr>
                <w:i/>
                <w:iCs/>
                <w:sz w:val="30"/>
                <w:szCs w:val="30"/>
              </w:rPr>
              <w:t>“Р-</w:t>
            </w:r>
            <w:proofErr w:type="spellStart"/>
            <w:r>
              <w:rPr>
                <w:i/>
                <w:iCs/>
                <w:sz w:val="30"/>
                <w:szCs w:val="30"/>
              </w:rPr>
              <w:t>Фарм</w:t>
            </w:r>
            <w:proofErr w:type="spellEnd"/>
            <w:r>
              <w:rPr>
                <w:i/>
                <w:iCs/>
                <w:sz w:val="30"/>
                <w:szCs w:val="30"/>
              </w:rPr>
              <w:t>”</w:t>
            </w:r>
            <w:r>
              <w:rPr>
                <w:i/>
                <w:iCs/>
                <w:color w:val="000000"/>
                <w:sz w:val="30"/>
                <w:szCs w:val="30"/>
              </w:rPr>
              <w:t xml:space="preserve"> в числе крупнейших участников </w:t>
            </w:r>
            <w:r>
              <w:rPr>
                <w:i/>
                <w:iCs/>
                <w:color w:val="000000"/>
                <w:sz w:val="30"/>
                <w:szCs w:val="30"/>
              </w:rPr>
              <w:lastRenderedPageBreak/>
              <w:t>фармацевтического сектора России. Специализируется на исследованиях, разработке, производстве лекарственных средств, лабораторного оборудования и медицинской техники. Производственные площадки располагаются в городах: Москва,</w:t>
            </w:r>
            <w:r>
              <w:rPr>
                <w:i/>
                <w:iCs/>
                <w:color w:val="000000"/>
                <w:sz w:val="30"/>
                <w:szCs w:val="30"/>
              </w:rPr>
              <w:t xml:space="preserve"> Ярославль, </w:t>
            </w:r>
            <w:r>
              <w:rPr>
                <w:i/>
                <w:iCs/>
                <w:sz w:val="30"/>
                <w:szCs w:val="30"/>
              </w:rPr>
              <w:t xml:space="preserve">Ростов Великий, Кострома, Зеленоград, Санкт Петербург, Сочи, Дубна, Баку (Азербайджан), </w:t>
            </w:r>
            <w:proofErr w:type="spellStart"/>
            <w:r>
              <w:rPr>
                <w:i/>
                <w:iCs/>
                <w:sz w:val="30"/>
                <w:szCs w:val="30"/>
              </w:rPr>
              <w:t>Иллертиссен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 (Германия). В каждом регионе России имеется офисное представительство компании для организации и контроля поставок по государственным контрактам</w:t>
            </w:r>
            <w:r>
              <w:rPr>
                <w:i/>
                <w:iCs/>
                <w:sz w:val="30"/>
                <w:szCs w:val="30"/>
              </w:rPr>
              <w:t>. Также в Москве расположен большой централизованный складской комплекс, осуществляющий функции HUB для всех производственных площадок России. Логистика между площадками, поставщиками и потребителями на территории ЦФО осуществляется силами собственного авт</w:t>
            </w:r>
            <w:r>
              <w:rPr>
                <w:i/>
                <w:iCs/>
                <w:sz w:val="30"/>
                <w:szCs w:val="30"/>
              </w:rPr>
              <w:t xml:space="preserve">отранспорта. Логистика остальных регионов России: </w:t>
            </w:r>
            <w:proofErr w:type="spellStart"/>
            <w:r>
              <w:rPr>
                <w:i/>
                <w:iCs/>
                <w:sz w:val="30"/>
                <w:szCs w:val="30"/>
              </w:rPr>
              <w:t>авиадоставка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 (услуга </w:t>
            </w:r>
            <w:proofErr w:type="spellStart"/>
            <w:r>
              <w:rPr>
                <w:i/>
                <w:iCs/>
                <w:sz w:val="30"/>
                <w:szCs w:val="30"/>
              </w:rPr>
              <w:t>авиаагентов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) и транспортировка в регионе «до двери» (услуга территориальных транспортных компаний) передана на </w:t>
            </w:r>
            <w:proofErr w:type="spellStart"/>
            <w:r>
              <w:rPr>
                <w:i/>
                <w:iCs/>
                <w:sz w:val="30"/>
                <w:szCs w:val="30"/>
              </w:rPr>
              <w:t>аутсортcе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.  </w:t>
            </w:r>
            <w:r>
              <w:rPr>
                <w:i/>
                <w:iCs/>
                <w:color w:val="000000"/>
                <w:sz w:val="30"/>
                <w:szCs w:val="30"/>
              </w:rPr>
              <w:t xml:space="preserve">   </w:t>
            </w:r>
          </w:p>
        </w:tc>
      </w:tr>
      <w:tr w:rsidR="001520EB">
        <w:trPr>
          <w:trHeight w:val="80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Проблемная ситуация/ Задача для оптимизации (описание проблемы, исходные данные и параметры, цель решения):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</w:rPr>
              <w:t>Компания вынуждена перенести складской комплекс HUB за пределы МКАД в соответствии с текущей политикой Правительства Москвы по децентрализации логис</w:t>
            </w:r>
            <w:r>
              <w:rPr>
                <w:i/>
                <w:iCs/>
                <w:sz w:val="30"/>
                <w:szCs w:val="30"/>
              </w:rPr>
              <w:t xml:space="preserve">тической инфраструктуры и разгрузке центральных районов 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и в рамках оптимизации логистических затрат и экономической целесообразности в компании. 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Перенести складской комплекс HUB необходимо с минимальными потерями: не увеличить сроки доставки, не потерять</w:t>
            </w:r>
            <w:r>
              <w:rPr>
                <w:i/>
                <w:iCs/>
                <w:sz w:val="30"/>
                <w:szCs w:val="30"/>
              </w:rPr>
              <w:t xml:space="preserve"> клиентов и в будущем сэкономить деньги за счет возможной автоматизации.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Задачи перечислены в ходе решения выше.</w:t>
            </w:r>
            <w:r>
              <w:rPr>
                <w:i/>
                <w:iCs/>
                <w:sz w:val="30"/>
                <w:szCs w:val="30"/>
              </w:rPr>
              <w:t xml:space="preserve"> </w:t>
            </w:r>
          </w:p>
        </w:tc>
      </w:tr>
      <w:tr w:rsidR="001520EB">
        <w:trPr>
          <w:trHeight w:val="80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Требования и ограничения </w:t>
            </w:r>
            <w:r>
              <w:rPr>
                <w:i/>
                <w:iCs/>
                <w:color w:val="000000"/>
                <w:sz w:val="30"/>
                <w:szCs w:val="30"/>
              </w:rPr>
              <w:t>(функциональные требования, нефункциональные требования, ключевые ограничения)</w:t>
            </w:r>
            <w:r>
              <w:rPr>
                <w:color w:val="000000"/>
                <w:sz w:val="30"/>
                <w:szCs w:val="30"/>
              </w:rPr>
              <w:t>: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Исходные данные и параметры: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1.  Географическая информация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bookmarkStart w:id="0" w:name="_heading=h.v53wyeimbd2j" w:colFirst="0" w:colLast="0"/>
            <w:bookmarkEnd w:id="0"/>
            <w:r>
              <w:rPr>
                <w:i/>
                <w:iCs/>
                <w:sz w:val="30"/>
                <w:szCs w:val="30"/>
              </w:rPr>
              <w:lastRenderedPageBreak/>
              <w:t xml:space="preserve">1.1. Текущее положение складского комплекса HUB – район станции метро </w:t>
            </w:r>
            <w:proofErr w:type="spellStart"/>
            <w:r>
              <w:rPr>
                <w:i/>
                <w:iCs/>
                <w:sz w:val="30"/>
                <w:szCs w:val="30"/>
              </w:rPr>
              <w:t>Сходненская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. </w:t>
            </w:r>
            <w:r>
              <w:rPr>
                <w:i/>
                <w:iCs/>
                <w:sz w:val="30"/>
                <w:szCs w:val="30"/>
                <w:highlight w:val="white"/>
              </w:rPr>
              <w:t>(участникам предлагается выбрать 8 любых ЛПУ в разных районах г. Москвы).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yellow"/>
              </w:rPr>
            </w:pPr>
            <w:r>
              <w:rPr>
                <w:i/>
                <w:iCs/>
                <w:sz w:val="30"/>
                <w:szCs w:val="30"/>
              </w:rPr>
              <w:t>1.2. Основные поставщики: таможенный склад аэропорта Шереметьево и пр</w:t>
            </w:r>
            <w:r>
              <w:rPr>
                <w:i/>
                <w:iCs/>
                <w:sz w:val="30"/>
                <w:szCs w:val="30"/>
              </w:rPr>
              <w:t>оизводственные площадки компании. Ключевые клиенты: площадки компании и все крупные медицинские организации г. Москва (ЛПУ).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1.3. Обозначения зон с ограничениями для грузового транспорта в черте Москвы: ограничение действует </w:t>
            </w:r>
            <w:proofErr w:type="gramStart"/>
            <w:r>
              <w:rPr>
                <w:i/>
                <w:iCs/>
                <w:sz w:val="30"/>
                <w:szCs w:val="30"/>
              </w:rPr>
              <w:t>на</w:t>
            </w:r>
            <w:proofErr w:type="gramEnd"/>
            <w:r>
              <w:rPr>
                <w:i/>
                <w:iCs/>
                <w:sz w:val="30"/>
                <w:szCs w:val="30"/>
              </w:rPr>
              <w:t xml:space="preserve"> а/м грузоподъемностью свыше </w:t>
            </w:r>
            <w:r>
              <w:rPr>
                <w:i/>
                <w:iCs/>
                <w:sz w:val="30"/>
                <w:szCs w:val="30"/>
              </w:rPr>
              <w:t xml:space="preserve">3,5 тонн в пределах МКАД. Есть возможность получения бесплатного пропуска на 2 </w:t>
            </w:r>
            <w:proofErr w:type="gramStart"/>
            <w:r>
              <w:rPr>
                <w:i/>
                <w:iCs/>
                <w:sz w:val="30"/>
                <w:szCs w:val="30"/>
              </w:rPr>
              <w:t>доставки</w:t>
            </w:r>
            <w:proofErr w:type="gramEnd"/>
            <w:r>
              <w:rPr>
                <w:i/>
                <w:iCs/>
                <w:sz w:val="30"/>
                <w:szCs w:val="30"/>
              </w:rPr>
              <w:t xml:space="preserve"> а/м свыше 3,5 т. 2 раза в месяц.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2.  Параметры текущего склада: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2.1. Склад 15 500 м</w:t>
            </w:r>
            <w:r>
              <w:rPr>
                <w:i/>
                <w:iCs/>
                <w:sz w:val="30"/>
                <w:szCs w:val="30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</w:rPr>
              <w:t xml:space="preserve"> (20 000 </w:t>
            </w:r>
            <w:proofErr w:type="spellStart"/>
            <w:r>
              <w:rPr>
                <w:i/>
                <w:iCs/>
                <w:sz w:val="30"/>
                <w:szCs w:val="30"/>
              </w:rPr>
              <w:t>паллетомест</w:t>
            </w:r>
            <w:proofErr w:type="spellEnd"/>
            <w:r>
              <w:rPr>
                <w:i/>
                <w:iCs/>
                <w:sz w:val="30"/>
                <w:szCs w:val="30"/>
              </w:rPr>
              <w:t>: 3 000 – 2-8 °С и 17 000 – 15-25 °С) офис – 1 500 м</w:t>
            </w:r>
            <w:r>
              <w:rPr>
                <w:i/>
                <w:iCs/>
                <w:sz w:val="30"/>
                <w:szCs w:val="30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</w:rPr>
              <w:t>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2.2. Месячный грузооборот (количество заказов или тонн): 10 000 заказов, </w:t>
            </w:r>
            <w:r>
              <w:rPr>
                <w:i/>
                <w:iCs/>
                <w:sz w:val="30"/>
                <w:szCs w:val="30"/>
                <w:highlight w:val="white"/>
              </w:rPr>
              <w:t>1 заказ может быть от одной коробки до нескольких паллет.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lastRenderedPageBreak/>
              <w:t xml:space="preserve">2.3. Тип хранимых товаров: лекарственные средства; медицинские изделия; </w:t>
            </w:r>
            <w:proofErr w:type="spellStart"/>
            <w:r>
              <w:rPr>
                <w:i/>
                <w:iCs/>
                <w:sz w:val="30"/>
                <w:szCs w:val="30"/>
              </w:rPr>
              <w:t>БАДы</w:t>
            </w:r>
            <w:proofErr w:type="spellEnd"/>
            <w:r>
              <w:rPr>
                <w:i/>
                <w:iCs/>
                <w:sz w:val="30"/>
                <w:szCs w:val="30"/>
              </w:rPr>
              <w:t>; медицинское оборудование (в том числе крупногаб</w:t>
            </w:r>
            <w:r>
              <w:rPr>
                <w:i/>
                <w:iCs/>
                <w:sz w:val="30"/>
                <w:szCs w:val="30"/>
              </w:rPr>
              <w:t>аритное); вспомогательные вещества; расходный материал для производства.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2.4. Основные требования к помещению (высота потолков, наличие пандусов, мощность электросети): склад класса «А», система кондиционирования, резервное электропитание.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3.  Финансовые </w:t>
            </w:r>
            <w:r>
              <w:rPr>
                <w:i/>
                <w:iCs/>
                <w:sz w:val="30"/>
                <w:szCs w:val="30"/>
              </w:rPr>
              <w:t>ориентиры: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3.1. Примеры потенциально адекватной стоимости: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Аренда текущего склада - 1000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/М2.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proofErr w:type="spellStart"/>
            <w:r>
              <w:rPr>
                <w:i/>
                <w:iCs/>
                <w:sz w:val="30"/>
                <w:szCs w:val="30"/>
              </w:rPr>
              <w:t>Логопарк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 Север-2 (35 км от МКАД) – 800 руб./м</w:t>
            </w:r>
            <w:r>
              <w:rPr>
                <w:i/>
                <w:iCs/>
                <w:sz w:val="30"/>
                <w:szCs w:val="30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</w:rPr>
              <w:t xml:space="preserve">, </w:t>
            </w:r>
            <w:r>
              <w:rPr>
                <w:i/>
                <w:iCs/>
                <w:sz w:val="30"/>
                <w:szCs w:val="30"/>
                <w:highlight w:val="white"/>
              </w:rPr>
              <w:t>минимальная арендуемая площадь 17 000 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.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Белый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Раст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Логистика (30 км до МКАД)- 1000 руб./м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, минимальная аренд</w:t>
            </w:r>
            <w:r>
              <w:rPr>
                <w:i/>
                <w:iCs/>
                <w:sz w:val="30"/>
                <w:szCs w:val="30"/>
                <w:highlight w:val="white"/>
              </w:rPr>
              <w:t>уемая площадь 20 000 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.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Склад "Троице-сельцо" (23 км до МКАД) - 1500 руб./м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, минимальная арендуемая площадь 25 000 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.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 xml:space="preserve"> Склад "ПЛТ Северное Шереметьево" (25 км до МКАД) - 1000 руб./м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, минимальная арендуемая площадь 30 000 м</w:t>
            </w:r>
            <w:r>
              <w:rPr>
                <w:i/>
                <w:iCs/>
                <w:sz w:val="30"/>
                <w:szCs w:val="30"/>
                <w:highlight w:val="white"/>
                <w:vertAlign w:val="superscript"/>
              </w:rPr>
              <w:t>2</w:t>
            </w:r>
            <w:r>
              <w:rPr>
                <w:i/>
                <w:iCs/>
                <w:sz w:val="30"/>
                <w:szCs w:val="30"/>
                <w:highlight w:val="white"/>
              </w:rPr>
              <w:t>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3.2. Примерные тарифы на г</w:t>
            </w:r>
            <w:r>
              <w:rPr>
                <w:i/>
                <w:iCs/>
                <w:sz w:val="30"/>
                <w:szCs w:val="30"/>
              </w:rPr>
              <w:t>рузоперевозки (руб./км для грузовиков разной грузоподъёмности: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500-900 / 1,5 тонн – 7,5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/км;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5 тонн – 11,2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/км;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12 / 18-20 тонн – 13,4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/км.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3.3. Ориентировочные затраты на переезд: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- Покупка нового стеллажного оборудования – 50 млн. рублей за 20 0</w:t>
            </w:r>
            <w:r>
              <w:rPr>
                <w:i/>
                <w:iCs/>
                <w:sz w:val="30"/>
                <w:szCs w:val="30"/>
              </w:rPr>
              <w:t xml:space="preserve">00 </w:t>
            </w:r>
            <w:proofErr w:type="spellStart"/>
            <w:r>
              <w:rPr>
                <w:i/>
                <w:iCs/>
                <w:sz w:val="30"/>
                <w:szCs w:val="30"/>
              </w:rPr>
              <w:t>паллетомест</w:t>
            </w:r>
            <w:proofErr w:type="spellEnd"/>
            <w:r>
              <w:rPr>
                <w:i/>
                <w:iCs/>
                <w:sz w:val="30"/>
                <w:szCs w:val="30"/>
              </w:rPr>
              <w:t>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- Транспортировка своим автотранспортом – по тарифу 13,4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/км; нанятым – 2 500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/час.;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- Установка климатического оборудования;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-            Настройка оборудования.    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4.  Логистические показатели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4.1. Среднее время доставки от текущего склада до клиентов и поставщиков (в зависимости от адресов):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lastRenderedPageBreak/>
              <w:t>Москва – заявка сегодня, доставка потребителю – завтра;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Регионы ЦФО – заявка сегодня, выезд – завтра, доставка потребителю – послезавтра;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4.2. Частота пост</w:t>
            </w:r>
            <w:r>
              <w:rPr>
                <w:i/>
                <w:iCs/>
                <w:sz w:val="30"/>
                <w:szCs w:val="30"/>
              </w:rPr>
              <w:t>авок (количество рейсов в день/неделю):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Москва – ежедневно;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yellow"/>
              </w:rPr>
            </w:pPr>
            <w:r>
              <w:rPr>
                <w:i/>
                <w:iCs/>
                <w:sz w:val="30"/>
                <w:szCs w:val="30"/>
              </w:rPr>
              <w:t>Регионы ЦФО – 2 раза в неделю.</w:t>
            </w:r>
            <w:r>
              <w:rPr>
                <w:i/>
                <w:iCs/>
                <w:sz w:val="30"/>
                <w:szCs w:val="30"/>
                <w:highlight w:val="yellow"/>
              </w:rPr>
              <w:t xml:space="preserve"> </w:t>
            </w:r>
          </w:p>
          <w:p w:rsidR="001520EB" w:rsidRDefault="005524CA">
            <w:pPr>
              <w:spacing w:before="240" w:after="240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4.3. Процентное соотношение поставок в зависимости от формы доставки:</w:t>
            </w:r>
          </w:p>
          <w:p w:rsidR="001520EB" w:rsidRDefault="005524CA">
            <w:pPr>
              <w:spacing w:before="240" w:after="240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46 % - собственным автотранспортом;</w:t>
            </w:r>
          </w:p>
          <w:p w:rsidR="001520EB" w:rsidRDefault="005524CA">
            <w:pPr>
              <w:spacing w:before="240" w:after="240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6 % - наемным автотранспортом;</w:t>
            </w:r>
          </w:p>
          <w:p w:rsidR="001520EB" w:rsidRDefault="005524CA">
            <w:pPr>
              <w:spacing w:before="240" w:after="240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5 % - в составе сборных грузов;</w:t>
            </w:r>
          </w:p>
          <w:p w:rsidR="001520EB" w:rsidRDefault="005524CA">
            <w:pPr>
              <w:spacing w:before="240" w:after="240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18 % - самовывоз;</w:t>
            </w:r>
          </w:p>
          <w:p w:rsidR="001520EB" w:rsidRDefault="005524CA">
            <w:pPr>
              <w:spacing w:before="240" w:after="240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25 % -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авиадоставка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.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4.4. Допустимые сроки доставки для ключевых клиентов (например, «не более 24 часов с момента заказа»):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Москва – с момента выезда со склада до возвращения обратно – 10-12 часов (6-8 точ</w:t>
            </w:r>
            <w:r>
              <w:rPr>
                <w:i/>
                <w:iCs/>
                <w:sz w:val="30"/>
                <w:szCs w:val="30"/>
              </w:rPr>
              <w:t>ек);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Площадки (например, груз с таможни) – в течение суток.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4.5 Объём типичной партии груза (в паллетах или тоннах):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lastRenderedPageBreak/>
              <w:t>Москва (8 точек) – ориентировочно 250 кг (3-4 паллета);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Регионы (ЦФО) – до 7 паллет.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Площадки – до 20 паллет.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5.  Кадровые данные:</w:t>
            </w:r>
          </w:p>
          <w:p w:rsidR="001520EB" w:rsidRDefault="005524CA">
            <w:pPr>
              <w:spacing w:before="240" w:after="240"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</w:rPr>
              <w:t>5.1. Чи</w:t>
            </w:r>
            <w:r>
              <w:rPr>
                <w:i/>
                <w:iCs/>
                <w:sz w:val="30"/>
                <w:szCs w:val="30"/>
              </w:rPr>
              <w:t xml:space="preserve">сло сотрудников в логистике сейчас: 240 человек </w:t>
            </w:r>
            <w:r>
              <w:rPr>
                <w:i/>
                <w:iCs/>
                <w:sz w:val="30"/>
                <w:szCs w:val="30"/>
                <w:highlight w:val="white"/>
              </w:rPr>
              <w:t>(50 % - складские рабочие, 20 % - офис, 30 % - водители);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5.2. Результаты предварительного опроса: процент сотрудников, готовых добираться на новый склад (ориентировочно, 75 % согласны, 25 % — нет);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5.3. Средние зарплаты складских работников в Москве и ближайших городах МО (руб./месяц): (на примере водителя погрузчика)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Москва – 120-130 тыс.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/мес.;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 xml:space="preserve">МО – 100-110 тыс. </w:t>
            </w:r>
            <w:proofErr w:type="spellStart"/>
            <w:r>
              <w:rPr>
                <w:i/>
                <w:iCs/>
                <w:sz w:val="30"/>
                <w:szCs w:val="30"/>
              </w:rPr>
              <w:t>руб</w:t>
            </w:r>
            <w:proofErr w:type="spellEnd"/>
            <w:r>
              <w:rPr>
                <w:i/>
                <w:iCs/>
                <w:sz w:val="30"/>
                <w:szCs w:val="30"/>
              </w:rPr>
              <w:t>/мес.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Default="005524C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</w:rPr>
              <w:t>Автоматизация на старом складе: система мониторинга температуры и влажност</w:t>
            </w:r>
            <w:r>
              <w:rPr>
                <w:i/>
                <w:iCs/>
                <w:sz w:val="30"/>
                <w:szCs w:val="30"/>
              </w:rPr>
              <w:t xml:space="preserve">и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Testo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Saveris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>;</w:t>
            </w:r>
            <w:r>
              <w:rPr>
                <w:i/>
                <w:iCs/>
                <w:sz w:val="30"/>
                <w:szCs w:val="30"/>
              </w:rPr>
              <w:t xml:space="preserve"> система комплексного управления </w:t>
            </w:r>
            <w:proofErr w:type="spellStart"/>
            <w:r>
              <w:rPr>
                <w:i/>
                <w:iCs/>
                <w:sz w:val="30"/>
                <w:szCs w:val="30"/>
              </w:rPr>
              <w:t>Microsoft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 </w:t>
            </w:r>
            <w:proofErr w:type="spellStart"/>
            <w:r>
              <w:rPr>
                <w:i/>
                <w:iCs/>
                <w:sz w:val="30"/>
                <w:szCs w:val="30"/>
              </w:rPr>
              <w:t>Dynamics</w:t>
            </w:r>
            <w:proofErr w:type="spellEnd"/>
            <w:r>
              <w:rPr>
                <w:i/>
                <w:iCs/>
                <w:sz w:val="30"/>
                <w:szCs w:val="30"/>
              </w:rPr>
              <w:t xml:space="preserve"> AX; </w:t>
            </w:r>
            <w:r>
              <w:rPr>
                <w:i/>
                <w:iCs/>
                <w:sz w:val="30"/>
                <w:szCs w:val="30"/>
              </w:rPr>
              <w:lastRenderedPageBreak/>
              <w:t>компьютеризированная система SAP ERP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</w:p>
          <w:p w:rsidR="001520EB" w:rsidRPr="005524CA" w:rsidRDefault="005524CA" w:rsidP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  <w:lang w:val="ru-RU"/>
              </w:rPr>
              <w:t>6.</w:t>
            </w:r>
            <w:r w:rsidRPr="005524CA">
              <w:rPr>
                <w:i/>
                <w:iCs/>
                <w:sz w:val="30"/>
                <w:szCs w:val="30"/>
              </w:rPr>
              <w:t>Вспомогательные материалы</w:t>
            </w:r>
          </w:p>
          <w:p w:rsidR="001520EB" w:rsidRPr="005524CA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 w:rsidRPr="005524CA">
              <w:rPr>
                <w:i/>
                <w:iCs/>
                <w:sz w:val="30"/>
                <w:szCs w:val="30"/>
                <w:highlight w:val="white"/>
              </w:rPr>
              <w:t>6.1. Сбор информации по складам на конец 2022</w:t>
            </w:r>
          </w:p>
          <w:p w:rsidR="001520EB" w:rsidRPr="005524CA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 w:rsidRPr="005524CA">
              <w:rPr>
                <w:i/>
                <w:iCs/>
                <w:sz w:val="30"/>
                <w:szCs w:val="30"/>
                <w:highlight w:val="white"/>
              </w:rPr>
              <w:t>6.2. Видеоролик о работе склада фарм. компании</w:t>
            </w:r>
          </w:p>
          <w:p w:rsidR="001520EB" w:rsidRPr="005524CA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 w:rsidRPr="005524CA">
              <w:rPr>
                <w:i/>
                <w:iCs/>
                <w:sz w:val="30"/>
                <w:szCs w:val="30"/>
                <w:highlight w:val="white"/>
              </w:rPr>
              <w:t>6.3. Общая фармакопейная статья</w:t>
            </w:r>
          </w:p>
          <w:p w:rsidR="001520EB" w:rsidRPr="005524CA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 w:rsidRPr="005524CA">
              <w:rPr>
                <w:i/>
                <w:iCs/>
                <w:sz w:val="30"/>
                <w:szCs w:val="30"/>
                <w:highlight w:val="white"/>
              </w:rPr>
              <w:t>6.4. Решение совета Евразийской экономической комиссии</w:t>
            </w:r>
          </w:p>
          <w:p w:rsidR="001520EB" w:rsidRPr="005524CA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bookmarkStart w:id="1" w:name="_GoBack"/>
            <w:bookmarkEnd w:id="1"/>
            <w:r w:rsidRPr="005524CA">
              <w:rPr>
                <w:i/>
                <w:iCs/>
                <w:sz w:val="30"/>
                <w:szCs w:val="30"/>
                <w:highlight w:val="white"/>
              </w:rPr>
              <w:t>6.5. Методика расчета экономической эффективности</w:t>
            </w:r>
          </w:p>
          <w:p w:rsidR="001520EB" w:rsidRDefault="001520EB">
            <w:pPr>
              <w:spacing w:line="360" w:lineRule="auto"/>
              <w:jc w:val="both"/>
              <w:rPr>
                <w:sz w:val="30"/>
                <w:szCs w:val="30"/>
              </w:rPr>
            </w:pPr>
          </w:p>
        </w:tc>
      </w:tr>
      <w:tr w:rsidR="001520EB">
        <w:trPr>
          <w:trHeight w:val="2000"/>
        </w:trPr>
        <w:tc>
          <w:tcPr>
            <w:tcW w:w="70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lastRenderedPageBreak/>
              <w:t>3</w:t>
            </w:r>
          </w:p>
        </w:tc>
        <w:tc>
          <w:tcPr>
            <w:tcW w:w="366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Ожидаемый результат и формат представления. Теоретическая часть.</w:t>
            </w: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sz w:val="30"/>
                <w:szCs w:val="30"/>
                <w:highlight w:val="cyan"/>
              </w:rPr>
            </w:pPr>
            <w:r>
              <w:rPr>
                <w:color w:val="000000"/>
                <w:sz w:val="30"/>
                <w:szCs w:val="30"/>
              </w:rPr>
              <w:t xml:space="preserve">Анализ ситуации и контекста </w:t>
            </w:r>
            <w:r>
              <w:rPr>
                <w:i/>
                <w:iCs/>
                <w:color w:val="000000"/>
                <w:sz w:val="30"/>
                <w:szCs w:val="30"/>
              </w:rPr>
              <w:t>(раздел отражает насколько полно и адекватно участники осмыслили предложенную конкурсной задачей ситуацию)</w:t>
            </w:r>
            <w:r>
              <w:rPr>
                <w:color w:val="000000"/>
                <w:sz w:val="30"/>
                <w:szCs w:val="30"/>
              </w:rPr>
              <w:t>:</w:t>
            </w:r>
          </w:p>
          <w:p w:rsidR="001520EB" w:rsidRDefault="005524C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Команда должна описать, как решение задачи поможет заказчику, почему эту поставленную проблему необходимо решить.</w:t>
            </w:r>
          </w:p>
          <w:p w:rsidR="001520EB" w:rsidRDefault="005524C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Команда должна описать свое понима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ние ситуации и зафиксировать </w:t>
            </w:r>
            <w:proofErr w:type="gramStart"/>
            <w:r>
              <w:rPr>
                <w:i/>
                <w:iCs/>
                <w:sz w:val="30"/>
                <w:szCs w:val="30"/>
                <w:highlight w:val="white"/>
              </w:rPr>
              <w:t>потенциальные  проблемы</w:t>
            </w:r>
            <w:proofErr w:type="gramEnd"/>
            <w:r>
              <w:rPr>
                <w:i/>
                <w:iCs/>
                <w:sz w:val="30"/>
                <w:szCs w:val="30"/>
                <w:highlight w:val="white"/>
              </w:rPr>
              <w:t xml:space="preserve"> и риски компании в процессе переноса складского комплекса HUB;</w:t>
            </w:r>
          </w:p>
          <w:p w:rsidR="001520EB" w:rsidRDefault="005524C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>Команда должна определить ключевые показатели эффективности, направленные на оценку принятия последующих управленческих решений (то есть пре</w:t>
            </w:r>
            <w:r>
              <w:rPr>
                <w:i/>
                <w:iCs/>
                <w:sz w:val="30"/>
                <w:szCs w:val="30"/>
                <w:highlight w:val="white"/>
              </w:rPr>
              <w:t>дложить систему оценки и проверки собственных предложений)</w:t>
            </w:r>
          </w:p>
          <w:p w:rsidR="001520EB" w:rsidRDefault="005524CA">
            <w:pPr>
              <w:spacing w:line="360" w:lineRule="auto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Формат представления: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Команда должна представить описание ситуации заказчика, фиксацию ключевых проблем и рисков, матрицу ключевых показателей эффективности.</w:t>
            </w:r>
          </w:p>
        </w:tc>
      </w:tr>
      <w:tr w:rsidR="001520EB">
        <w:trPr>
          <w:trHeight w:val="200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Обзор существующих решений </w:t>
            </w:r>
            <w:r>
              <w:rPr>
                <w:i/>
                <w:iCs/>
                <w:color w:val="000000"/>
                <w:sz w:val="30"/>
                <w:szCs w:val="30"/>
              </w:rPr>
              <w:t>(анализ рынка аналогичных решений или технологий, с обоснованием преимуществ и недостатков и аргументацией выбора предлагаемого подхода может вестись по следующим направлениям на выбор)</w:t>
            </w:r>
            <w:r>
              <w:rPr>
                <w:color w:val="000000"/>
                <w:sz w:val="30"/>
                <w:szCs w:val="30"/>
              </w:rPr>
              <w:t>:</w:t>
            </w:r>
          </w:p>
          <w:p w:rsidR="001520EB" w:rsidRDefault="005524CA">
            <w:pPr>
              <w:numPr>
                <w:ilvl w:val="0"/>
                <w:numId w:val="5"/>
              </w:num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сравнительный анализ представленных в раздаточном материале вариантов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 складских площадок</w:t>
            </w:r>
          </w:p>
          <w:p w:rsidR="001520EB" w:rsidRDefault="005524CA">
            <w:pPr>
              <w:numPr>
                <w:ilvl w:val="0"/>
                <w:numId w:val="6"/>
              </w:numPr>
              <w:spacing w:line="360" w:lineRule="auto"/>
              <w:jc w:val="both"/>
              <w:rPr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сравнительный анализ возможных вариантов транспортного обеспечения </w:t>
            </w:r>
          </w:p>
          <w:p w:rsidR="001520EB" w:rsidRDefault="005524CA">
            <w:pPr>
              <w:numPr>
                <w:ilvl w:val="0"/>
                <w:numId w:val="6"/>
              </w:numPr>
              <w:spacing w:line="360" w:lineRule="auto"/>
              <w:jc w:val="both"/>
              <w:rPr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сравнительный анализ IT – систем (или подсистем) автоматизации складов</w:t>
            </w:r>
          </w:p>
          <w:p w:rsidR="001520EB" w:rsidRDefault="005524CA">
            <w:pPr>
              <w:numPr>
                <w:ilvl w:val="0"/>
                <w:numId w:val="6"/>
              </w:numPr>
              <w:spacing w:line="360" w:lineRule="auto"/>
              <w:jc w:val="both"/>
              <w:rPr>
                <w:sz w:val="30"/>
                <w:szCs w:val="30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>сравнительный анализ решения кадровой задачи</w:t>
            </w:r>
            <w:r>
              <w:rPr>
                <w:color w:val="000000"/>
                <w:sz w:val="30"/>
                <w:szCs w:val="30"/>
                <w:highlight w:val="white"/>
              </w:rPr>
              <w:br/>
            </w:r>
            <w:r>
              <w:rPr>
                <w:color w:val="000000"/>
                <w:sz w:val="30"/>
                <w:szCs w:val="30"/>
              </w:rPr>
              <w:t>Формат представления: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Сравнительные таблицы вариантов решения, построенные на определенных на предыдущем этапе показателях эффективности</w:t>
            </w:r>
          </w:p>
        </w:tc>
      </w:tr>
      <w:tr w:rsidR="001520EB">
        <w:trPr>
          <w:trHeight w:val="160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color w:val="000000"/>
                <w:sz w:val="30"/>
                <w:szCs w:val="30"/>
                <w:highlight w:val="white"/>
              </w:rPr>
            </w:pPr>
            <w:r>
              <w:rPr>
                <w:color w:val="000000"/>
                <w:sz w:val="30"/>
                <w:szCs w:val="30"/>
              </w:rPr>
              <w:t xml:space="preserve">Концепция решения </w:t>
            </w:r>
            <w:r>
              <w:rPr>
                <w:i/>
                <w:iCs/>
                <w:color w:val="000000"/>
                <w:sz w:val="30"/>
                <w:szCs w:val="30"/>
              </w:rPr>
              <w:t>(описание сути предложенного метода, подхода или технологии)</w:t>
            </w:r>
            <w:r>
              <w:rPr>
                <w:color w:val="000000"/>
                <w:sz w:val="30"/>
                <w:szCs w:val="30"/>
              </w:rPr>
              <w:t>:</w:t>
            </w:r>
            <w:r>
              <w:rPr>
                <w:color w:val="000000"/>
                <w:sz w:val="30"/>
                <w:szCs w:val="30"/>
              </w:rPr>
              <w:br/>
            </w:r>
            <w:r>
              <w:rPr>
                <w:i/>
                <w:iCs/>
                <w:color w:val="000000"/>
                <w:sz w:val="30"/>
                <w:szCs w:val="30"/>
                <w:highlight w:val="white"/>
              </w:rPr>
              <w:t>1. Под</w:t>
            </w:r>
            <w:r>
              <w:rPr>
                <w:i/>
                <w:iCs/>
                <w:sz w:val="30"/>
                <w:szCs w:val="30"/>
                <w:highlight w:val="white"/>
              </w:rPr>
              <w:t>ход к определению места нахождения</w:t>
            </w:r>
            <w:r>
              <w:rPr>
                <w:i/>
                <w:iCs/>
                <w:color w:val="000000"/>
                <w:sz w:val="30"/>
                <w:szCs w:val="30"/>
                <w:highlight w:val="white"/>
              </w:rPr>
              <w:t xml:space="preserve"> нов</w:t>
            </w:r>
            <w:r>
              <w:rPr>
                <w:i/>
                <w:iCs/>
                <w:sz w:val="30"/>
                <w:szCs w:val="30"/>
                <w:highlight w:val="white"/>
              </w:rPr>
              <w:t>ого</w:t>
            </w:r>
            <w:r>
              <w:rPr>
                <w:i/>
                <w:iCs/>
                <w:color w:val="000000"/>
                <w:sz w:val="30"/>
                <w:szCs w:val="30"/>
                <w:highlight w:val="white"/>
              </w:rPr>
              <w:t xml:space="preserve"> склада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2. Подход к транспортному обеспечению нового склада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3. Результаты анализа текущих складских систем и </w:t>
            </w:r>
            <w:proofErr w:type="gramStart"/>
            <w:r>
              <w:rPr>
                <w:i/>
                <w:iCs/>
                <w:sz w:val="30"/>
                <w:szCs w:val="30"/>
                <w:highlight w:val="white"/>
              </w:rPr>
              <w:t>концепция  автоматизации</w:t>
            </w:r>
            <w:proofErr w:type="gramEnd"/>
            <w:r>
              <w:rPr>
                <w:i/>
                <w:iCs/>
                <w:sz w:val="30"/>
                <w:szCs w:val="30"/>
                <w:highlight w:val="white"/>
              </w:rPr>
              <w:t xml:space="preserve"> нового склада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4. Концепция кадрового обеспечения нового склада</w:t>
            </w:r>
          </w:p>
          <w:p w:rsidR="001520EB" w:rsidRDefault="005524CA">
            <w:pPr>
              <w:spacing w:line="360" w:lineRule="auto"/>
              <w:jc w:val="both"/>
              <w:rPr>
                <w:color w:val="000000"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5. Концепция обеспечения климатических зон</w:t>
            </w:r>
            <w:r>
              <w:rPr>
                <w:color w:val="000000"/>
                <w:sz w:val="30"/>
                <w:szCs w:val="30"/>
                <w:highlight w:val="white"/>
              </w:rPr>
              <w:br/>
              <w:t>Формат представления: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Те</w:t>
            </w:r>
            <w:r>
              <w:rPr>
                <w:i/>
                <w:iCs/>
                <w:sz w:val="30"/>
                <w:szCs w:val="30"/>
                <w:highlight w:val="white"/>
              </w:rPr>
              <w:t>кстовое описание комплексной гипотезы проектного решения, включающая в себя все разделы указанных выше подзадач.</w:t>
            </w:r>
          </w:p>
        </w:tc>
      </w:tr>
      <w:tr w:rsidR="001520EB">
        <w:trPr>
          <w:trHeight w:val="3200"/>
        </w:trPr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36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1520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color w:val="000000"/>
                <w:sz w:val="30"/>
                <w:szCs w:val="30"/>
              </w:rPr>
              <w:t xml:space="preserve">Архитектура решения и детализация внедрения </w:t>
            </w:r>
            <w:r>
              <w:rPr>
                <w:i/>
                <w:iCs/>
                <w:color w:val="000000"/>
                <w:sz w:val="30"/>
                <w:szCs w:val="30"/>
              </w:rPr>
              <w:t>(анализ проработанности решения и понимания участниками процесса его практической реализации; де</w:t>
            </w:r>
            <w:r>
              <w:rPr>
                <w:i/>
                <w:iCs/>
                <w:color w:val="000000"/>
                <w:sz w:val="30"/>
                <w:szCs w:val="30"/>
              </w:rPr>
              <w:t>тальная схема внедрения решения в существующую производственную ситуацию, с указанием компонентов, взаимодействий и логики работы, а также технических характеристик и ресурсных затрат)</w:t>
            </w:r>
            <w:r>
              <w:rPr>
                <w:color w:val="000000"/>
                <w:sz w:val="30"/>
                <w:szCs w:val="30"/>
              </w:rPr>
              <w:t>:</w:t>
            </w:r>
            <w:r>
              <w:rPr>
                <w:color w:val="000000"/>
                <w:sz w:val="30"/>
                <w:szCs w:val="30"/>
              </w:rPr>
              <w:br/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План переезда склада </w:t>
            </w:r>
          </w:p>
          <w:p w:rsidR="001520EB" w:rsidRDefault="005524CA">
            <w:pPr>
              <w:spacing w:line="360" w:lineRule="auto"/>
              <w:jc w:val="both"/>
              <w:rPr>
                <w:color w:val="000000"/>
                <w:sz w:val="30"/>
                <w:szCs w:val="30"/>
                <w:highlight w:val="white"/>
              </w:rPr>
            </w:pPr>
            <w:r>
              <w:rPr>
                <w:color w:val="000000"/>
                <w:sz w:val="30"/>
                <w:szCs w:val="30"/>
                <w:highlight w:val="white"/>
              </w:rPr>
              <w:br/>
              <w:t>Формат представления: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План переезда склада должен быть представлен в формате диаграммы </w:t>
            </w:r>
            <w:proofErr w:type="spellStart"/>
            <w:r>
              <w:rPr>
                <w:i/>
                <w:iCs/>
                <w:sz w:val="30"/>
                <w:szCs w:val="30"/>
                <w:highlight w:val="white"/>
              </w:rPr>
              <w:t>Ганта</w:t>
            </w:r>
            <w:proofErr w:type="spellEnd"/>
            <w:r>
              <w:rPr>
                <w:i/>
                <w:iCs/>
                <w:sz w:val="30"/>
                <w:szCs w:val="30"/>
                <w:highlight w:val="white"/>
              </w:rPr>
              <w:t xml:space="preserve"> или аналогичном</w:t>
            </w:r>
          </w:p>
        </w:tc>
      </w:tr>
      <w:tr w:rsidR="001520EB">
        <w:trPr>
          <w:trHeight w:val="3200"/>
        </w:trPr>
        <w:tc>
          <w:tcPr>
            <w:tcW w:w="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4</w:t>
            </w:r>
          </w:p>
        </w:tc>
        <w:tc>
          <w:tcPr>
            <w:tcW w:w="3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Ожидаемый результат и формат представления. Практическая часть.</w:t>
            </w: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1. Географическая точка на карте с экономическим обоснованием, указание конкретного реально существующего склада (можно предложить несколько вариантов)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2. Расчет транспортного обеспечения нового склада: сколько единиц техники и какой грузоподъёмности потр</w:t>
            </w:r>
            <w:r>
              <w:rPr>
                <w:i/>
                <w:iCs/>
                <w:sz w:val="30"/>
                <w:szCs w:val="30"/>
                <w:highlight w:val="white"/>
              </w:rPr>
              <w:t xml:space="preserve">ебуется, как изменятся ключевые маршруты.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 xml:space="preserve">3. Схема процессов склада, выделение процессов для автоматизации, план автоматизации нового склада, </w:t>
            </w:r>
            <w:r>
              <w:rPr>
                <w:i/>
                <w:iCs/>
                <w:sz w:val="30"/>
                <w:szCs w:val="30"/>
                <w:highlight w:val="white"/>
              </w:rPr>
              <w:lastRenderedPageBreak/>
              <w:t xml:space="preserve">экономическое обоснование автоматизации выбранных процессов, расчет издержек на запланированную автоматизацию. 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4</w:t>
            </w:r>
            <w:r>
              <w:rPr>
                <w:i/>
                <w:iCs/>
                <w:sz w:val="30"/>
                <w:szCs w:val="30"/>
                <w:highlight w:val="white"/>
              </w:rPr>
              <w:t>. План кадрового обеспечения, комплекс кадровых и компенсационных мер, экономическое обоснование представленного плана, расчет издержек на запланированные компенсационные меры.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5. План организации климатических зон, их связь с процессами автоматизации.</w:t>
            </w:r>
          </w:p>
          <w:p w:rsidR="001520EB" w:rsidRDefault="001520EB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sz w:val="30"/>
                <w:szCs w:val="30"/>
                <w:highlight w:val="white"/>
              </w:rPr>
              <w:t>Фо</w:t>
            </w:r>
            <w:r>
              <w:rPr>
                <w:sz w:val="30"/>
                <w:szCs w:val="30"/>
                <w:highlight w:val="white"/>
              </w:rPr>
              <w:t>рмат представления:</w:t>
            </w:r>
          </w:p>
          <w:p w:rsidR="001520EB" w:rsidRDefault="005524CA">
            <w:pPr>
              <w:spacing w:line="360" w:lineRule="auto"/>
              <w:jc w:val="both"/>
              <w:rPr>
                <w:i/>
                <w:iCs/>
                <w:sz w:val="30"/>
                <w:szCs w:val="30"/>
                <w:highlight w:val="white"/>
              </w:rPr>
            </w:pPr>
            <w:r>
              <w:rPr>
                <w:i/>
                <w:iCs/>
                <w:sz w:val="30"/>
                <w:szCs w:val="30"/>
                <w:highlight w:val="white"/>
              </w:rPr>
              <w:t>Презентация, возможны дополнительные материалы в табличной форме,</w:t>
            </w:r>
          </w:p>
        </w:tc>
      </w:tr>
    </w:tbl>
    <w:p w:rsidR="001520EB" w:rsidRDefault="001520EB">
      <w:pPr>
        <w:spacing w:line="360" w:lineRule="auto"/>
        <w:ind w:left="-426"/>
      </w:pPr>
    </w:p>
    <w:sectPr w:rsidR="001520EB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roman"/>
    <w:notTrueType/>
    <w:pitch w:val="default"/>
    <w:embedRegular r:id="rId1" w:fontKey="{18C40DE7-6D5F-472E-9275-F88283E8BC3C}"/>
  </w:font>
  <w:font w:name="Georgia">
    <w:panose1 w:val="02040502050405020303"/>
    <w:charset w:val="00"/>
    <w:family w:val="auto"/>
    <w:pitch w:val="default"/>
    <w:embedItalic r:id="rId2" w:fontKey="{F05DB905-EB4B-4375-A8D7-728B94858389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92EE88FC-0FC1-4234-AF59-040CA848EE1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51EC3AA-665F-45CD-B4B6-AEBF645C32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7517B"/>
    <w:multiLevelType w:val="multilevel"/>
    <w:tmpl w:val="52889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4D69BB"/>
    <w:multiLevelType w:val="multilevel"/>
    <w:tmpl w:val="EF0AD0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546F67"/>
    <w:multiLevelType w:val="multilevel"/>
    <w:tmpl w:val="2F52D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6F23ED2"/>
    <w:multiLevelType w:val="multilevel"/>
    <w:tmpl w:val="585E79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0C2C0E"/>
    <w:multiLevelType w:val="multilevel"/>
    <w:tmpl w:val="A12C9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D421942"/>
    <w:multiLevelType w:val="multilevel"/>
    <w:tmpl w:val="57943E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0EB"/>
    <w:rsid w:val="001520EB"/>
    <w:rsid w:val="0055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9837B"/>
  <w15:docId w15:val="{15A063EC-B15E-4C6B-B8F5-E0CFDD2B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No Spacing"/>
    <w:uiPriority w:val="1"/>
    <w:qFormat/>
    <w:rsid w:val="00392AB1"/>
    <w:pPr>
      <w:spacing w:before="360" w:after="360"/>
      <w:ind w:firstLine="709"/>
      <w:jc w:val="both"/>
    </w:pPr>
    <w:rPr>
      <w:rFonts w:eastAsia="Arial Unicode MS"/>
      <w:sz w:val="30"/>
      <w:lang w:val="en-US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link w:val="a7"/>
    <w:uiPriority w:val="99"/>
    <w:semiHidden/>
    <w:unhideWhenUsed/>
    <w:rsid w:val="00755A4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55A44"/>
    <w:rPr>
      <w:rFonts w:ascii="Segoe UI" w:hAnsi="Segoe UI" w:cs="Segoe UI"/>
      <w:sz w:val="18"/>
      <w:szCs w:val="18"/>
    </w:rPr>
  </w:style>
  <w:style w:type="paragraph" w:styleId="a8">
    <w:name w:val="List Paragraph"/>
    <w:uiPriority w:val="34"/>
    <w:qFormat/>
    <w:rsid w:val="00D91776"/>
    <w:pPr>
      <w:ind w:left="720"/>
      <w:contextualSpacing/>
    </w:p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8EOQ2kcZerXxfzRk1NZpM869Q==">CgMxLjAyDmgudjUzd3llaW1iZDJqOABqKAoUc3VnZ2VzdC42aXZpbnVpaTd2c3ESEEFudG9uaW5hIEdyb215a29yITFQbklRcFVoWmN6WkRXLTc2SnpfZkRMYldUTEU2SGh5dw==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2061</Words>
  <Characters>11753</Characters>
  <Application>Microsoft Office Word</Application>
  <DocSecurity>0</DocSecurity>
  <Lines>97</Lines>
  <Paragraphs>27</Paragraphs>
  <ScaleCrop>false</ScaleCrop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Людмила Винарская</dc:creator>
  <cp:lastModifiedBy>ADMIN</cp:lastModifiedBy>
  <cp:revision>2</cp:revision>
  <dcterms:created xsi:type="dcterms:W3CDTF">2025-11-05T10:31:00Z</dcterms:created>
  <dcterms:modified xsi:type="dcterms:W3CDTF">2025-11-10T19:47:00Z</dcterms:modified>
</cp:coreProperties>
</file>