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893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55"/>
        <w:gridCol w:w="1473"/>
        <w:gridCol w:w="1080"/>
        <w:gridCol w:w="399"/>
        <w:gridCol w:w="3030"/>
      </w:tblGrid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29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ID: 2</w:t>
            </w:r>
          </w:p>
        </w:tc>
        <w:tc>
          <w:tcPr>
            <w:tcW w:type="dxa" w:w="2952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Type: NFR</w:t>
            </w:r>
          </w:p>
        </w:tc>
        <w:tc>
          <w:tcPr>
            <w:tcW w:type="dxa" w:w="3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Event/Use Case N/A</w:t>
            </w:r>
          </w:p>
        </w:tc>
      </w:tr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Description: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The system shall be secure</w:t>
            </w:r>
          </w:p>
        </w:tc>
      </w:tr>
      <w:tr>
        <w:tblPrEx>
          <w:shd w:val="clear" w:color="auto" w:fill="ced7e7"/>
        </w:tblPrEx>
        <w:trPr>
          <w:trHeight w:val="47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Rationale: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WebSRU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 is a software systems which stores sensitive data about its customers, we keep our pictures encrypted but encryption keys still could be stolen.</w:t>
            </w:r>
          </w:p>
        </w:tc>
      </w:tr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Source: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WebSRU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 xml:space="preserve"> initial statement of requirements and relevant regulations on storing sensitive data.</w:t>
            </w:r>
          </w:p>
        </w:tc>
      </w:tr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Fit Criteria: The system is complaint with ISO 27001/ISO27005</w:t>
            </w:r>
          </w:p>
        </w:tc>
      </w:tr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Satisfaction: 4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Dissatisfaction: 3</w:t>
            </w:r>
          </w:p>
        </w:tc>
      </w:tr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Priority: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Highly important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Conflicts: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None</w:t>
            </w:r>
          </w:p>
        </w:tc>
      </w:tr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Supporting Material: </w:t>
            </w:r>
            <w:r>
              <w:rPr>
                <w:rFonts w:ascii="Marker Felt" w:hAnsi="Marker Felt"/>
                <w:b w:val="1"/>
                <w:bCs w:val="1"/>
                <w:sz w:val="20"/>
                <w:szCs w:val="20"/>
                <w:rtl w:val="0"/>
                <w:lang w:val="en-US"/>
              </w:rPr>
              <w:t>Relevant regulations in the UK.</w:t>
            </w:r>
          </w:p>
        </w:tc>
        <w:tc>
          <w:tcPr>
            <w:tcW w:type="dxa" w:w="3429"/>
            <w:gridSpan w:val="2"/>
            <w:vMerge w:val="restart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36"/>
                <w:szCs w:val="36"/>
                <w:rtl w:val="0"/>
                <w:lang w:val="en-US"/>
              </w:rPr>
              <w:t>Volere</w:t>
            </w:r>
            <w:r>
              <w:rPr>
                <w:rFonts w:ascii="Times New Roman" w:cs="Times New Roman" w:hAnsi="Times New Roman" w:eastAsia="Times New Roman"/>
                <w:sz w:val="36"/>
                <w:szCs w:val="36"/>
                <w:lang w:val="en-US"/>
              </w:rPr>
              <w:br w:type="textWrapping"/>
            </w:r>
            <w:r>
              <w:rPr>
                <w:rFonts w:ascii="Times New Roman" w:cs="Times New Roman" w:hAnsi="Times New Roman" w:eastAsia="Times New Roman"/>
                <w:sz w:val="24"/>
                <w:szCs w:val="24"/>
                <w:lang w:val="en-US"/>
              </w:rPr>
              <w:br w:type="textWrapping"/>
            </w:r>
            <w:r>
              <w:rPr>
                <w:rFonts w:ascii="Times New Roman" w:hAnsi="Times New Roman"/>
                <w:sz w:val="24"/>
                <w:szCs w:val="24"/>
                <w:rtl w:val="0"/>
                <w:lang w:val="en-US"/>
              </w:rPr>
              <w:t>Source: Atlantic Systems Guild</w:t>
            </w:r>
          </w:p>
        </w:tc>
      </w:tr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History: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June 25, 2009 Passed Quality Gateway review</w:t>
            </w:r>
          </w:p>
        </w:tc>
        <w:tc>
          <w:tcPr>
            <w:tcW w:type="dxa" w:w="3429"/>
            <w:gridSpan w:val="2"/>
            <w:vMerge w:val="continue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955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7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08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99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3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"/>
        <w:widowControl w:val="0"/>
        <w:ind w:left="108" w:hanging="108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Marker Fel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