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251.99999999999994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25"/>
        <w:gridCol w:w="105"/>
        <w:gridCol w:w="105"/>
        <w:gridCol w:w="105"/>
        <w:gridCol w:w="2550"/>
        <w:gridCol w:w="105"/>
        <w:tblGridChange w:id="0">
          <w:tblGrid>
            <w:gridCol w:w="8625"/>
            <w:gridCol w:w="105"/>
            <w:gridCol w:w="105"/>
            <w:gridCol w:w="105"/>
            <w:gridCol w:w="2550"/>
            <w:gridCol w:w="105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50"/>
                <w:szCs w:val="50"/>
                <w:rtl w:val="0"/>
              </w:rPr>
              <w:t xml:space="preserve">Mauricio Peralta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Buenos Aires, Argentina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·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www.linkedin.com/in/mauricio-mauricio/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· mauricio.2003.js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after="240" w:before="240" w:line="276" w:lineRule="auto"/>
              <w:rPr>
                <w:rFonts w:ascii="Arial" w:cs="Arial" w:eastAsia="Arial" w:hAnsi="Arial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e0e0e"/>
                <w:sz w:val="21"/>
                <w:szCs w:val="21"/>
                <w:rtl w:val="0"/>
              </w:rPr>
              <w:t xml:space="preserve">Soy una persona con un fuerte interés en tecnología. Actualmente curso la carrera de ING. En Sistemas de la Información en UTN y desarrollo habilidades en programación. Tengo experiencia de 2 años programando páginas web y otras aplicaciones , busco crecer profesionalmente e incorporarme a un equipo donde seguir creciendo.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2023-Actualidad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854.999999999999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una calculadora de márgenes de ganancia (“Chilling”) usando HTML, CSS y Python, orientada a negocios de bebidas.</w:t>
              <w:br w:type="textWrapping"/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Optimización de mi CV , usando lenguajes  como HTML , CSS y JS.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y mantenimiento de sitios web para clientes como “Alev Mayorista”, mejorando su rendimiento y presencia online.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B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HABILIDADES TÉCNICAS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jc w:val="lef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60" w:lineRule="auto"/>
              <w:ind w:left="720" w:right="851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Lenguajes y tecnologías: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HTML, CSS, JavaScript, React, Python, SQL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60" w:lineRule="auto"/>
              <w:ind w:left="720" w:right="851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Herramientas: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Git, GitHub, VS Code, Excel, Google Drive, Google Sheets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Otras: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IA aplicada, automatización de procesos, metodologías ágiles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presentación y gestión de documentos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optimización de distintos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1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7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HABILIDADES BLANDAS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Trabajo en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Liderazgo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Pensamiento crítico y disruptivo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Capacidad de análisis y resolución de problemas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Adaptabilidad y aprendizaje rápido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Habilidad de comunicación efectiva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puntual , organizado y metódico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60" w:lineRule="auto"/>
              <w:ind w:left="641" w:hanging="35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Creatividad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UNIVERSIDAD TECNOLÓGICA NACIONAL (UTN)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ING. En Sistemas De La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4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60" w:line="259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Creador de contenido en redes sociales , (podcasts)</w:t>
            </w:r>
          </w:p>
          <w:p w:rsidR="00000000" w:rsidDel="00000000" w:rsidP="00000000" w:rsidRDefault="00000000" w:rsidRPr="00000000" w14:paraId="00000091">
            <w:pPr>
              <w:spacing w:after="240" w:before="240" w:line="259" w:lineRule="auto"/>
              <w:ind w:left="720" w:right="600" w:firstLine="0"/>
              <w:rPr>
                <w:rFonts w:ascii="STIX Two Text" w:cs="STIX Two Text" w:eastAsia="STIX Two Text" w:hAnsi="STIX Two Tex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Inglés intermedio (B1) – en formación continua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3.541666666666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7">
            <w:pPr>
              <w:spacing w:after="240" w:before="240" w:line="259" w:lineRule="auto"/>
              <w:ind w:left="0" w:right="60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34.0" w:type="dxa"/>
              <w:left w:w="1134.0" w:type="dxa"/>
              <w:bottom w:w="567.0" w:type="dxa"/>
              <w:right w:w="1134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Poppins" w:cs="Poppins" w:eastAsia="Poppins" w:hAnsi="Poppins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www.linkedin.com/in/mauricio-mauricio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