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6A5" w:rsidRDefault="00D962BF" w:rsidP="001D738D">
      <w:pPr>
        <w:jc w:val="center"/>
      </w:pPr>
      <w:r>
        <w:rPr>
          <w:noProof/>
        </w:rPr>
        <w:drawing>
          <wp:inline distT="0" distB="0" distL="0" distR="0">
            <wp:extent cx="3800475" cy="1419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38D" w:rsidRDefault="001D738D"/>
    <w:p w:rsidR="001D738D" w:rsidRDefault="001D738D" w:rsidP="001D738D">
      <w:pPr>
        <w:pStyle w:val="Title"/>
        <w:jc w:val="center"/>
      </w:pPr>
    </w:p>
    <w:p w:rsidR="001D738D" w:rsidRDefault="001D738D" w:rsidP="001D738D">
      <w:pPr>
        <w:pStyle w:val="Title"/>
        <w:jc w:val="center"/>
      </w:pPr>
      <w:r>
        <w:t>Recommendation for the Adoption of Single File Schema for PESC Standards</w:t>
      </w:r>
    </w:p>
    <w:p w:rsidR="001D738D" w:rsidRDefault="001D738D" w:rsidP="001D738D">
      <w:pPr>
        <w:pStyle w:val="Title"/>
      </w:pPr>
    </w:p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Pr="004905AD" w:rsidRDefault="001D738D" w:rsidP="001D738D">
      <w:pPr>
        <w:pStyle w:val="Subtitle"/>
        <w:jc w:val="center"/>
        <w:rPr>
          <w:sz w:val="28"/>
          <w:szCs w:val="28"/>
        </w:rPr>
      </w:pPr>
      <w:r w:rsidRPr="004905AD">
        <w:rPr>
          <w:sz w:val="28"/>
          <w:szCs w:val="28"/>
        </w:rPr>
        <w:t>Prepared by the PESC Technical Advisory Board</w:t>
      </w:r>
    </w:p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>
      <w:pPr>
        <w:pStyle w:val="Heading1"/>
      </w:pPr>
      <w:r>
        <w:lastRenderedPageBreak/>
        <w:t>Introduction</w:t>
      </w:r>
    </w:p>
    <w:p w:rsidR="00575BE0" w:rsidRDefault="00557A26" w:rsidP="001D738D">
      <w:r>
        <w:t>PESC standards use</w:t>
      </w:r>
      <w:r w:rsidR="001D738D">
        <w:t xml:space="preserve"> the W3C Schema Language to specify the structure of interchange messages</w:t>
      </w:r>
      <w:r>
        <w:t xml:space="preserve">.  These schemas </w:t>
      </w:r>
      <w:r w:rsidR="00DB233D">
        <w:t>allow</w:t>
      </w:r>
      <w:r>
        <w:t xml:space="preserve"> for </w:t>
      </w:r>
      <w:r w:rsidR="00DB233D">
        <w:t xml:space="preserve">the </w:t>
      </w:r>
      <w:r>
        <w:t xml:space="preserve">precise specification of data </w:t>
      </w:r>
      <w:r w:rsidR="007F4BE5">
        <w:t xml:space="preserve">content and element ordering.  PESC has recognized two types of schema objects: schema elements and types that are specific to a particular application domain (called a sector) and those that are generally applicable to all applications (called core </w:t>
      </w:r>
      <w:r w:rsidR="003D3F62">
        <w:t xml:space="preserve">main).  As new standards were developed, components were added to these schemas and </w:t>
      </w:r>
      <w:r w:rsidR="00575BE0">
        <w:t xml:space="preserve">imported into the top level schema.  This </w:t>
      </w:r>
      <w:r w:rsidR="006E7F1D">
        <w:t xml:space="preserve">approach of using an </w:t>
      </w:r>
      <w:r w:rsidR="003D3F62">
        <w:t xml:space="preserve">import dependent </w:t>
      </w:r>
      <w:r w:rsidR="00575BE0">
        <w:t>schema</w:t>
      </w:r>
      <w:r w:rsidR="003D3F62">
        <w:t xml:space="preserve"> </w:t>
      </w:r>
      <w:r w:rsidR="00575BE0">
        <w:t>causes several problems.</w:t>
      </w:r>
    </w:p>
    <w:p w:rsidR="00575BE0" w:rsidRDefault="00575BE0" w:rsidP="001D738D"/>
    <w:p w:rsidR="002C5708" w:rsidRDefault="00665724" w:rsidP="001D738D">
      <w:pPr>
        <w:pStyle w:val="ListParagraph"/>
        <w:numPr>
          <w:ilvl w:val="0"/>
          <w:numId w:val="1"/>
        </w:numPr>
      </w:pPr>
      <w:r w:rsidRPr="00665724">
        <w:rPr>
          <w:b/>
        </w:rPr>
        <w:t>Validation Resources</w:t>
      </w:r>
      <w:r>
        <w:t>.</w:t>
      </w:r>
      <w:r w:rsidR="00575BE0">
        <w:t xml:space="preserve"> </w:t>
      </w:r>
      <w:r>
        <w:t>V</w:t>
      </w:r>
      <w:r w:rsidR="006E7F1D">
        <w:t>alidation</w:t>
      </w:r>
      <w:r w:rsidR="00575BE0">
        <w:t xml:space="preserve"> of a</w:t>
      </w:r>
      <w:r w:rsidR="002C5708">
        <w:t>n</w:t>
      </w:r>
      <w:r w:rsidR="00575BE0">
        <w:t xml:space="preserve"> instance document by the schema requires</w:t>
      </w:r>
      <w:r w:rsidR="006E7F1D">
        <w:t xml:space="preserve"> more memory and processing capability</w:t>
      </w:r>
      <w:r w:rsidR="00575BE0">
        <w:t xml:space="preserve"> </w:t>
      </w:r>
      <w:r w:rsidR="006E7F1D">
        <w:t xml:space="preserve">with each new release.  While processing capacity and memory for information systems is increasing, the TAB has received reports of some validations taking significant time and </w:t>
      </w:r>
      <w:r>
        <w:t xml:space="preserve">requiring significant </w:t>
      </w:r>
      <w:r w:rsidR="006E7F1D">
        <w:t>computer resources.</w:t>
      </w:r>
      <w:r w:rsidR="002C5708">
        <w:t xml:space="preserve"> </w:t>
      </w:r>
    </w:p>
    <w:p w:rsidR="006E7F1D" w:rsidRDefault="00665724" w:rsidP="001D738D">
      <w:pPr>
        <w:pStyle w:val="ListParagraph"/>
        <w:numPr>
          <w:ilvl w:val="0"/>
          <w:numId w:val="1"/>
        </w:numPr>
      </w:pPr>
      <w:r w:rsidRPr="00665724">
        <w:rPr>
          <w:b/>
        </w:rPr>
        <w:t>Library Version Assembly.</w:t>
      </w:r>
      <w:r>
        <w:t xml:space="preserve"> </w:t>
      </w:r>
      <w:r w:rsidR="002C5708">
        <w:t xml:space="preserve">Someone wishing to validate an instance document must also determine exactly which versions of each library are required and place them in the appropriate location for validation.  If multiple versions </w:t>
      </w:r>
      <w:r w:rsidR="005B65D6">
        <w:t xml:space="preserve">of the libraries </w:t>
      </w:r>
      <w:r w:rsidR="002C5708">
        <w:t>are kept, it is possible that a developer may use the wrong version of a component and thus allow defects to propagate through the processing software for creating messages.</w:t>
      </w:r>
    </w:p>
    <w:p w:rsidR="002C5708" w:rsidRDefault="00980577" w:rsidP="001D738D">
      <w:pPr>
        <w:pStyle w:val="ListParagraph"/>
        <w:numPr>
          <w:ilvl w:val="0"/>
          <w:numId w:val="1"/>
        </w:numPr>
      </w:pPr>
      <w:r w:rsidRPr="00980577">
        <w:rPr>
          <w:b/>
        </w:rPr>
        <w:t>Version Management.</w:t>
      </w:r>
      <w:r w:rsidR="006E7F1D">
        <w:t xml:space="preserve"> PESC has to manage many versions of sector and core libraries.  Since a standard explicitly names its import libraries and their version</w:t>
      </w:r>
      <w:r w:rsidR="00665724">
        <w:t>s</w:t>
      </w:r>
      <w:r w:rsidR="006E7F1D">
        <w:t>, the library schemas must be maintained until the standa</w:t>
      </w:r>
      <w:r w:rsidR="003D3F62">
        <w:t>rd is upgraded to a more recent</w:t>
      </w:r>
      <w:r w:rsidR="006E7F1D">
        <w:t xml:space="preserve"> library.  This a</w:t>
      </w:r>
      <w:r w:rsidR="00A6545C">
        <w:t>lso requires that the CCB track</w:t>
      </w:r>
      <w:r w:rsidR="003D3F62">
        <w:t>s</w:t>
      </w:r>
      <w:r w:rsidR="006E7F1D">
        <w:t xml:space="preserve"> the versions used by each standard to know when an older version can be deprecated.  </w:t>
      </w:r>
    </w:p>
    <w:p w:rsidR="002C5708" w:rsidRDefault="00980577" w:rsidP="001D738D">
      <w:pPr>
        <w:pStyle w:val="ListParagraph"/>
        <w:numPr>
          <w:ilvl w:val="0"/>
          <w:numId w:val="1"/>
        </w:numPr>
      </w:pPr>
      <w:r w:rsidRPr="00980577">
        <w:rPr>
          <w:b/>
        </w:rPr>
        <w:t>Change Management.</w:t>
      </w:r>
      <w:r>
        <w:t xml:space="preserve"> M</w:t>
      </w:r>
      <w:r w:rsidR="002C5708">
        <w:t xml:space="preserve">ultiple versions </w:t>
      </w:r>
      <w:r>
        <w:t xml:space="preserve">of libraries </w:t>
      </w:r>
      <w:r w:rsidR="002C5708">
        <w:t>discourage</w:t>
      </w:r>
      <w:r w:rsidR="006E7F1D">
        <w:t xml:space="preserve"> using the latest version since it is difficult to know </w:t>
      </w:r>
      <w:r>
        <w:t xml:space="preserve">which </w:t>
      </w:r>
      <w:r w:rsidR="006E7F1D">
        <w:t xml:space="preserve">components have changed from one version </w:t>
      </w:r>
      <w:r>
        <w:t xml:space="preserve">of a library </w:t>
      </w:r>
      <w:r w:rsidR="006E7F1D">
        <w:t xml:space="preserve">to </w:t>
      </w:r>
      <w:r w:rsidR="002C5708">
        <w:t>another.  This occurs because changes to a library version may include changes from several standards. This</w:t>
      </w:r>
      <w:r w:rsidR="006E7F1D">
        <w:t xml:space="preserve"> makes moving to a later library </w:t>
      </w:r>
      <w:r w:rsidR="002C5708">
        <w:t>risky</w:t>
      </w:r>
      <w:r w:rsidR="006E7F1D">
        <w:t xml:space="preserve"> and requires a labor intensive mapping betwee</w:t>
      </w:r>
      <w:r w:rsidR="00A6545C">
        <w:t>n the old and the new libraries.</w:t>
      </w:r>
    </w:p>
    <w:p w:rsidR="002C5708" w:rsidRDefault="00980577" w:rsidP="00665724">
      <w:pPr>
        <w:pStyle w:val="ListParagraph"/>
        <w:numPr>
          <w:ilvl w:val="0"/>
          <w:numId w:val="1"/>
        </w:numPr>
      </w:pPr>
      <w:r w:rsidRPr="00980577">
        <w:rPr>
          <w:b/>
        </w:rPr>
        <w:t>Component Identification.</w:t>
      </w:r>
      <w:r>
        <w:t xml:space="preserve"> I</w:t>
      </w:r>
      <w:r w:rsidR="003D3F62">
        <w:t>t is</w:t>
      </w:r>
      <w:r w:rsidR="002C5708">
        <w:t xml:space="preserve"> difficult to determine exactly which components are actually used by a standard.  To determine the components in a standard, one needs t</w:t>
      </w:r>
      <w:r w:rsidR="005B65D6">
        <w:t>o walk through every “t</w:t>
      </w:r>
      <w:r w:rsidR="00665724">
        <w:t>ype”, “ref”, and embedded type</w:t>
      </w:r>
      <w:r w:rsidR="005B65D6">
        <w:t xml:space="preserve"> </w:t>
      </w:r>
      <w:r w:rsidR="002C5708">
        <w:t xml:space="preserve">to discover </w:t>
      </w:r>
      <w:r w:rsidR="005B65D6">
        <w:t xml:space="preserve">all components used in a standard.  While this process can be automated, this requires </w:t>
      </w:r>
      <w:r w:rsidR="00665724">
        <w:t>programming</w:t>
      </w:r>
      <w:r w:rsidR="005B65D6">
        <w:t xml:space="preserve"> </w:t>
      </w:r>
      <w:r w:rsidR="00306F13">
        <w:t xml:space="preserve">that has </w:t>
      </w:r>
      <w:r w:rsidR="005B65D6">
        <w:t>not been generally available to the PESC community.</w:t>
      </w:r>
    </w:p>
    <w:p w:rsidR="005B65D6" w:rsidRDefault="005B65D6" w:rsidP="001D738D"/>
    <w:p w:rsidR="005B65D6" w:rsidRDefault="005B65D6" w:rsidP="005B65D6">
      <w:pPr>
        <w:pStyle w:val="Heading1"/>
      </w:pPr>
      <w:r>
        <w:t>Single File Schema Approach</w:t>
      </w:r>
    </w:p>
    <w:p w:rsidR="002C5708" w:rsidRDefault="002C5708" w:rsidP="001D738D"/>
    <w:p w:rsidR="002C5708" w:rsidRDefault="00665724" w:rsidP="001D738D">
      <w:r>
        <w:t>T</w:t>
      </w:r>
      <w:r w:rsidR="00A6545C">
        <w:t xml:space="preserve">he single file schema approach </w:t>
      </w:r>
      <w:r w:rsidR="009A1FD5">
        <w:t>keep</w:t>
      </w:r>
      <w:r w:rsidR="00A6545C">
        <w:t>s</w:t>
      </w:r>
      <w:r w:rsidR="009A1FD5">
        <w:t xml:space="preserve"> all components (</w:t>
      </w:r>
      <w:r>
        <w:t xml:space="preserve">elements, types, and groups) </w:t>
      </w:r>
      <w:r w:rsidR="009A1FD5">
        <w:t xml:space="preserve">for a standard </w:t>
      </w:r>
      <w:r w:rsidR="00A6545C">
        <w:t xml:space="preserve">in a single file.  This schema can be used to </w:t>
      </w:r>
      <w:r w:rsidR="009A1FD5">
        <w:t xml:space="preserve">validate application </w:t>
      </w:r>
      <w:r>
        <w:t>message</w:t>
      </w:r>
      <w:r w:rsidR="009A1FD5">
        <w:t>s</w:t>
      </w:r>
      <w:r>
        <w:t xml:space="preserve"> and </w:t>
      </w:r>
      <w:r w:rsidR="00A6545C">
        <w:t>to create</w:t>
      </w:r>
      <w:r>
        <w:t xml:space="preserve"> messages. This approach resolves the issues listed above with multi-file schemas since the schema is completely self-contained and has no dependencies on any other schema</w:t>
      </w:r>
      <w:r w:rsidR="009A1FD5">
        <w:t>:</w:t>
      </w:r>
    </w:p>
    <w:p w:rsidR="00EA7EC4" w:rsidRDefault="00980577" w:rsidP="00EA7EC4">
      <w:pPr>
        <w:pStyle w:val="ListParagraph"/>
        <w:numPr>
          <w:ilvl w:val="0"/>
          <w:numId w:val="2"/>
        </w:numPr>
      </w:pPr>
      <w:r w:rsidRPr="00665724">
        <w:rPr>
          <w:b/>
        </w:rPr>
        <w:lastRenderedPageBreak/>
        <w:t>Validation Resources</w:t>
      </w:r>
      <w:r>
        <w:t xml:space="preserve">. </w:t>
      </w:r>
      <w:r w:rsidR="009A1FD5">
        <w:t>Since the schema is considerably</w:t>
      </w:r>
      <w:r>
        <w:t xml:space="preserve"> smaller and is only in one document, memory and processing requirement should be significantly reduced</w:t>
      </w:r>
      <w:r w:rsidR="00EA7EC4">
        <w:t>.</w:t>
      </w:r>
      <w:r w:rsidR="00305452">
        <w:t xml:space="preserve">  The table below shows the reduction in size of some standards that have been  converted:</w:t>
      </w:r>
    </w:p>
    <w:tbl>
      <w:tblPr>
        <w:tblW w:w="7740" w:type="dxa"/>
        <w:tblInd w:w="735" w:type="dxa"/>
        <w:tblLayout w:type="fixed"/>
        <w:tblCellMar>
          <w:left w:w="0" w:type="dxa"/>
          <w:right w:w="0" w:type="dxa"/>
        </w:tblCellMar>
        <w:tblLook w:val="04A0"/>
      </w:tblPr>
      <w:tblGrid>
        <w:gridCol w:w="2250"/>
        <w:gridCol w:w="1530"/>
        <w:gridCol w:w="1440"/>
        <w:gridCol w:w="1170"/>
        <w:gridCol w:w="1350"/>
      </w:tblGrid>
      <w:tr w:rsidR="00305452" w:rsidRPr="00305452" w:rsidTr="006255EE">
        <w:trPr>
          <w:cantSplit/>
          <w:trHeight w:val="432"/>
        </w:trPr>
        <w:tc>
          <w:tcPr>
            <w:tcW w:w="22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05452" w:rsidRPr="00305452" w:rsidRDefault="00305452" w:rsidP="00305452">
            <w:pPr>
              <w:ind w:left="360"/>
            </w:pPr>
            <w:r w:rsidRPr="00305452">
              <w:t>Schema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05452" w:rsidRPr="00305452" w:rsidRDefault="00305452" w:rsidP="00305452">
            <w:pPr>
              <w:ind w:left="360"/>
            </w:pPr>
            <w:r w:rsidRPr="00305452">
              <w:t>Standalone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05452" w:rsidRPr="00305452" w:rsidRDefault="00305452" w:rsidP="00305452">
            <w:pPr>
              <w:ind w:left="360"/>
            </w:pPr>
            <w:r w:rsidRPr="00305452">
              <w:t>Combined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05452" w:rsidRPr="00305452" w:rsidRDefault="00305452" w:rsidP="00305452">
            <w:pPr>
              <w:ind w:left="360"/>
            </w:pPr>
            <w:r w:rsidRPr="00305452">
              <w:t>Savings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0C0C0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05452" w:rsidRPr="00305452" w:rsidRDefault="00305452" w:rsidP="006255EE">
            <w:pPr>
              <w:ind w:left="168"/>
            </w:pPr>
            <w:r w:rsidRPr="00305452">
              <w:t>Percent</w:t>
            </w:r>
            <w:r w:rsidR="006255EE">
              <w:t xml:space="preserve"> of Combined</w:t>
            </w:r>
          </w:p>
        </w:tc>
      </w:tr>
      <w:tr w:rsidR="00305452" w:rsidRPr="00305452" w:rsidTr="006255EE">
        <w:trPr>
          <w:cantSplit/>
          <w:trHeight w:val="432"/>
        </w:trPr>
        <w:tc>
          <w:tcPr>
            <w:tcW w:w="22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05452" w:rsidRPr="00305452" w:rsidRDefault="00305452" w:rsidP="00305452">
            <w:pPr>
              <w:ind w:left="360"/>
            </w:pPr>
            <w:r w:rsidRPr="00305452">
              <w:t xml:space="preserve">ETSR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05452" w:rsidRPr="00305452" w:rsidRDefault="00305452" w:rsidP="00305452">
            <w:pPr>
              <w:ind w:left="360"/>
            </w:pPr>
            <w:r w:rsidRPr="00305452">
              <w:t>5407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05452" w:rsidRPr="00305452" w:rsidRDefault="00305452" w:rsidP="00305452">
            <w:pPr>
              <w:ind w:left="360"/>
            </w:pPr>
            <w:r w:rsidRPr="00305452">
              <w:t>12101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05452" w:rsidRPr="00305452" w:rsidRDefault="00305452" w:rsidP="006255EE">
            <w:pPr>
              <w:ind w:left="360"/>
            </w:pPr>
            <w:r w:rsidRPr="00305452">
              <w:t>6694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05452" w:rsidRPr="00305452" w:rsidRDefault="00305452" w:rsidP="00305452">
            <w:pPr>
              <w:ind w:left="360"/>
            </w:pPr>
            <w:r w:rsidRPr="00305452">
              <w:t>44.68%</w:t>
            </w:r>
          </w:p>
        </w:tc>
      </w:tr>
      <w:tr w:rsidR="00305452" w:rsidRPr="00305452" w:rsidTr="006255EE">
        <w:trPr>
          <w:cantSplit/>
          <w:trHeight w:val="432"/>
        </w:trPr>
        <w:tc>
          <w:tcPr>
            <w:tcW w:w="22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05452" w:rsidRPr="00305452" w:rsidRDefault="00305452" w:rsidP="00305452">
            <w:pPr>
              <w:ind w:left="360"/>
            </w:pPr>
            <w:r w:rsidRPr="00305452">
              <w:t>Recruitment and Enrollment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05452" w:rsidRPr="00305452" w:rsidRDefault="00305452" w:rsidP="00305452">
            <w:pPr>
              <w:ind w:left="360"/>
            </w:pPr>
            <w:r w:rsidRPr="00305452">
              <w:t>6461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05452" w:rsidRPr="00305452" w:rsidRDefault="00305452" w:rsidP="00305452">
            <w:pPr>
              <w:ind w:left="360"/>
            </w:pPr>
            <w:r w:rsidRPr="00305452">
              <w:t>12215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05452" w:rsidRPr="00305452" w:rsidRDefault="00305452" w:rsidP="006255EE">
            <w:pPr>
              <w:ind w:left="360"/>
            </w:pPr>
            <w:r w:rsidRPr="00305452">
              <w:t>5754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05452" w:rsidRPr="00305452" w:rsidRDefault="00305452" w:rsidP="00305452">
            <w:pPr>
              <w:ind w:left="360"/>
            </w:pPr>
            <w:r w:rsidRPr="00305452">
              <w:t>52.89%</w:t>
            </w:r>
          </w:p>
        </w:tc>
      </w:tr>
      <w:tr w:rsidR="00305452" w:rsidRPr="00305452" w:rsidTr="006255EE">
        <w:trPr>
          <w:cantSplit/>
          <w:trHeight w:val="432"/>
        </w:trPr>
        <w:tc>
          <w:tcPr>
            <w:tcW w:w="22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05452" w:rsidRPr="00305452" w:rsidRDefault="00305452" w:rsidP="00305452">
            <w:pPr>
              <w:ind w:left="360"/>
            </w:pPr>
            <w:r w:rsidRPr="00305452">
              <w:t>Admission Application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05452" w:rsidRPr="00305452" w:rsidRDefault="00305452" w:rsidP="00305452">
            <w:pPr>
              <w:ind w:left="360"/>
            </w:pPr>
            <w:r w:rsidRPr="00305452">
              <w:t>6289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05452" w:rsidRPr="00305452" w:rsidRDefault="00305452" w:rsidP="00305452">
            <w:pPr>
              <w:ind w:left="360"/>
            </w:pPr>
            <w:r w:rsidRPr="00305452">
              <w:t>11552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05452" w:rsidRPr="00305452" w:rsidRDefault="00305452" w:rsidP="006255EE">
            <w:pPr>
              <w:ind w:left="360"/>
            </w:pPr>
            <w:r w:rsidRPr="00305452">
              <w:t>5263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05452" w:rsidRPr="00305452" w:rsidRDefault="00305452" w:rsidP="00305452">
            <w:pPr>
              <w:ind w:left="360"/>
            </w:pPr>
            <w:r w:rsidRPr="00305452">
              <w:t>54.44%</w:t>
            </w:r>
          </w:p>
        </w:tc>
      </w:tr>
      <w:tr w:rsidR="00305452" w:rsidRPr="00305452" w:rsidTr="006255EE">
        <w:trPr>
          <w:cantSplit/>
          <w:trHeight w:val="432"/>
        </w:trPr>
        <w:tc>
          <w:tcPr>
            <w:tcW w:w="22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05452" w:rsidRPr="00305452" w:rsidRDefault="00305452" w:rsidP="00305452">
            <w:pPr>
              <w:ind w:left="360"/>
            </w:pPr>
            <w:r w:rsidRPr="00305452">
              <w:t>IPED 4 Year graduation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05452" w:rsidRPr="00305452" w:rsidRDefault="00305452" w:rsidP="00305452">
            <w:pPr>
              <w:ind w:left="360"/>
            </w:pPr>
            <w:r w:rsidRPr="00305452">
              <w:t>198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05452" w:rsidRPr="00305452" w:rsidRDefault="00305452" w:rsidP="00305452">
            <w:pPr>
              <w:ind w:left="360"/>
            </w:pPr>
            <w:r w:rsidRPr="00305452">
              <w:t>11266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05452" w:rsidRPr="00305452" w:rsidRDefault="00305452" w:rsidP="006255EE">
            <w:pPr>
              <w:ind w:left="360"/>
            </w:pPr>
            <w:r w:rsidRPr="00305452">
              <w:t>11068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05452" w:rsidRPr="00305452" w:rsidRDefault="00305452" w:rsidP="00305452">
            <w:pPr>
              <w:ind w:left="360"/>
            </w:pPr>
            <w:r w:rsidRPr="00305452">
              <w:t>1.76%</w:t>
            </w:r>
          </w:p>
        </w:tc>
      </w:tr>
      <w:tr w:rsidR="00305452" w:rsidRPr="00305452" w:rsidTr="006255EE">
        <w:trPr>
          <w:cantSplit/>
          <w:trHeight w:val="432"/>
        </w:trPr>
        <w:tc>
          <w:tcPr>
            <w:tcW w:w="22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05452" w:rsidRPr="00305452" w:rsidRDefault="00305452" w:rsidP="00305452">
            <w:pPr>
              <w:ind w:left="360"/>
            </w:pPr>
            <w:r w:rsidRPr="00305452">
              <w:t xml:space="preserve">High School Transcript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05452" w:rsidRPr="00305452" w:rsidRDefault="00305452" w:rsidP="00305452">
            <w:pPr>
              <w:ind w:left="360"/>
            </w:pPr>
            <w:r w:rsidRPr="00305452">
              <w:t>4715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05452" w:rsidRPr="00305452" w:rsidRDefault="00305452" w:rsidP="00305452">
            <w:pPr>
              <w:ind w:left="360"/>
            </w:pPr>
            <w:r w:rsidRPr="00305452">
              <w:t>11980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05452" w:rsidRPr="00305452" w:rsidRDefault="00305452" w:rsidP="006255EE">
            <w:pPr>
              <w:ind w:left="360"/>
            </w:pPr>
            <w:r w:rsidRPr="00305452">
              <w:t>7265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05452" w:rsidRPr="00305452" w:rsidRDefault="00305452" w:rsidP="00305452">
            <w:pPr>
              <w:ind w:left="360"/>
            </w:pPr>
            <w:r w:rsidRPr="00305452">
              <w:t>39.36%</w:t>
            </w:r>
          </w:p>
        </w:tc>
      </w:tr>
    </w:tbl>
    <w:p w:rsidR="00305452" w:rsidRDefault="00305452" w:rsidP="00305452"/>
    <w:p w:rsidR="00EA7EC4" w:rsidRDefault="00980577" w:rsidP="00EA7EC4">
      <w:pPr>
        <w:pStyle w:val="ListParagraph"/>
        <w:numPr>
          <w:ilvl w:val="0"/>
          <w:numId w:val="2"/>
        </w:numPr>
      </w:pPr>
      <w:r w:rsidRPr="00980577">
        <w:rPr>
          <w:b/>
        </w:rPr>
        <w:t>Library Version Assembly.</w:t>
      </w:r>
      <w:r>
        <w:t xml:space="preserve"> There is no possibility of mixing up versions of sector libraries since there are no libraries to import. </w:t>
      </w:r>
    </w:p>
    <w:p w:rsidR="00980577" w:rsidRDefault="00980577" w:rsidP="00980577">
      <w:pPr>
        <w:pStyle w:val="ListParagraph"/>
        <w:numPr>
          <w:ilvl w:val="0"/>
          <w:numId w:val="2"/>
        </w:numPr>
      </w:pPr>
      <w:r w:rsidRPr="00980577">
        <w:rPr>
          <w:b/>
        </w:rPr>
        <w:t>Version Management.</w:t>
      </w:r>
      <w:r>
        <w:t xml:space="preserve"> Once the single file has been created, there is no longer any need </w:t>
      </w:r>
      <w:r w:rsidR="009A1FD5">
        <w:t>to</w:t>
      </w:r>
      <w:r>
        <w:t xml:space="preserve"> </w:t>
      </w:r>
      <w:r w:rsidR="006255EE">
        <w:t>maintain</w:t>
      </w:r>
      <w:r w:rsidR="00EA7EC4">
        <w:t xml:space="preserve"> the older versions of the</w:t>
      </w:r>
      <w:r w:rsidR="006255EE">
        <w:t xml:space="preserve"> library files</w:t>
      </w:r>
      <w:r w:rsidR="00EA7EC4">
        <w:t xml:space="preserve">.  New standard development should encourage the use of the latest version of the library </w:t>
      </w:r>
      <w:r w:rsidR="006255EE">
        <w:t xml:space="preserve">components </w:t>
      </w:r>
      <w:r w:rsidR="00EA7EC4">
        <w:t xml:space="preserve">so that a common language is used.  </w:t>
      </w:r>
    </w:p>
    <w:p w:rsidR="00980577" w:rsidRDefault="00980577" w:rsidP="00980577">
      <w:pPr>
        <w:pStyle w:val="ListParagraph"/>
        <w:numPr>
          <w:ilvl w:val="0"/>
          <w:numId w:val="2"/>
        </w:numPr>
      </w:pPr>
      <w:r w:rsidRPr="00980577">
        <w:rPr>
          <w:b/>
        </w:rPr>
        <w:t>Change Management.</w:t>
      </w:r>
      <w:r>
        <w:t xml:space="preserve"> </w:t>
      </w:r>
      <w:r w:rsidR="00EA7EC4">
        <w:t>As part of the single file schema approach, each component will be versioned separately in the XML Registry and Repository so that changes in a component can be easily identified. The schema owner will then be able to decide if the changed components are appropriate for updating the schema.</w:t>
      </w:r>
    </w:p>
    <w:p w:rsidR="00980577" w:rsidRDefault="00980577" w:rsidP="00980577">
      <w:pPr>
        <w:pStyle w:val="ListParagraph"/>
        <w:numPr>
          <w:ilvl w:val="0"/>
          <w:numId w:val="2"/>
        </w:numPr>
      </w:pPr>
      <w:r w:rsidRPr="00980577">
        <w:rPr>
          <w:b/>
        </w:rPr>
        <w:t>Component Identification.</w:t>
      </w:r>
      <w:r>
        <w:t xml:space="preserve"> </w:t>
      </w:r>
      <w:r w:rsidR="00EA7EC4">
        <w:t>Since the single file schema includes only those elements that are used in the schema, the file can be used as a complete and inclusive list of components.</w:t>
      </w:r>
    </w:p>
    <w:p w:rsidR="00A6545C" w:rsidRDefault="00A6545C" w:rsidP="00A6545C"/>
    <w:p w:rsidR="00A6545C" w:rsidRDefault="00A6545C" w:rsidP="00A6545C">
      <w:r>
        <w:t>The one disadvantage of this approach is that the same name cannot be used for components</w:t>
      </w:r>
      <w:r w:rsidR="00305452">
        <w:t xml:space="preserve"> in a single file schema</w:t>
      </w:r>
      <w:r>
        <w:t>.  While this could be a problem especially across sector libraries</w:t>
      </w:r>
      <w:r w:rsidR="00305452">
        <w:t xml:space="preserve">, this restriction may actually promote less confusion by not allowing ambiguous component names.  The </w:t>
      </w:r>
      <w:proofErr w:type="spellStart"/>
      <w:r w:rsidR="00305452">
        <w:t>TAB</w:t>
      </w:r>
      <w:r w:rsidR="00306F13">
        <w:t>’</w:t>
      </w:r>
      <w:r w:rsidR="006255EE">
        <w:t>s</w:t>
      </w:r>
      <w:proofErr w:type="spellEnd"/>
      <w:r w:rsidR="00305452">
        <w:t xml:space="preserve"> experience in converting current standards to single file schemas is that this limitation can be resolved without any effect on the validation of instance documents.</w:t>
      </w:r>
    </w:p>
    <w:p w:rsidR="00980577" w:rsidRDefault="00980577" w:rsidP="00980577"/>
    <w:p w:rsidR="00980577" w:rsidRDefault="009A1FD5" w:rsidP="009A1FD5">
      <w:pPr>
        <w:pStyle w:val="Heading1"/>
      </w:pPr>
      <w:r>
        <w:t xml:space="preserve">Single File Schema </w:t>
      </w:r>
      <w:r w:rsidR="00AF3691">
        <w:t>Implementation Approach</w:t>
      </w:r>
    </w:p>
    <w:p w:rsidR="00027EDC" w:rsidRDefault="00027EDC" w:rsidP="00027EDC">
      <w:r>
        <w:t>It is recommended that PESC adopt single file s</w:t>
      </w:r>
      <w:r w:rsidR="00332BC2">
        <w:t>chema in two phases.  In P</w:t>
      </w:r>
      <w:r w:rsidR="00784B4B">
        <w:t>hase I</w:t>
      </w:r>
      <w:r>
        <w:t xml:space="preserve">, single file schemas will be generated from the existing standards by transforming those standards using an XSLT script.  These </w:t>
      </w:r>
      <w:r w:rsidR="00784B4B">
        <w:t>single file schemas will then be</w:t>
      </w:r>
      <w:r>
        <w:t xml:space="preserve"> store</w:t>
      </w:r>
      <w:r w:rsidR="00784B4B">
        <w:t>d</w:t>
      </w:r>
      <w:r>
        <w:t xml:space="preserve"> for retrieval on the standard web site (and/or the new edu1world site).  Standards development</w:t>
      </w:r>
      <w:r w:rsidR="00784B4B">
        <w:t xml:space="preserve"> will continue using the </w:t>
      </w:r>
      <w:r w:rsidR="00306F13">
        <w:t>current procedures</w:t>
      </w:r>
      <w:r w:rsidR="00784B4B">
        <w:t xml:space="preserve"> </w:t>
      </w:r>
      <w:r>
        <w:t>including putting new components into the sector and core libraries.  Once the standard is submitted for public comment, the single file schema will be created</w:t>
      </w:r>
      <w:r w:rsidR="00784B4B">
        <w:t xml:space="preserve"> and made available for comment.</w:t>
      </w:r>
    </w:p>
    <w:p w:rsidR="00784B4B" w:rsidRDefault="00784B4B" w:rsidP="00027EDC"/>
    <w:p w:rsidR="00332BC2" w:rsidRDefault="00784B4B" w:rsidP="00027EDC">
      <w:r>
        <w:t xml:space="preserve">Phase II will use the XML Registry and Repository (R&amp;R) instead of schema </w:t>
      </w:r>
      <w:r w:rsidR="00AF3691">
        <w:t>files to generate standard schemas.</w:t>
      </w:r>
      <w:r>
        <w:t xml:space="preserve"> For existing standards, any components that are not in the registry and repository will be added to </w:t>
      </w:r>
      <w:r w:rsidR="00AF3691">
        <w:t>the appropriate library (Sector and Core).  For this system to work seamlessly, the definition of the root element will need to be in the repository so that the single file s</w:t>
      </w:r>
      <w:r w:rsidR="006255EE">
        <w:t>chema can be generated by selecting just the root element</w:t>
      </w:r>
      <w:r w:rsidR="00332BC2">
        <w:t>.</w:t>
      </w:r>
      <w:r w:rsidR="00AF3691">
        <w:t xml:space="preserve"> For new standard</w:t>
      </w:r>
      <w:r w:rsidR="006255EE">
        <w:t>s</w:t>
      </w:r>
      <w:r w:rsidR="00AF3691">
        <w:t xml:space="preserve"> development, the workgroup would start by creating new components in a file and then upload</w:t>
      </w:r>
      <w:r w:rsidR="00332BC2">
        <w:t>ing</w:t>
      </w:r>
      <w:r w:rsidR="00AF3691">
        <w:t xml:space="preserve"> all the additional components from the R&amp;R.  When the standard is available for public comment, the new components will be put in the R&amp;R and the single file schema generated by selecting the root element component using the custom schema development</w:t>
      </w:r>
      <w:r w:rsidR="00306F13">
        <w:t xml:space="preserve"> feature</w:t>
      </w:r>
      <w:r w:rsidR="00AF3691">
        <w:t xml:space="preserve">.  This step will assure that all elements are </w:t>
      </w:r>
      <w:r w:rsidR="00332BC2">
        <w:t>available in the R&amp;R and that the generated schema can validate instance documents submitted by the workgroup.</w:t>
      </w:r>
    </w:p>
    <w:p w:rsidR="00332BC2" w:rsidRDefault="00332BC2" w:rsidP="00332BC2">
      <w:pPr>
        <w:pStyle w:val="Heading1"/>
      </w:pPr>
      <w:r>
        <w:t>Single File Schema Workgroup</w:t>
      </w:r>
    </w:p>
    <w:p w:rsidR="004F15A3" w:rsidRDefault="00332BC2" w:rsidP="00332BC2">
      <w:r>
        <w:t xml:space="preserve">While there are only a few issues that need to be resolved to accomplish Phase I, there are significant and in some cases challenging </w:t>
      </w:r>
      <w:r w:rsidR="006255EE">
        <w:t>problems to resolve for</w:t>
      </w:r>
      <w:r>
        <w:t xml:space="preserve"> Phase II. It is the recommendation of the TAB that a new workgroup be established to implement the single file schema approach.  This workgroup would be responsible for planning and implementing the</w:t>
      </w:r>
      <w:r w:rsidR="00306F13">
        <w:t xml:space="preserve"> single file schema approach. This workgroup</w:t>
      </w:r>
      <w:r>
        <w:t xml:space="preserve"> would work c</w:t>
      </w:r>
      <w:r w:rsidR="00306F13">
        <w:t>losely with FSA staff to assure that the R&amp;R</w:t>
      </w:r>
      <w:r w:rsidR="006255EE">
        <w:t xml:space="preserve"> </w:t>
      </w:r>
      <w:r w:rsidR="00306F13">
        <w:t xml:space="preserve">has the appropriate </w:t>
      </w:r>
      <w:r w:rsidR="006255EE">
        <w:t>funct</w:t>
      </w:r>
      <w:r w:rsidR="00306F13">
        <w:t>ionality to</w:t>
      </w:r>
      <w:r>
        <w:t xml:space="preserve"> support the creation of single file schemas.  </w:t>
      </w:r>
      <w:r w:rsidR="004F15A3">
        <w:t xml:space="preserve">In addition, this workgroup will be the </w:t>
      </w:r>
      <w:r w:rsidR="006255EE">
        <w:t xml:space="preserve">PESC </w:t>
      </w:r>
      <w:r w:rsidR="004F15A3">
        <w:t>focal point for developing requirements for f</w:t>
      </w:r>
      <w:r w:rsidR="006255EE">
        <w:t>uture enhancements of the R&amp;R.</w:t>
      </w:r>
    </w:p>
    <w:p w:rsidR="004F15A3" w:rsidRDefault="004F15A3" w:rsidP="004F15A3">
      <w:pPr>
        <w:pStyle w:val="Heading1"/>
      </w:pPr>
      <w:r>
        <w:t>Conclusions</w:t>
      </w:r>
    </w:p>
    <w:p w:rsidR="004F15A3" w:rsidRPr="004F15A3" w:rsidRDefault="004F15A3" w:rsidP="004F15A3">
      <w:r>
        <w:t>There is consensus on the TAB that the component based single file schema approach will significantly increase the reuse of compone</w:t>
      </w:r>
      <w:r w:rsidR="006255EE">
        <w:t>nts and will make it easier for the education community to adopt PESC standards.</w:t>
      </w:r>
    </w:p>
    <w:p w:rsidR="00332BC2" w:rsidRPr="00332BC2" w:rsidRDefault="00332BC2" w:rsidP="00332BC2"/>
    <w:p w:rsidR="009A1FD5" w:rsidRPr="009A1FD5" w:rsidRDefault="009A1FD5" w:rsidP="009A1FD5"/>
    <w:sectPr w:rsidR="009A1FD5" w:rsidRPr="009A1FD5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9119B"/>
    <w:multiLevelType w:val="hybridMultilevel"/>
    <w:tmpl w:val="B1884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356A2E"/>
    <w:multiLevelType w:val="hybridMultilevel"/>
    <w:tmpl w:val="862A7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D962BF"/>
    <w:rsid w:val="00027EDC"/>
    <w:rsid w:val="00043890"/>
    <w:rsid w:val="00057DD4"/>
    <w:rsid w:val="000620C9"/>
    <w:rsid w:val="0008492E"/>
    <w:rsid w:val="000D4C5E"/>
    <w:rsid w:val="000D7FC2"/>
    <w:rsid w:val="000E57B0"/>
    <w:rsid w:val="000F5C23"/>
    <w:rsid w:val="001059A7"/>
    <w:rsid w:val="00111DFF"/>
    <w:rsid w:val="00133DEF"/>
    <w:rsid w:val="00134813"/>
    <w:rsid w:val="001550B8"/>
    <w:rsid w:val="0016320B"/>
    <w:rsid w:val="001701D5"/>
    <w:rsid w:val="00196AAC"/>
    <w:rsid w:val="001A3D30"/>
    <w:rsid w:val="001D6733"/>
    <w:rsid w:val="001D738D"/>
    <w:rsid w:val="00246127"/>
    <w:rsid w:val="0026476C"/>
    <w:rsid w:val="002A02B4"/>
    <w:rsid w:val="002B0AF2"/>
    <w:rsid w:val="002C3EF3"/>
    <w:rsid w:val="002C5708"/>
    <w:rsid w:val="00305452"/>
    <w:rsid w:val="00306F13"/>
    <w:rsid w:val="00320362"/>
    <w:rsid w:val="00332BC2"/>
    <w:rsid w:val="0034156D"/>
    <w:rsid w:val="0035538B"/>
    <w:rsid w:val="00355EBE"/>
    <w:rsid w:val="00361E45"/>
    <w:rsid w:val="00382D84"/>
    <w:rsid w:val="003A7BA9"/>
    <w:rsid w:val="003C23C0"/>
    <w:rsid w:val="003D3F62"/>
    <w:rsid w:val="003E2671"/>
    <w:rsid w:val="00403E91"/>
    <w:rsid w:val="00447706"/>
    <w:rsid w:val="004639D5"/>
    <w:rsid w:val="004905AD"/>
    <w:rsid w:val="004963D9"/>
    <w:rsid w:val="004A3256"/>
    <w:rsid w:val="004B6FA5"/>
    <w:rsid w:val="004D26E6"/>
    <w:rsid w:val="004E44EE"/>
    <w:rsid w:val="004F15A3"/>
    <w:rsid w:val="0050281B"/>
    <w:rsid w:val="005154D0"/>
    <w:rsid w:val="00520662"/>
    <w:rsid w:val="00531263"/>
    <w:rsid w:val="00557A26"/>
    <w:rsid w:val="00561DF7"/>
    <w:rsid w:val="00570D26"/>
    <w:rsid w:val="00575BE0"/>
    <w:rsid w:val="00584293"/>
    <w:rsid w:val="00586204"/>
    <w:rsid w:val="005A0EAD"/>
    <w:rsid w:val="005B65D6"/>
    <w:rsid w:val="005D5FDD"/>
    <w:rsid w:val="005E258C"/>
    <w:rsid w:val="005E46A5"/>
    <w:rsid w:val="00605615"/>
    <w:rsid w:val="006255EE"/>
    <w:rsid w:val="00641931"/>
    <w:rsid w:val="006434F1"/>
    <w:rsid w:val="006541EC"/>
    <w:rsid w:val="00665724"/>
    <w:rsid w:val="006904C3"/>
    <w:rsid w:val="006A1363"/>
    <w:rsid w:val="006D6036"/>
    <w:rsid w:val="006E7F1D"/>
    <w:rsid w:val="00740C31"/>
    <w:rsid w:val="007730CE"/>
    <w:rsid w:val="00784B4B"/>
    <w:rsid w:val="007E6453"/>
    <w:rsid w:val="007F4BE5"/>
    <w:rsid w:val="00801D63"/>
    <w:rsid w:val="00806524"/>
    <w:rsid w:val="00817690"/>
    <w:rsid w:val="008413DB"/>
    <w:rsid w:val="00874197"/>
    <w:rsid w:val="00880198"/>
    <w:rsid w:val="008B1587"/>
    <w:rsid w:val="008B712A"/>
    <w:rsid w:val="008C7E27"/>
    <w:rsid w:val="00906D9C"/>
    <w:rsid w:val="00932D02"/>
    <w:rsid w:val="00933507"/>
    <w:rsid w:val="00942FC1"/>
    <w:rsid w:val="00951E2A"/>
    <w:rsid w:val="00964D79"/>
    <w:rsid w:val="00980577"/>
    <w:rsid w:val="00984718"/>
    <w:rsid w:val="0099773B"/>
    <w:rsid w:val="009A1FD5"/>
    <w:rsid w:val="009A36B6"/>
    <w:rsid w:val="009E6598"/>
    <w:rsid w:val="00A05BF4"/>
    <w:rsid w:val="00A25B81"/>
    <w:rsid w:val="00A25DB8"/>
    <w:rsid w:val="00A3257A"/>
    <w:rsid w:val="00A6545C"/>
    <w:rsid w:val="00A66BB9"/>
    <w:rsid w:val="00A8499D"/>
    <w:rsid w:val="00A911A2"/>
    <w:rsid w:val="00A922D5"/>
    <w:rsid w:val="00AA0D6B"/>
    <w:rsid w:val="00AE1DB3"/>
    <w:rsid w:val="00AE3B14"/>
    <w:rsid w:val="00AF2847"/>
    <w:rsid w:val="00AF3691"/>
    <w:rsid w:val="00B41B5B"/>
    <w:rsid w:val="00B41DF9"/>
    <w:rsid w:val="00B709A4"/>
    <w:rsid w:val="00B73B7D"/>
    <w:rsid w:val="00B92365"/>
    <w:rsid w:val="00B9656B"/>
    <w:rsid w:val="00BA143A"/>
    <w:rsid w:val="00BA18D2"/>
    <w:rsid w:val="00BA7609"/>
    <w:rsid w:val="00C07E25"/>
    <w:rsid w:val="00C137FB"/>
    <w:rsid w:val="00C22146"/>
    <w:rsid w:val="00C60546"/>
    <w:rsid w:val="00CA1D45"/>
    <w:rsid w:val="00CC3741"/>
    <w:rsid w:val="00CD0A22"/>
    <w:rsid w:val="00CF5F05"/>
    <w:rsid w:val="00D554B2"/>
    <w:rsid w:val="00D6260E"/>
    <w:rsid w:val="00D65512"/>
    <w:rsid w:val="00D65B17"/>
    <w:rsid w:val="00D951A8"/>
    <w:rsid w:val="00D962BF"/>
    <w:rsid w:val="00DB233D"/>
    <w:rsid w:val="00DC78A8"/>
    <w:rsid w:val="00E001B5"/>
    <w:rsid w:val="00E071C6"/>
    <w:rsid w:val="00E34AF5"/>
    <w:rsid w:val="00E52447"/>
    <w:rsid w:val="00E72266"/>
    <w:rsid w:val="00E72BF8"/>
    <w:rsid w:val="00E97531"/>
    <w:rsid w:val="00EA3214"/>
    <w:rsid w:val="00EA7EC4"/>
    <w:rsid w:val="00EB3C70"/>
    <w:rsid w:val="00ED12F1"/>
    <w:rsid w:val="00EE6FF5"/>
    <w:rsid w:val="00EF4A24"/>
    <w:rsid w:val="00F05BD1"/>
    <w:rsid w:val="00F34926"/>
    <w:rsid w:val="00F51EA5"/>
    <w:rsid w:val="00F52E96"/>
    <w:rsid w:val="00F6225A"/>
    <w:rsid w:val="00F751F7"/>
    <w:rsid w:val="00FA5016"/>
    <w:rsid w:val="00FA530C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257A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D73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962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62B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D73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D73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1D73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1D73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D73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657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6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1177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7470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8</cp:revision>
  <dcterms:created xsi:type="dcterms:W3CDTF">2010-10-21T21:12:00Z</dcterms:created>
  <dcterms:modified xsi:type="dcterms:W3CDTF">2010-11-12T21:30:00Z</dcterms:modified>
</cp:coreProperties>
</file>