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Epidemiologische Analyse der SARS-CoV-2-Mortalitätsraten: Eine umfassende Untersuchung der Fall- und Infektionssterblichkeit über die globalen Pandemiewellen 2020–2022</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Einleitung und grundlegende Konzepte der Mortalitätsmessung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globale Ausbreitung des Severe Acute Respiratory Syndrome Coronavirus 2 (SARS-CoV-2) und die daraus resultierende COVID-19-Pandemie hat das internationale Gesundheitswesen seit der Deklaration der gesundheitlichen Notlage von internationaler Tragweite durch die Weltgesundheitsorganisation (WHO) im Januar 2020 grundlegend geprägt.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Eine der drängendsten wissenschaftlichen und gesundheitspolitischen Fragen über den gesamten Verlauf der Jahre 2020 bis 2022 hinweg war die präzise Quantifizierung der Letalität des Erregers. Die Bestimmung der Sterblichkeit einer neuartigen Infektionskrankheit in Echtzeit ist jedoch mit massiven methodischen Limitationen behaftet, die durch die dynamische Evolution des Virus, veränderte Teststrategien und die zunehmende Hintergrundimmunität der globalen Population kontinuierlich moduliert wurden.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Um die Mortalitätsraten der unterschiedlichen pandemischen Wellen akkurat zu analysieren, erfordert der epidemiologische Diskurs eine strikte semantische und methodische Trennung zweier zentraler Maßzahlen: der Fallsterblichkeitsrate (Case Fatality Rate, CFR) und der Infektionssterblichkeitsrate (Infection Fatality Rate, IFR).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w:t>
      </w:r>
      <w:r w:rsidDel="00000000" w:rsidR="00000000" w:rsidRPr="00000000">
        <w:rPr>
          <w:rFonts w:ascii="Google Sans" w:cs="Google Sans" w:eastAsia="Google Sans" w:hAnsi="Google Sans"/>
          <w:b w:val="1"/>
          <w:bCs w:val="1"/>
          <w:color w:val="1f1f1f"/>
          <w:rtl w:val="0"/>
        </w:rPr>
        <w:t xml:space="preserve">Fallsterblichkeitsrate (CFR)</w:t>
      </w:r>
      <w:r w:rsidDel="00000000" w:rsidR="00000000" w:rsidRPr="00000000">
        <w:rPr>
          <w:rFonts w:ascii="Google Sans" w:cs="Google Sans" w:eastAsia="Google Sans" w:hAnsi="Google Sans"/>
          <w:color w:val="1f1f1f"/>
          <w:rtl w:val="0"/>
        </w:rPr>
        <w:t xml:space="preserve"> berechnet sich als der Anteil der dokumentierten COVID-19-Todesfälle an der Gesamtzahl der behördlich registrierten, laborbestätigten SARS-CoV-2-Fälle. Die Berechnungsformel lautet: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53826" cy="332994"/>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253826" cy="33299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Die CFR ist naturgemäß ein hochgradig variabler Indikator, der massiv durch die Testkapazität und die Surveillance-Architektur einer Jurisdiktion verzerrt wird. In den ersten Monaten des Jahres 2020, als PCR-Testkapazitäten global limitiert waren, konzentrierte sich die Diagnostik fast ausschließlich auf schwer symptomatische oder hospitalisierte Patienten.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Dies führte zu einer artifiziellen Verkleinerung des Nenners in der Gleichung, wodurch die CFR in einigen Ländern initial Werte von weit über 10 % bis 25 % erreichte.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Diese Zahlen spiegelten nicht die wahre biologische Pathogenität des Virus wider, sondern illustrierten den Selektionsbias der nationalen Teststrategien. Ein weiteres Phänomen, das die CFR beeinflusste, war ein scheinbarer Rückgang ("spurious decrease") der Sterblichkeit, der auftrat, wenn sich das Virus in jüngere, mobilere Bevölkerungsschichten verlagerte. Da diese seltener versterben, sank die aggregierte CFR auf Bevölkerungsebene, selbst wenn das alterskorrigierte individuelle Sterberisiko für einen 80-Jährigen konstant blieb.</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w:t>
      </w:r>
      <w:r w:rsidDel="00000000" w:rsidR="00000000" w:rsidRPr="00000000">
        <w:rPr>
          <w:rFonts w:ascii="Google Sans" w:cs="Google Sans" w:eastAsia="Google Sans" w:hAnsi="Google Sans"/>
          <w:b w:val="1"/>
          <w:bCs w:val="1"/>
          <w:color w:val="1f1f1f"/>
          <w:rtl w:val="0"/>
        </w:rPr>
        <w:t xml:space="preserve">Infektionssterblichkeitsrate (IFR)</w:t>
      </w:r>
      <w:r w:rsidDel="00000000" w:rsidR="00000000" w:rsidRPr="00000000">
        <w:rPr>
          <w:rFonts w:ascii="Google Sans" w:cs="Google Sans" w:eastAsia="Google Sans" w:hAnsi="Google Sans"/>
          <w:color w:val="1f1f1f"/>
          <w:rtl w:val="0"/>
        </w:rPr>
        <w:t xml:space="preserve"> hingegen strebt danach, das tatsächliche Letalitätsrisiko zu erfassen, indem sie die Anzahl der Todesfälle in Relation zur wahren Gesamtzahl aller Infektionen setzt. Dies inkludiert zwingend alle asymptomatischen, milden und unentdeckten Fälle, die der offiziellen Testung entgangen sind: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316616" cy="333513"/>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16616" cy="33351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 die absolute Zahl der Infektionen während einer epidemischen Welle unbekannt ist, kann die IFR in der Regel nur retrospektiv durch bevölkerungsbasierte Seroprävalenzstudien angenähert werden.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Hierbei werden repräsentative Stichproben auf das Vorhandensein von SARS-CoV-2-spezifischen Antikörpern untersucht, um den Grad der Durchseuchung zu modellieren. Die Diskrepanz zwischen CFR und IFR bildete über die Jahre 2020 bis 2022 eine der größten Herausforderungen bei der Risikokommunikation.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Dieser Bericht synthetisiert die verfügbare Literatur, staatliche Daten des Robert Koch-Instituts (RKI) aus Deutschland, des Bundesamts für Gesundheit (BAG) aus der Schweiz, der Centers for Disease Control and Prevention (CDC) aus den USA sowie der WHO, um die Evolution der COVID-19-Mortalitätsraten detailliert zu dekonstruieren.</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Methodische Herausforderungen und das Konstrukt der Übersterblichkeit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Auswertung der Sterblichkeitsdaten zwischen 2020 und 2022 erfordert das Verständnis für erhebliche zeitliche und strukturelle Verzerrungen. Eines der Hauptprobleme der frühen epidemiologischen Modellierung war die zeitliche Verzögerung (Time-Lag) zwischen Infektion, Hospitalisierung und dem letztlichen Versterben. Eine Auswertung der englischen REACT-1-Studie, die den Zeitraum von Mai 2020 bis März 2022 umfasste, quantifizierte diesen Verzug präzise: Im Jahr 2020 lag die durchschnittliche Zeitspanne zwischen einem positiven Abstrich (Swab Positivity) und einer Hospitalisierung bei 19 Tagen, während die Verzögerung bis zum Tod durchschnittlich 26 Tage betrug.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Im späten Jahr 2021 und Anfang 2022, unter dem Einfluss von Impfungen und der sich schnell replizierenden Omikron-Variante, verkürzten sich diese Intervalle signifikant auf 7 Tage bis zur Hospitalisierung und 18 Tage bis zum Tod.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Derartige Schwankungen erschweren die Echtzeit-Berechnung der CFR während der exponentiellen Phase einer Welle, da die Fallzahlen des Nenners den Todesfällen des Zählers zeitlich weit vorauslaufen.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 Weiteren stützte sich ein erheblicher Teil der frühen IFR-Berechnungen auf methodisch anfällige Kohorten. So wiesen unabhängige Analysen auf fundamentale Fehler in Studien hin, die versuchten, die IFR anhand der Passagiere des Kreuzfahrtschiffes "Diamond Princess" zu berechnen. Einige dieser vielzitierten frühen Modelle kalkulierten eine IFR von 1,3 % für das Schiff und extrapolierten daraus eine Rate von 0,6 % für China.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Spätere Überprüfungen zeigten jedoch mathematische Fehler in diesen Modellierungen (etwa das doppelte Dividieren durch denselben Faktor), wodurch die tatsächliche IFR der Diamond-Princess-Kohorte bei 2,0 % lag.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Solche initialen Fehlkalkulationen prägten die politische Entscheidungsfindung der ersten Monate stark.</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Rolle der Übersterblichkeit (Excess Mortality)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Um den Defiziten der zivilen Melderegister und der unvollständigen Testung entgegenzuwirken, etablierte sich die Übersterblichkeit als der Goldstandard zur Bemessung der pandemischen Verheerung. Die WHO hob hervor, dass die Kapazität zur Registrierung von Todesfällen global extrem ungleich verteilt ist. Während in der europäischen Region etwa 98 % aller Sterbefälle registriert werden, liegt diese Quote auf dem afrikanischen Kontinent bei lediglich 10 %.</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Die offizielle Zählung der COVID-19-Toten lag am 31. Dezember 2020 global bei 1.813.188 Todesfällen.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Die Modellierungen der WHO zur Übersterblichkeit legten jedoch dar, dass die tatsächliche Zahl der pandemiebedingten Todesfälle im Jahr 2020 bei mindestens 3 Millionen Menschen lag, was einer massiven Untererfassung von 1,2 Millionen Toten entspricht.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Diese Übersterblichkeit inkludiert sowohl die direkten virusspezifischen Todesfälle als auch die indirekten Opfer, welche durch die Überlastung der Gesundheitssysteme, verschobene Operationen und die generelle Störung der essenziellen medizinischen Versorgung starben.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Der Vergleich roher CFR-Werte zwischen entwickelten Nationen und Schwellenländern führte oft zu dem paradoxen Bild, dass Länder mit hervorragender medizinischer Überwachung (und konsequenter Obduktion bzw. Post-Mortem-Testung) scheinbar höhere Fallsterblichkeiten aufwiesen als Nationen mit defizitären Meldesystemen, schlichtweg weil in letzteren die Patienten ohne eine ätiologische Zuordnung der Todesursache verstarben.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Globale Meta-Analysen der Prä-Vakzinalen Infektionssterblichkeit (2020)</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Vor der Verfügbarkeit von Impfstoffen und dem Aufkommen stark immunflüchtiger Varianten bot die globale Population dem SARS-CoV-2-Wildtyp ein vollständig naives Immunsystem. Erste systematische Reviews und Meta-Analysen, die Literatur bis Juni 2020 auswerteten, konvergierten bei einer aggregierten globalen IFR von 0,68 % (95 %-Konfidenzintervall: 0,53 % – 0,82 %).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Diese Studien betonten jedoch die signifikante Heterogenität (p &lt; 0,001) der Schätzungen, die auf tiefgreifende demografische Unterschiede der untersuchten Regionen zurückzuführen war.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Die Altersstruktur einer Population war der dominierende Prädiktor für die nationale Letalität. Umfassende systematische Auswertungen, maßgeblich vorangetrieben von Forschern wie John P.A. Ioannidis, zeigten, dass die Sterblichkeit einem extrem steilen, exponentiellen Altersgradienten folgte.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Eine Synthese von 51 seroepidemiologischen Standorten errechnete eine mediane globale IFR von 0,27 % (korrigiert 0,23 %) über alle Altersklassen hinweg.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Bemerkenswert war hierbei die starke geographische Varianz: In Standorten mit geringer Populationsmortalität (&lt; 118 COVID-19-Todesfälle pro Million Einwohner) lag die mediane IFR bei nur 0,09 %, stieg auf 0,20 % in Regionen mit 118–500 Toten pro Million und erreichte 0,57 % in schwer getroffenen Gebieten mit über 500 Toten pro Million.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Die Diskrepanz zwischen jüngeren und älteren Kohorten war drastisch. Da 94 % der Weltbevölkerung jünger als 70 Jahre sind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konzentrierten sich spezifische Analysen auf diese nicht-ältere Demografie. Die Ergebnisse einer Meta-Analyse aus 38 Ländern mit 40 Seroprävalenzstudien demonstrierten, dass die prä-vakzinale IFR in Personen unter 60 Jahren bemerkenswert niedrig war und sich etwa alle zehn Lebensjahre vervierfachte.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Altersgruppe (Jahre)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Mediane Infektionssterblichkeitsrate (IFR) vor Impfung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Interquartilsabstand (IQR)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 – 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0,0003 %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 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 – 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0,002 % bis 0,003 %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 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 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0,011 %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 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 – 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0,035 %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 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 – 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0,123 % bis 0,129 %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 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 – 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0,501 % bis 0,506 %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 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 – 59 (Aggregiert)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0,034 % bis 0,035 %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0,013 % – 0,056 %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 – 69 (Aggregiert)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0,095 %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0,036 % – 0,125 %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Tabelle 1: Altersstratifizierte IFR in der prä-vakzinalen Phase (Wildtyp) basierend auf globalen Seroprävalenzstudien.</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Setzt man die jüngeren Altersgruppen ins Verhältnis zur Referenzgruppe der 20- bis 29-Jährigen, wird das steile Risiko-Profil deutlich: Das Sterberisiko war für 30- bis 39-Jährige um das 5,5-fache, für 40- bis 49-Jährige um das 17,5-fache und für 60- bis 69-Jährige um das 253-fache erhöht.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Forscher berechneten, dass bei einer 100-prozentigen Durchseuchung der globalen Bevölkerung unter 70 Jahren ohne den Nutzen von Impfungen oder späteren Therapien zwischen 4,7 und 5,3 Millionen Menschen dieser Altersklasse verstorben wären.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Diese fundamentale Altersabhängigkeit erklärt, warum Maßnahmen zum Schutz von Alten- und Pflegeheimen die effektivste Methode zur Senkung der nationalen IFR darstellten.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Darüber hinaus waren die IFR-Schätzungen selbst anfällig für spezifische immunologische Verzerrungen. Studien wiesen darauf hin, dass ein unbekannter Anteil an Menschen den Virus durch mukosale (IgA), angeborene oder zelluläre Immunmechanismen eliminierte, ohne jemals messbare Serum-Antikörper (IgG) zu bilden.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Dies führte zwangsläufig zu einer Unterschätzung der wahren Infektionszahlen in Seroprävalenzstudien und damit zu einer inhärenten Überschätzung der IFR.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Chronologie der Virusvarianten und deren globale Fallsterblichkeit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Mit dem Fortschreiten der Pandemie wies das SARS-CoV-2-Virus eine beachtliche genetische Plastizität auf. Mutationen im Spike-Protein und anderen viralen Strukturen führten zur Emergenz von "Variants of Concern" (VOCs), die nicht nur das Übertragungsverhalten, sondern auch die Krankheitsschwere fundamental modulierten.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Eine umfassende globale Meta-Analyse, publiziert im </w:t>
      </w:r>
      <w:r w:rsidDel="00000000" w:rsidR="00000000" w:rsidRPr="00000000">
        <w:rPr>
          <w:rFonts w:ascii="Google Sans" w:cs="Google Sans" w:eastAsia="Google Sans" w:hAnsi="Google Sans"/>
          <w:i w:val="1"/>
          <w:iCs w:val="1"/>
          <w:color w:val="1f1f1f"/>
          <w:rtl w:val="0"/>
        </w:rPr>
        <w:t xml:space="preserve">International Journal of Infectious Diseases</w:t>
      </w:r>
      <w:r w:rsidDel="00000000" w:rsidR="00000000" w:rsidRPr="00000000">
        <w:rPr>
          <w:rFonts w:ascii="Google Sans" w:cs="Google Sans" w:eastAsia="Google Sans" w:hAnsi="Google Sans"/>
          <w:color w:val="1f1f1f"/>
          <w:rtl w:val="0"/>
        </w:rPr>
        <w:t xml:space="preserve">, aggregierte Daten aus 112 epidemiologischen Studien (Januar 2020 bis März 2023) aus allen Kontinenten, um die gepoolte Fallsterblichkeitsrate (CFR) der dominanten Variantenphasen zu berechnen.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Virusvariante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Zeitraum der primären Dominanz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Gepoolte globale CFR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Regionale Spitzenwerte der CFR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Wildtyp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Südamerika (5,5 %), Nordamerika (4,8 %)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Alpha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Ende 2020 – Mitte 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Asien (4,4 %), Nordamerika (2,7 %)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Ende 2020 – 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(Höchste variantspezifische CFR)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Gamma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Anfang 2021 – Mitte 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 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Mitte 2021 – Ende 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Afrika (3,5 %), Südamerika (2,8 %)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Omikron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 Ende 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0,7 %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Afrika (1,7 %), Ozeanien (1,1 %)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Tabelle 2: Gepoolte variantenspezifische Fallsterblichkeitsraten (CFR) basierend auf einer Auswertung von 112 Studien weltweit.</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r>
    </w:tbl>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Wildtyp- und Alpha-Ära (2020 – Mitte 2021)</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Die anfängliche Wildtyp-Welle zeigte mit einer globalen CFR von 3,6 % die verheerenden Auswirkungen auf eine immunologisch völlig unvorbereitete Bevölkerung. Die regionalen Unterschiede waren eklatant, mit Spitzenwerten von 5,5 % in Südamerika und 4,8 % in Nordamerika, verglichen mit 3,2 % in Europa und 1,8 % in Ozeanien.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Gegen Ende des Jahres 2020 wurde im Vereinigten Königreich die Alpha-Variante (B.1.1.7) identifiziert. Epidemiologische Modellierungen schätzten, dass Alpha bis zu 50 % kontagiöser war als der ursprüngliche Wildtyp.</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Obwohl die gepoolte globale CFR während der Alpha-Periode auf 2,6 % sank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stieg die absolute Belastung der Intensivstationen massiv an. Ein Bericht betonte, dass Alpha nicht nur leichter übertragbar, sondern auch intrinsisch virulenter war.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Der Rückgang der relativen Sterblichkeitsrate in dieser Phase ist zum Teil auf verbesserte Behandlungsprotokolle (wie den breiten Einsatz von Dexamethason) und den Beginn der Impfkampagnen in den Industrienationen zurückzuführen, welche die vulnerabelsten Altersgruppen schützten.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Bemerkenswert in diesem Zeitraum waren auch die Varianten Beta (B.1.351, entdeckt in Südafrika) und Gamma (P.1, entdeckt in Brasilien). Insbesondere Beta wies mit einer CFR von 4,2 % die höchste Sterblichkeitsrate aller betrachteten VOCs auf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konnte sich jedoch aufgrund einer geringeren relativen Fitness hinsichtlich der Übertragbarkeit nicht global gegen Alpha und später Delta durchsetzen.</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Delta-Welle: Der Gipfel der klinischen Morbidität (Mitte 2021)</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Delta-Variante (B.1.617.2), die erstmals im Oktober 2020 in Indien sequenziert wurde, dominierte die zweite Jahreshälfte 2021 weltweit.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Sie gilt retrospektiv als die infektiologisch schwerwiegendste Phase der Pandemie. Delta vereinte eine massiv erhöhte Übertragbarkeit – Schätzungen zufolge verursachte Delta mehr als doppelt so viele Infektionen wie frühere Varianten und war 80 bis 90 % transmissibler als Alpha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 mit einer erheblich gesteigerten intrinsischen Virulenz.</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Kohortenstudien, die Alpha- und Delta-Infektionen direkt verglichen, zeigte sich das pathogene Potenzial von Delta deutlich. Eine Studie zu hospitalisierten Patienten in England wies nach, dass die Wahrscheinlichkeit einer Krankenhauseinweisung bei Delta doppelt so hoch war wie bei Alpha.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Eine Meta-Analyse bezifferte die globale Mortalität aufgrund von Delta-Infektionen auf 2,40 % (95 %-KI: 1,85 % – 2,95 %), verglichen mit lediglich 0,46 % in späteren Omikron-Wellen.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Das gepoolte Risiko, in ein Krankenhaus eingewiesen zu werden und invasive mechanische Beatmung (IMV) zu benötigen, war unter Delta drastisch erhöht. Bei hospitalisierten Patienten betrug die Intensivaufnahme-Rate unter Delta 10,90 %, während sie bei Omikron später auf 5,80 % fiel.</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Die CFR der Delta-Welle wurde auf globaler Ebene auf 2,0 % taxiert, wobei Spitzenwerte in Afrika (3,5 %) und Südamerika (2,8 %) dokumentiert wurden.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Eine Analyse von über 100 Ländern während der Delta-Periode offenbarte zudem, dass strukturelle und politische Determinanten die Letalität entscheidend prägten. Länder mit einem besseren Regierungs-Effektivitäts-Index wiesen signifikant niedrigere durchschnittliche wöchentliche Infektionssterblichkeitsraten auf (AWIFR) (</w:t>
      </w:r>
      <w:r w:rsidDel="00000000" w:rsidR="00000000" w:rsidRPr="00000000">
        <w:rPr>
          <w:rFonts w:ascii="Google Sans" w:cs="Google Sans" w:eastAsia="Google Sans" w:hAnsi="Google Sans"/>
          <w:color w:val="1f1f1f"/>
        </w:rPr>
        <w:drawing>
          <wp:inline distB="19050" distT="19050" distL="19050" distR="19050">
            <wp:extent cx="954434" cy="229064"/>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954434" cy="2290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Zudem demonstrierte diese Phase die durchschlagende Wirkung der Vakzine: Ein höherer Anteil vollständig geimpfter Personen in der Bevölkerung korrelierte stark negativ mit der Letalität (</w:t>
      </w:r>
      <w:r w:rsidDel="00000000" w:rsidR="00000000" w:rsidRPr="00000000">
        <w:rPr>
          <w:rFonts w:ascii="Google Sans" w:cs="Google Sans" w:eastAsia="Google Sans" w:hAnsi="Google Sans"/>
          <w:color w:val="1f1f1f"/>
        </w:rPr>
        <w:drawing>
          <wp:inline distB="19050" distT="19050" distL="19050" distR="19050">
            <wp:extent cx="954434" cy="229064"/>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54434" cy="2290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Ungeimpfte Personen hatten ein vielfach höheres Risiko, schwere Verläufe zu erleiden, wobei die Impfstoffe eine außergewöhnlich hohe Schutzwirkung gegen Tod und Hospitalisierung entfalteten.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Omikron-Welle: Paradigmenwechsel und Hybridimmunität (Ende 2021 – 2022)</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Der Wendepunkt der Pandemie wurde im November 2021 in Südafrika mit der Identifikation der Omikron-Variante (B.1.1.529) markiert.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Omikron und seine schnell evolvierenden Sublinien (BA.1, BA.2, BA.5 etc.) verdrängten Delta aufgrund einer beispiellosen Übertragungsgeschwindigkeit und ausgeprägten Immunflucht-Eigenschaften innerhalb von Wochen.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In den USA stieg die Variante Omikron innerhalb von nur 6 Wochen von 1 % auf 99 % aller Sequenzierungen an, bei einer anfänglichen Verdopplungszeit von nur 3,2 Tagen, verglichen mit 18 Wochen, die Delta für denselben Anstieg benötigt hatte (Verdopplungszeit 7,2 Tage).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Das klinische Profil der Omikron-Welle unterschied sich radikal von Delta. Die globale gepoolte CFR fiel auf 0,7 %.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Eine Analyse der WHO-Forschungsdatenbank mit 42 Studien zeigte, dass Omikron-infizierte Individuen ein um 61 % reduziertes Sterberisiko (Relatives Risiko 0,39) und ein um 56 % reduziertes Hospitalisierungsrisiko (RR 0,44) aufwiesen, verglichen mit der Delta-Variante.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Bemerkenswerterweise gab es keine signifikanten Unterschiede in der Schwere zwischen den frühen Omikron-Sublinien BA.1 und BA.2.</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Eine massive US-amerikanische Längsschnittstudie mit über 2,8 Millionen COVID-19-Diagnosen bestätigte diesen Trend mittels Kaplan-Meier-Analysen: Die kumulative Wahrscheinlichkeit, am 30. Tag nach der Diagnose zu versterben, war bei Delta-Fällen etwa doppelt so hoch wie bei Omikron-Fällen (Sterblichkeitsrisikoverhältnis Delta zu Omikron = 1,671; p &lt; 0,001).</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Dieser scheinbare Rückgang der intrinsischen Letalität (IFR und CFR) war jedoch nicht ausschließlich der veränderten viralen Biologie zuzuschreiben – die sich vermehrt im oberen Respirationstrakt anstatt im tieferen Lungengewebe replizierte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 sondern auch der Tatsache, dass Omikron auf eine durch Impfungen und vorherige Infektionen stark vorgeprägte Population traf. Die englische REACT-1-Studie modellierte, dass die Infektionssterblichkeitsrate (IFR) im Jahr 2020 bei 0,67 % und die Infektionshospitalisierungsrate (IHR) bei 2,6 % lag. Bis zur Omikron-Welle Ende 2021 / Anfang 2022 waren beide Raten durch Hybridimmunität massiv eingebrochen: Die IFR sank auf 0,097 % und die IHR auf 0,76 %.</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Dieser Schutz der Hybridimmunität zeigte sich besonders bei Kindern. Eine britische Studie wies nach, dass bis September 2022 etwa 86,7 % der Kinder unter 18 Jahren bereits eine SARS-CoV-2-Infektion durchgemacht hatten.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Trotz exorbitanter Infektionszahlen in dieser Altersgruppe während der Omikron-Welle blieb die IFR extrem niedrig. Die wenigen aufgetretenen Todesfälle beschränkten sich primär auf Kinder mit schweren, lebenslimitierenden Vorerkrankungen.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Eine Meta-Analyse von 270 Artikeln, die über 3,2 Millionen Omikron-Patienten umfasste, errechnete eine gepoolte Mortalitätsrate von lediglich 0,003.</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Dennoch warf die Omikron-Periode ein Paradoxon auf: Obwohl die CFR und IFR historisch tief lagen, verzeichneten viele Nationen aufgrund der schieren Anzahl an Infizierten eine hohe absolute Übersterblichkeit.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Ein französischer Bericht warnte davor, die Gefahr zu unterschätzen, da die CFR für Omikron immer noch rund viermal höher lag als die der saisonalen Influenza.</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Länderspezifische Analysen: Die Vereinigten Staaten (USA)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Die US-amerikanischen Daten der CDC bieten detaillierte Einblicke in die demografischen und zeitlichen Ausprägungen der Mortalität. Über den gesamten Verlauf bis Ende 2022 summierten sich die dokumentierten Todesfälle in den USA auf über 1,23 Millionen.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Die CDC stratifizierte die Pandemie in drei funktionale Perioden: Alpha (1. Januar 2020 – 19. Mai 2021), Delta (20. Mai 2021 – 30. November 2021) und Omikron (ab 1. Dezember 2021).</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Demografische Disparitäten und Mortalitätsraten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Analyse von reinen laborbestätigten Fällen (die eine spezifische Subkohorte der Patienten darstellen und nicht mit der IFR gleichzusetzen sind) illustriert starke strukturelle Ungleichheiten. Über alle Perioden hinweg wiesen nicht-weiße ("Non-Whites") Bevölkerungsgruppen eine höhere CFR auf (6,3 %) als weiße Bevölkerungsgruppen (5,6 %).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Auch die Hospitalisierungsraten (18,9 % vs. 16,5 %) und die Aufnahmen auf die Intensivstation (7,4 % vs. 5,1 %) waren bei nicht-weißen Patienten durchweg höher.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Dies spiegelt tiefgreifende sozioökonomische Faktoren, Zugangshürden zur medizinischen Versorgung und eine höhere Prävalenz von Komorbiditäten wider.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Ein weiteres durchgängiges Muster war die geschlechtsspezifische Divergenz. Männer wiesen in allen Wellen eine signifikant höhere Letalität auf als Frauen. In der Alpha-Periode lag die laborbestätigte Todesrate für Männer bei 6,6 % (vs. 4,2 % bei Frauen). Unter Delta stieg sie auf 9,2 % (vs. 6,0 %), und unter Omikron erweiterte sich die Lücke auf 11,4 % bei Männern gegenüber 7,1 % bei Frauen in dieser speziellen Kohorte.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Die altersadjustierten Sterblichkeitsraten verdeutlichen den Tribut, den die Pandemie im Zeitverlauf forderte. Im Jahr 2020 verzeichneten die USA etwa 244.000 COVID-19-bezogene Todesfälle in den untersuchten Kohorten. Die altersadjustierte COVID-19-Sterberate sank im Jahr 2022 im Vergleich zu 2021 um signifikante 47 %.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Die Sterberate bei Weißen ohne hispanischen Hintergrund fiel von 74,1 pro 100.000 im Jahr 2020 auf 61,2 im Jahr 2022. Ein noch drastischerer Rückgang zeigte sich bei der hispanischen Bevölkerung, deren Rate von enormen 164,8 pro 100.000 im Jahr 2020 auf 60,9 im Jahr 2022 kollabierte.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Zeitperiode (USA)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Dominante Variante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CFR bei laborbestätigten Fällen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Odds Ratio für Tod (vs. Alpha)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Jan 2020 – Mai 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Alpha (inkl. Wildtyp)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5,3 %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Referenz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 2021 – Nov 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Dez 2021 – Mär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Omikron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color w:val="1f1f1f"/>
                <w:shd w:fill="auto" w:val="clear"/>
                <w:rtl w:val="0"/>
              </w:rPr>
              <w:t xml:space="preserve">*Tabelle 3: CFR und adjustierte Odds Ratios (AOR) für den Tod bei laborbestätigten COVID-19-Patienten in den USA.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Hinweis: Der hohe Prozentwert bei Omikron in diesem spezifischen CDC-Datensatz ist ein Artefakt der veränderten Teststrategie, bei der milde Fälle oft nicht mehr laborbestätigt gemeldet wurden, was den Nenner extrem verkleinerte).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i w:val="1"/>
                <w:i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i w:val="1"/>
                <w:i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i w:val="1"/>
                <w:iCs w:val="1"/>
                <w:color w:val="1f1f1f"/>
                <w:shd w:fill="auto" w:val="clear"/>
              </w:rPr>
            </w:pPr>
            <w:r w:rsidDel="00000000" w:rsidR="00000000" w:rsidRPr="00000000">
              <w:rPr>
                <w:rtl w:val="0"/>
              </w:rPr>
            </w:r>
          </w:p>
        </w:tc>
      </w:tr>
    </w:tbl>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Klinische Schwere in Krankenhäusern und der Impfeffekt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Die trügerische Erhöhung der rohen Fallsterblichkeit bei laborbestätigten Fällen unter Omikron (wie in Tabelle 3 dargestellt) löst sich auf, wenn man exklusiv die In-Hospital-Mortalität betrachtet. Ein CDC-Bericht zeigte, dass die Sterblichkeit unter Patienten, die primär wegen COVID-19 hospitalisiert wurden, von 15,1 % während der Delta-Periode auf 4,9 % in der späteren Omikron-Periode (April bis Juni 2022) abfiel.</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Dies geschah, obwohl die Krankenhauspatienten unter Omikron älter und kränker waren: 81,9 % der Todesfälle im Krankenhaus betrafen in der späten Omikron-Phase Erwachsene ab 65 Jahren, und 73,4 % litten an drei oder mehr zugrunde liegenden medizinischen Beschwerden.</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Die Impfkampagnen spielten in den USA eine entscheidende Rolle bei der Reduktion der Letalität. In der Periode vor dem Auftreten von Delta (April–Mai 2021) lag die Rate der COVID-19-assoziierten Todesfälle bei ungeimpften Personen dramatisch höher. Die durchschnittliche wöchentliche </w:t>
      </w:r>
      <w:r w:rsidDel="00000000" w:rsidR="00000000" w:rsidRPr="00000000">
        <w:rPr>
          <w:rFonts w:ascii="Google Sans" w:cs="Google Sans" w:eastAsia="Google Sans" w:hAnsi="Google Sans"/>
          <w:i w:val="1"/>
          <w:iCs w:val="1"/>
          <w:color w:val="1f1f1f"/>
          <w:rtl w:val="0"/>
        </w:rPr>
        <w:t xml:space="preserve">Incidence Rate Ratio</w:t>
      </w:r>
      <w:r w:rsidDel="00000000" w:rsidR="00000000" w:rsidRPr="00000000">
        <w:rPr>
          <w:rFonts w:ascii="Google Sans" w:cs="Google Sans" w:eastAsia="Google Sans" w:hAnsi="Google Sans"/>
          <w:color w:val="1f1f1f"/>
          <w:rtl w:val="0"/>
        </w:rPr>
        <w:t xml:space="preserve"> (IRR) für Todesfälle war bei Ungeimpften im Vergleich zu Geimpften 21,9-mal so hoch (95 %-KI: 17,8–26,8).</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Auf aggregierter Ebene verringerte jedes zusätzliche Prozent an vollständig geimpften Individuen auf County-Ebene die Wahrscheinlichkeit eines fatalen Ausgangs um 1 %.</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Länderspezifische Analysen: Deutschland (RKI und Destatis)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Deutschland zeichneten das Robert Koch-Institut (RKI) und das Statistische Bundesamt (Destatis) die Letalität der Pandemiewellen detailliert nach.</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Deutschland sah sich aufgrund seiner demografischen Struktur – einem vergleichsweise hohen Anteil an Über-65-Jährigen – von Beginn an einem erhöhten Letalitätsrisiko ausgesetzt.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Methodische Studien, die die IFR der ersten Welle (Frühjahr 2020) in Deutschland isoliert berechneten, kamen auf einen Wert von 0,83 % (95 %-KI: 0,69 % – 0,98 %) für den Wildtyp.</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Dieser Wert war signifikant höher als prominente lokale Schätzungen (wie etwa die 0,36 % der Heinsberg-Studie) und lag auch über dem globalen Durchschnitt von 0,68 %.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Der Grund für diese Diskrepanz lag fast ausschließlich in der nachteiligen Altersstruktur der Bundesrepublik.</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Altersstruktur und die Schwankungen der effektiven IFR</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Der zeitliche Verlauf der effektiven IFR in Deutschland war keine Konstante, sondern schwankte im Takt der Altersverteilung der neu Infizierten.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der ersten Welle (Frühjahr 2020) und in noch massiverer Form in der zweiten Welle (Herbst/Winter 2020) verschob sich das Infektionsgeschehen drastisch in die älteren Altersgruppen und durchdrang Pflegeeinrichtungen, was zu einem rasanten Anstieg der effektiven IFR und der rohen CFR führte.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Eine detaillierte Langzeitstudie aus der bayerischen Region Regensburg illustriert diese Dynamik mikroskopisch für den Zeitraum von März 2020 bis Januar 2022. Die Studie teilte den Pandemieverlauf in vier Kohorten auf:</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Periode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Beobachtungszeitraum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Vorherrschende Virusvarianten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Fallsterblichkeitsrate (CFR) in Regensburg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Periode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März 2020 – Sep. 2020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Wildtyp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1,70 %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Periode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Okt. 2020 – Feb. 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Wildtyp / Alpha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2,67 %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Periode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März 2021 – Aug. 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Alpha / Delta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1,06 %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Periode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Sep. 2021 – Jan.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Delta / Omikron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0,36 %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Tabelle 4: Zeitliche Entwicklung der CFR am Beispiel einer regionalen Kohorte (Regensburg, Deutschland). Über den gesamten Beobachtungszeitraum betrug die rohe CFR 0,92 %.</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r>
    </w:tbl>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Das Maximum der CFR in Periode 2 (2,67 %) spiegelt den verheerenden Winter 2020/2021 wider, bevor Impfstoffe in der Breite zur Verfügung standen. Das mediane Alter beim Tod lag konstant hoch bei etwa 84 Jahren. Das häufigste Risiko für einen letalen Verlauf waren kardio-zirkulatorische Vorerkrankungen.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Der bemerkenswerte Abfall der CFR auf 1,06 % in Periode 3 und schließlich 0,36 % in Periode 4 dokumentiert eindrucksvoll den kombinierten Effekt der priorisierten Impfkampagne für vulnerable Gruppen und der späteren Transition zur weniger tief in die Lunge eindringenden Omikron-Variante.</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Übersterblichkeitsdynamiken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Daten von Destatis korrelieren exakt mit diesen Wellenbewegungen. Die Übersterblichkeit stieg insbesondere im Dezember 2020 drastisch an. Ein beachtenswerter Aspekt der deutschen Daten im Jahr 2022 war jedoch das Phänomen der multifaktoriellen Übersterblichkeit. Nach Aufhebung der meisten Isolationsmaßnahmen erlebte Deutschland Ende 2022 eine nie dagewesene Welle an Atemwegsinfektionen. Eine Untersuchung der Sterblichkeit in Frankfurt am Main zeigte, dass die erhöhte Letalität in den letzten sechs Wochen des Jahres 2022 signifikant von einer Influenzawelle getrieben wurde. Diese sechs Wochen Influenza verursachten lokal eine höhere Übersterblichkeit (SMR 1,250; 95 %-KI: 1,170–1,330) als alle isolierten COVID-19-Wellen des gesamten Jahres 2022 zusammen.</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Dies unterstreicht, wie der Wegfall von NPIs (Non-Pharmaceutical Interventions) und der immunologische Rückstand gegen andere respiratorische Viren die Gesamtmortalität in der Endphase der Pandemie beeinflussten.</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Länderspezifische Analysen: Die Schweiz (BAG und BFS)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Das Bundesamt für Gesundheit (BAG) der Schweiz strukturierte die epidemische Historie bis Mitte 2022 in sechs distinkte Phasen, die den Varianten zuzuordnen sind: Phase 2 bildete die Prä-Alpha-Welle (08.06.2020 – 11.02.2021), gefolgt von der Alpha-Welle (12.02.2021 – 20.06.2021). Die Phasen 4 und 5 bestanden aus zwei konsekutiven Delta-Wellen (21.06.2021 – 19.12.2021), bevor Phase 6 die dominierenden Omikron-Wellen (20.12.2021 – 31.03.2022) einleitete.</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Mortalität in der frühen Phase (2020)</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Gemäß den Erhebungen des Bundesamtes für Statistik (BFS) wurden im Jahr 2020 in der Schweiz rund 7.600 Todesfälle durch COVID-19 verzeichnet. Bezogen auf die Gesamtpopulation entsprach dies einer Sterberate von 0,9 Todesfällen pro 1.000 Personen.</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Auch hier zeigte sich eine marginale geschlechtsspezifische Asymmetrie mit rund 4.100 verstorbenen Männern (0,9 pro 1.000) gegenüber 3.500 verstorbenen Frauen (0,8 pro 1.000).</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Die Alterskohorte ab 80 Jahren trug die Hauptlast der ersten Wellen: Knapp 5.500 Todesfälle konzentrierten sich auf dieses demografische Segment, was einer beispiellosen Sterberate von 12 Promille gleichkam.</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Das BFS identifizierte zwei prägnante Perioden der Übersterblichkeit im Jahr 2020. Die erste Phase, von Mitte März bis April, wies eine Sterblichkeit auf, die 32 % über den historischen Durchschnittswerten der Jahre 2018–2019 lag, was einen Überschuss von rund 1.000 Toten bedeutete.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Die zweite, weitaus gravierendere Übersterblichkeitsperiode erstreckte sich von Mitte Oktober bis zum Jahresende 2020. In diesem Zeitraum lag die wöchentliche Anzahl der Todesfälle zeitweise um 83 % über dem Vorjahresniveau. Dramatisch war hierbei der Anteil der Pflegeinrichtungen: Etwa 49 % aller in dieser Zeit gemeldeten Todesfälle mit COVID-19 ereigneten sich in einem Alters- oder Pflegeheim.</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Dies zwang die politischen Gremien der Schweiz zu einer sofortigen Priorisierung dieser vulnerablen Gruppen bei der Implementierung von Schutzmaßnahmen und der beginnenden Vakzinierungsstrategie.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Eine hohe Durchimpfung dieser Kohorten führte in der Folge dazu, dass die Inzidenz- und Letalitätsraten bei älteren Menschen in der Schweiz in den nachfolgenden Wellen (Alpha und Delta) entkoppelt wurden.</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Soziodemografische Disparitäten in der Schweiz</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Über die reinen Alters- und Medizindaten hinaus lieferte das BAG wertvolle Einblicke in die soziologischen Determinanten der Letalität. Die Krankheitslast in der Schweiz war nicht homogen verteilt. Personen ohne Schweizer Pass verstarben anteilsmäßig signifikant häufiger an COVID-19 als Personen mit Schweizer Staatsbürgerschaft.</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Analysen von Bevölkerungsbefragungen, wie dem COVID-19 Social Monitor und der Corona Immunitas Studie, ergaben zudem, dass Personen mit niedrigerer formaler Bildung und tieferem Haushaltseinkommen eine geringere Impfbereitschaft aufwiesen und dementsprechend seltener geimpft waren.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Diese sozioökonomischen Variablen perpetuierten die Vulnerabilität bestimmter Bevölkerungsschichten, insbesondere während der hochansteckenden Delta-Welle. Über den gesamten Zeitraum von 2020 bis 2022 starben in der Schweiz nach BFS-Daten insgesamt 19.365 Menschen an den Folgen der Infektion, was einer Gesamtsterblichkeit von 21 Toten pro 10.000 Einwohnern entspricht.</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Systemische Makro-Kovariaten: Was treibt die Mortalität?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teils gravierenden Unterschiede in der Fallsterblichkeitsrate zwischen verschiedenen Ländern (sowohl global als auch im europäischen Vergleich) lassen sich nicht ausschließlich auf virale Evolution oder Zufall zurückführen. Ein komplexes Geflecht an Makro-Kovariaten diktierte die Resilienz eines Staates gegenüber dem Virus.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Eine weitreichende Studie, die Zeitreihen- und Paneldaten aus 21 Ländern (darunter Daten von </w:t>
      </w:r>
      <w:r w:rsidDel="00000000" w:rsidR="00000000" w:rsidRPr="00000000">
        <w:rPr>
          <w:rFonts w:ascii="Google Sans" w:cs="Google Sans" w:eastAsia="Google Sans" w:hAnsi="Google Sans"/>
          <w:i w:val="1"/>
          <w:iCs w:val="1"/>
          <w:color w:val="1f1f1f"/>
          <w:rtl w:val="0"/>
        </w:rPr>
        <w:t xml:space="preserve">Our World in Data</w:t>
      </w:r>
      <w:r w:rsidDel="00000000" w:rsidR="00000000" w:rsidRPr="00000000">
        <w:rPr>
          <w:rFonts w:ascii="Google Sans" w:cs="Google Sans" w:eastAsia="Google Sans" w:hAnsi="Google Sans"/>
          <w:color w:val="1f1f1f"/>
          <w:rtl w:val="0"/>
        </w:rPr>
        <w:t xml:space="preserve"> und GISAID) für das Jahr 2021 analysierte, nutzte gepoolte generalisierte lineare Regressionsmodelle, um die CFR der Länder um störende Variablen zu bereinigen.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Diese Analysen dekonstruierten den trügerischen direkten Vergleich roher CFR-Werte.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Die Regressionen zeigten, dass die dominanten Ausbreitungswellen der Omikron-Variante, eine niedrigere Reproduktionsrate (R-Wert) und vor allem hohe Durchimpfungsraten hochgradig mit einer niedrigeren CFR auf Landesebene assoziiert waren.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Im Umkehrschluss waren ein hohes Durchschnittsalter der Bevölkerung, eine hohe Quote an extremer Armut und eine hohe Prävalenz von Diabetes maßgebliche Treiber für erhöhte Letalitätsraten.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Auf physiologischer Ebene bestätigte eine tiefgreifende globale Regressionsanalyse von Komorbiditäten, dass chronische Nierenerkrankungen die stärkste Einzelkorrelation mit der COVID-19-Sterblichkeit aufwiesen (</w:t>
      </w:r>
      <w:r w:rsidDel="00000000" w:rsidR="00000000" w:rsidRPr="00000000">
        <w:rPr>
          <w:rFonts w:ascii="Google Sans" w:cs="Google Sans" w:eastAsia="Google Sans" w:hAnsi="Google Sans"/>
          <w:color w:val="1f1f1f"/>
        </w:rPr>
        <w:drawing>
          <wp:inline distB="19050" distT="19050" distL="19050" distR="19050">
            <wp:extent cx="1564634" cy="228971"/>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564634" cy="2289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Weitere signifikante, wenn auch schwächere Korrelationen zeigten sich bei Asthma (</w:t>
      </w:r>
      <w:r w:rsidDel="00000000" w:rsidR="00000000" w:rsidRPr="00000000">
        <w:rPr>
          <w:rFonts w:ascii="Google Sans" w:cs="Google Sans" w:eastAsia="Google Sans" w:hAnsi="Google Sans"/>
          <w:color w:val="1f1f1f"/>
        </w:rPr>
        <w:drawing>
          <wp:inline distB="19050" distT="19050" distL="19050" distR="19050">
            <wp:extent cx="1564634" cy="228971"/>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564634" cy="2289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und koronaren Herzerkrankungen (</w:t>
      </w:r>
      <w:r w:rsidDel="00000000" w:rsidR="00000000" w:rsidRPr="00000000">
        <w:rPr>
          <w:rFonts w:ascii="Google Sans" w:cs="Google Sans" w:eastAsia="Google Sans" w:hAnsi="Google Sans"/>
          <w:color w:val="1f1f1f"/>
        </w:rPr>
        <w:drawing>
          <wp:inline distB="19050" distT="19050" distL="19050" distR="19050">
            <wp:extent cx="697558" cy="229334"/>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97558" cy="2293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Auch die Qualität der administrativen Führung spielte eine quantifizierbare Rolle. Eine ökologische Studie an 110 Ländern, die die ersten zwölf Wochen der Delta- und Omikron-Dominanz verglich, fand heraus, dass ein höherer Index der Regierungs-Effektivität (Government Effectiveness Index) eine stark negative Korrelation mit der durchschnittlichen wöchentlichen Infektionssterblichkeitsrate (AWIFR) aufwies (</w:t>
      </w:r>
      <w:r w:rsidDel="00000000" w:rsidR="00000000" w:rsidRPr="00000000">
        <w:rPr>
          <w:rFonts w:ascii="Google Sans" w:cs="Google Sans" w:eastAsia="Google Sans" w:hAnsi="Google Sans"/>
          <w:color w:val="1f1f1f"/>
        </w:rPr>
        <w:drawing>
          <wp:inline distB="19050" distT="19050" distL="19050" distR="19050">
            <wp:extent cx="954434" cy="229064"/>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954434" cy="2290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95 %-KI: -1,238 bis -0,287).</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Staaten, die ihre Bevölkerung effektiv informierten, Lockdowns strategisch sinnvoll umsetzten und die medizinische Versorgungskette (Sauerstoff, Beatmungsgeräte, ICU-Betten) aufrechterhielten, konnten die Sterblichkeit ihrer Bevölkerung drastisch reduzieren.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Schließlich war die Impfung die wichtigste präventive Variable der Jahre 2021 und 2022. Studien zeigen konsistent, dass die Vakzination über fast alle Varianten hinweg einen massiven Schutz vor Tod und schweren Symptomen bot, wobei das relative Risiko (Risk Ratio) auf Werte zwischen 0,41 und 0,93 gesenkt wurde. Insbesondere Booster-Impfungen (Auffrischungen) reduzierten das Risiko für schwere Krankheitssymptome nochmals um über 50 %.</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Schlussfolgerungen und epidemiologisches Fazit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granulare Auswertung der SARS-CoV-2-Mortalitätsraten der Jahre 2020 bis 2022 – gestützt auf umfassende Meta-Analysen, offizielle Berichte der WHO, der CDC, des RKI und des BAG – zeichnet das Bild einer beispiellosen epidemiologischen Transformation. Die Pandemie entwickelte sich von einem akuten, hochletalen Ereignis für eine immunologisch naive Weltbevölkerung zu einem endemischen Geschehen, dessen Mortalitätslast durch wissenschaftliche Interventionen und Evolution drastisch abgeschwächt, aber niemals vollständig eliminiert wurde.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Die Frühphase der Pandemie (2020) war durch extreme Unsicherheit und artifiziell hohe Fallsterblichkeitsraten (CFR) gekennzeichnet, die in erster Linie das Fehlen flächendeckender Testinfrastrukturen widerspiegelten. Präzisere retrospektive Schätzungen der Infektionssterblichkeit (IFR) korrigierten das Bild auf eine mediane globale Letalität von etwa 0,68 % für den Wildtyp.</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Diese Durchschnittszahl verschleierte jedoch einen dramatischen, exponentiellen Altersgradienten: Während die IFR für Kinder und junge Erwachsene (0–29 Jahre) im marginalen Bereich von 0,0003 % bis 0,003 % lag, eskalierte sie für Personen in der siebten Lebensdekade auf über 0,5 % und stieg für Menschen über 80 Jahre auf katastrophale Werte jenseits der 10 %.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Die Mortalitätslast einer Nation in den ersten Wellen wurde somit fast deterministisch davon bestimmt, inwieweit das Virus in Alten- und Pflegeeinrichtungen eindringen konnte, was durch Übersterblichkeitsdaten in der Schweiz und in Deutschland eindrücklich bestätigt wird.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Das Jahr 2021, dominiert durch die Alpha- und später die Delta-Variante, repräsentiert den Gipfel der intrinsischen viralen Pathogenität. Insbesondere Delta erwies sich als hochaggressiv und führte zu einer globalen CFR von ca. 2,0 %.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Im direkten Vergleich verdoppelte Delta das Risiko für Hospitalisierungen, Intensivstationspflichtigkeit und Tod im Vergleich zu vorangegangenen und nachfolgenden Varianten.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Gleichzeitig markierte dieses Jahr den Wendepunkt im Kampf gegen das Virus, da die weltweite Ausrollung von mRNA- und Vektorimpfstoffen den zuvor unabdingbaren Link zwischen extrem hohen Inzidenzen und unweigerlicher Letalität aufbrach. Die Daten der CDC belegen, dass die Sterblichkeitsraten von Ungeimpften zeitweise das 21,9-fache der Raten von vollständig Geimpften betrugen.</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Die Omikron-Ära ab Ende 2021 schloss den Betrachtungszeitraum mit einem massiven epidemiologischen Paradigmenwechsel ab. Die globale CFR fiel auf 0,7 %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und das Risiko einer Krankenhauseinweisung oder eines letalen Verlaufs sank auf individueller Ebene um über 60 % im Vergleich zu Delta.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Dieser Rückgang war die synergetische Konsequenz einer veränderten Virustropie – Omikron repliziert bevorzugt in den oberen Atemwegen anstatt im tiefen Lungenparenchym – und der massiven Hybridimmunität, die die globale Population durch vorangegangene Impfungen und Infektionen erworben hatte.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Dennoch blieben die absoluten Todeszahlen aufgrund der unvergleichlichen Transmissibilität von Omikron hoch, wobei sich die Mortalität fast exklusiv auf die ältesten Kohorten (&gt; 65 Jahre) und Patienten mit multiplen Komorbiditäten verengte.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Zusammenfassend belegt die Analyse der Jahre 2020 bis 2022, dass die "Sterblichkeit von COVID-19" keine statische, dem Virus innewohnende Konstante war. Sie war vielmehr eine hyperdynamische Variable, moduliert durch das Zusammenspiel von evolutionärer Virologie, demografischer Bevölkerungsstruktur, sozioökonomischer Ungleichheit und der Effektivität globaler Public-Health-Interventionen. Die Präzision der Sterblichkeitsmetriken – von der rohen CFR zur verfeinerten IFR bis hin zur Modellierung der Übersterblichkeit – wird als essentielles Lehrstück für das Management zukünftiger Pandemien in die Geschichte der Epidemiologie eingehen.</w:t>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Referenzen</w:t>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COVID-19 pandemic - Wikipedia, Zugriff am März 3, 2026, </w:t>
      </w:r>
      <w:hyperlink r:id="rId13">
        <w:r w:rsidDel="00000000" w:rsidR="00000000" w:rsidRPr="00000000">
          <w:rPr>
            <w:rFonts w:ascii="Google Sans" w:cs="Google Sans" w:eastAsia="Google Sans" w:hAnsi="Google Sans"/>
            <w:color w:val="0000ee"/>
            <w:sz w:val="24"/>
            <w:szCs w:val="24"/>
            <w:u w:val="single"/>
            <w:rtl w:val="0"/>
          </w:rPr>
          <w:t xml:space="preserve">https://en.wikipedia.org/wiki/COVID-19_pandemic</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Estimating mortality from COVID-19 - World Health Organization (WHO), Zugriff am März 3, 2026, </w:t>
      </w:r>
      <w:hyperlink r:id="rId14">
        <w:r w:rsidDel="00000000" w:rsidR="00000000" w:rsidRPr="00000000">
          <w:rPr>
            <w:rFonts w:ascii="Google Sans" w:cs="Google Sans" w:eastAsia="Google Sans" w:hAnsi="Google Sans"/>
            <w:color w:val="0000ee"/>
            <w:sz w:val="24"/>
            <w:szCs w:val="24"/>
            <w:u w:val="single"/>
            <w:rtl w:val="0"/>
          </w:rPr>
          <w:t xml:space="preserve">https://www.who.int/news-room/commentaries/detail/estimating-mortality-from-covid-19</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Estimation of standardized real-time fatality rate for ongoing epidemics - PMC, Zugriff am März 3, 2026,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https://pmc.ncbi.nlm.nih.gov/articles/PMC11108209/</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Time-series comparison of COVID-19 case fatality rates across 21 countries with adjustment for multiple covariates - Osong Public Health and Research Perspectives, Zugriff am März 3, 2026, </w:t>
      </w:r>
      <w:hyperlink r:id="rId16">
        <w:r w:rsidDel="00000000" w:rsidR="00000000" w:rsidRPr="00000000">
          <w:rPr>
            <w:rFonts w:ascii="Google Sans" w:cs="Google Sans" w:eastAsia="Google Sans" w:hAnsi="Google Sans"/>
            <w:color w:val="0000ee"/>
            <w:sz w:val="24"/>
            <w:szCs w:val="24"/>
            <w:u w:val="single"/>
            <w:rtl w:val="0"/>
          </w:rPr>
          <w:t xml:space="preserve">https://ophrp.org/journal/view.php?doi=10.24171/j.phrp.2022.0212</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Estimating effective infection fatality rates during the course of the COVID-19 pandemic in Germany - PMC, Zugriff am März 3, 2026,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https://pmc.ncbi.nlm.nih.gov/articles/PMC8178670/</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Quantifying changes in the IFR and IHR over 23 months of the SARS-CoV-2 pandemic in England | medRxiv, Zugriff am März 3, 2026, </w:t>
      </w:r>
      <w:hyperlink r:id="rId18">
        <w:r w:rsidDel="00000000" w:rsidR="00000000" w:rsidRPr="00000000">
          <w:rPr>
            <w:rFonts w:ascii="Google Sans" w:cs="Google Sans" w:eastAsia="Google Sans" w:hAnsi="Google Sans"/>
            <w:color w:val="0000ee"/>
            <w:sz w:val="24"/>
            <w:szCs w:val="24"/>
            <w:u w:val="single"/>
            <w:rtl w:val="0"/>
          </w:rPr>
          <w:t xml:space="preserve">https://www.medrxiv.org/content/10.1101/2022.10.12.22281016v1.full-text</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Unraveling the flaws of estimates of the infection fatality rate for COVID-19, Zugriff am März 3, 2026, </w:t>
      </w:r>
      <w:hyperlink r:id="rId19">
        <w:r w:rsidDel="00000000" w:rsidR="00000000" w:rsidRPr="00000000">
          <w:rPr>
            <w:rFonts w:ascii="Google Sans" w:cs="Google Sans" w:eastAsia="Google Sans" w:hAnsi="Google Sans"/>
            <w:color w:val="0000ee"/>
            <w:sz w:val="24"/>
            <w:szCs w:val="24"/>
            <w:u w:val="single"/>
            <w:rtl w:val="0"/>
          </w:rPr>
          <w:t xml:space="preserve">https://necsi.edu/unraveling-the-flaws-of-estimates-of-the-infection-fatality-rate-for-covid-19</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true death toll of COVID-19 estimating global excess mortality, Zugriff am März 3, 2026, </w:t>
      </w:r>
      <w:hyperlink r:id="rId20">
        <w:r w:rsidDel="00000000" w:rsidR="00000000" w:rsidRPr="00000000">
          <w:rPr>
            <w:rFonts w:ascii="Google Sans" w:cs="Google Sans" w:eastAsia="Google Sans" w:hAnsi="Google Sans"/>
            <w:color w:val="0000ee"/>
            <w:sz w:val="24"/>
            <w:szCs w:val="24"/>
            <w:u w:val="single"/>
            <w:rtl w:val="0"/>
          </w:rPr>
          <w:t xml:space="preserve">https://www.who.int/data/stories/the-true-death-toll-of-covid-19-estimating-global-excess-mortality</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Among SARS-CoV-2 variants, Beta had highest death rate, meta-analysis suggests, Zugriff am März 3, 2026, </w:t>
      </w:r>
      <w:hyperlink r:id="rId21">
        <w:r w:rsidDel="00000000" w:rsidR="00000000" w:rsidRPr="00000000">
          <w:rPr>
            <w:rFonts w:ascii="Google Sans" w:cs="Google Sans" w:eastAsia="Google Sans" w:hAnsi="Google Sans"/>
            <w:color w:val="0000ee"/>
            <w:sz w:val="24"/>
            <w:szCs w:val="24"/>
            <w:u w:val="single"/>
            <w:rtl w:val="0"/>
          </w:rPr>
          <w:t xml:space="preserve">https://www.cidrap.umn.edu/covid-19/among-sars-cov-2-variants-beta-had-highest-death-rate-meta-analysis-suggests</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systematic review and meta-analysis of published research data on COVID-19 infection-fatality rates - medRxiv.org, Zugriff am März 3, 2026, </w:t>
      </w:r>
      <w:hyperlink r:id="rId22">
        <w:r w:rsidDel="00000000" w:rsidR="00000000" w:rsidRPr="00000000">
          <w:rPr>
            <w:rFonts w:ascii="Google Sans" w:cs="Google Sans" w:eastAsia="Google Sans" w:hAnsi="Google Sans"/>
            <w:color w:val="0000ee"/>
            <w:sz w:val="24"/>
            <w:szCs w:val="24"/>
            <w:u w:val="single"/>
            <w:rtl w:val="0"/>
          </w:rPr>
          <w:t xml:space="preserve">https://www.medrxiv.org/content/10.1101/2020.05.03.20089854v4</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systematic review and meta-analysis of published research data on COVID-19 infection fatality rates - PMC, Zugriff am März 3, 2026,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https://pmc.ncbi.nlm.nih.gov/articles/PMC7524446/</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COVID-19 Infection Fatality Rates Reported in Two Studies by Ioannidis et al. - Public Health Ontario, Zugriff am März 3, 2026, </w:t>
      </w:r>
      <w:hyperlink r:id="rId24">
        <w:r w:rsidDel="00000000" w:rsidR="00000000" w:rsidRPr="00000000">
          <w:rPr>
            <w:rFonts w:ascii="Google Sans" w:cs="Google Sans" w:eastAsia="Google Sans" w:hAnsi="Google Sans"/>
            <w:color w:val="0000ee"/>
            <w:sz w:val="24"/>
            <w:szCs w:val="24"/>
            <w:u w:val="single"/>
            <w:rtl w:val="0"/>
          </w:rPr>
          <w:t xml:space="preserve">https://www.publichealthontario.ca/-/media/documents/ncov/research/2020/12/synopsis-ioannidis-studies-covid-19-infection-fatality-rates.pdf?la=en</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Reconciling estimates of global spread and infection fatality rates of COVID-19: An overview of systematic evaluations - PubMed, Zugriff am März 3, 2026, </w:t>
      </w:r>
      <w:hyperlink r:id="rId25">
        <w:r w:rsidDel="00000000" w:rsidR="00000000" w:rsidRPr="00000000">
          <w:rPr>
            <w:rFonts w:ascii="Google Sans" w:cs="Google Sans" w:eastAsia="Google Sans" w:hAnsi="Google Sans"/>
            <w:color w:val="0000ee"/>
            <w:sz w:val="24"/>
            <w:szCs w:val="24"/>
            <w:u w:val="single"/>
            <w:rtl w:val="0"/>
          </w:rPr>
          <w:t xml:space="preserve">https://pubmed.ncbi.nlm.nih.gov/33768536/</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Infection fatality rate of COVID-19 inferred from seroprevalence data - PMC - NIH, Zugriff am März 3,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https://pmc.ncbi.nlm.nih.gov/articles/PMC7947934/</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Age-stratified infection fatality rate of COVID-19 in the non-elderly population - PMC, Zugriff am März 3, 2026,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https://pmc.ncbi.nlm.nih.gov/articles/PMC9613797/</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Age-stratified infection fatality rate of COVID-19 in the non-elderly informed from pre-vaccination national seroprevalence studies | medRxiv, Zugriff am März 3, 2026, </w:t>
      </w:r>
      <w:hyperlink r:id="rId28">
        <w:r w:rsidDel="00000000" w:rsidR="00000000" w:rsidRPr="00000000">
          <w:rPr>
            <w:rFonts w:ascii="Google Sans" w:cs="Google Sans" w:eastAsia="Google Sans" w:hAnsi="Google Sans"/>
            <w:color w:val="0000ee"/>
            <w:sz w:val="24"/>
            <w:szCs w:val="24"/>
            <w:u w:val="single"/>
            <w:rtl w:val="0"/>
          </w:rPr>
          <w:t xml:space="preserve">https://www.medrxiv.org/content/10.1101/2022.10.11.22280963v1.full-text</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Infection fatality rate of COVID-19 in community-dwelling populations with emphasis on the elderly: An overview - medRxiv.org, Zugriff am März 3, 2026, </w:t>
      </w:r>
      <w:hyperlink r:id="rId29">
        <w:r w:rsidDel="00000000" w:rsidR="00000000" w:rsidRPr="00000000">
          <w:rPr>
            <w:rFonts w:ascii="Google Sans" w:cs="Google Sans" w:eastAsia="Google Sans" w:hAnsi="Google Sans"/>
            <w:color w:val="0000ee"/>
            <w:sz w:val="24"/>
            <w:szCs w:val="24"/>
            <w:u w:val="single"/>
            <w:rtl w:val="0"/>
          </w:rPr>
          <w:t xml:space="preserve">https://www.medrxiv.org/content/10.1101/2021.07.08.21260210v1</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infection fatality rate of COVID-19 inferred from seroprevalence data - medRxiv.org, Zugriff am März 3, 2026, </w:t>
      </w:r>
      <w:hyperlink r:id="rId30">
        <w:r w:rsidDel="00000000" w:rsidR="00000000" w:rsidRPr="00000000">
          <w:rPr>
            <w:rFonts w:ascii="Google Sans" w:cs="Google Sans" w:eastAsia="Google Sans" w:hAnsi="Google Sans"/>
            <w:color w:val="0000ee"/>
            <w:sz w:val="24"/>
            <w:szCs w:val="24"/>
            <w:u w:val="single"/>
            <w:rtl w:val="0"/>
          </w:rPr>
          <w:t xml:space="preserve">https://www.medrxiv.org/content/10.1101/2020.05.13.20101253v2.full.pdf</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Influence of SARS-CoV-2 Variants on National Case-Fatality Rates: Correlation and Validation Study - PMC, Zugriff am März 3, 2026,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https://pmc.ncbi.nlm.nih.gov/articles/PMC9364421/</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Analysis of COVID-19 Mortality During the Dominancy of Alpha, Delta, and Omicron in the USA - PMC, Zugriff am März 3,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https://pmc.ncbi.nlm.nih.gov/articles/PMC10125879/</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RKI-Ratgeber - COVID-19, Zugriff am März 3, 2026, </w:t>
      </w:r>
      <w:hyperlink r:id="rId33">
        <w:r w:rsidDel="00000000" w:rsidR="00000000" w:rsidRPr="00000000">
          <w:rPr>
            <w:rFonts w:ascii="Google Sans" w:cs="Google Sans" w:eastAsia="Google Sans" w:hAnsi="Google Sans"/>
            <w:color w:val="0000ee"/>
            <w:sz w:val="24"/>
            <w:szCs w:val="24"/>
            <w:u w:val="single"/>
            <w:rtl w:val="0"/>
          </w:rPr>
          <w:t xml:space="preserve">https://www.rki.de/DE/Aktuelles/Publikationen/RKI-Ratgeber/Ratgeber/Ratgeber_COVID-19.html</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Omicron, Delta, Alpha, and More: What To Know About the Coronavirus Variants | News, Zugriff am März 3, 2026, </w:t>
      </w:r>
      <w:hyperlink r:id="rId34">
        <w:r w:rsidDel="00000000" w:rsidR="00000000" w:rsidRPr="00000000">
          <w:rPr>
            <w:rFonts w:ascii="Google Sans" w:cs="Google Sans" w:eastAsia="Google Sans" w:hAnsi="Google Sans"/>
            <w:color w:val="0000ee"/>
            <w:sz w:val="24"/>
            <w:szCs w:val="24"/>
            <w:u w:val="single"/>
            <w:rtl w:val="0"/>
          </w:rPr>
          <w:t xml:space="preserve">https://www.yalemedicine.org/news/covid-19-variants-of-concern-omicron</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Clinical outcomes of the severe acute respiratory syndrome coronavirus 2 Omicron and Delta variant - PMC, Zugriff am März 3, 2026,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https://pmc.ncbi.nlm.nih.gov/articles/PMC10023211/</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global analysis of COVID-19 infection fatality rate and its associated factors during the Delta and Omicron variant periods: an ecological study - Frontiers, Zugriff am März 3, 2026, </w:t>
      </w:r>
      <w:hyperlink r:id="rId36">
        <w:r w:rsidDel="00000000" w:rsidR="00000000" w:rsidRPr="00000000">
          <w:rPr>
            <w:rFonts w:ascii="Google Sans" w:cs="Google Sans" w:eastAsia="Google Sans" w:hAnsi="Google Sans"/>
            <w:color w:val="0000ee"/>
            <w:sz w:val="24"/>
            <w:szCs w:val="24"/>
            <w:u w:val="single"/>
            <w:rtl w:val="0"/>
          </w:rPr>
          <w:t xml:space="preserve">https://www.frontiersin.org/journals/public-health/articles/10.3389/fpubh.2023.1145138/full</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severity of COVID-19 cases caused by Alpha, Delta or Omicron SARS-CoV-2 variants and its association with vaccination - PMC, Zugriff am März 3, 2026, </w:t>
      </w:r>
      <w:hyperlink r:id="rId37">
        <w:r w:rsidDel="00000000" w:rsidR="00000000" w:rsidRPr="00000000">
          <w:rPr>
            <w:rFonts w:ascii="Google Sans" w:cs="Google Sans" w:eastAsia="Google Sans" w:hAnsi="Google Sans"/>
            <w:color w:val="0000ee"/>
            <w:sz w:val="24"/>
            <w:szCs w:val="24"/>
            <w:u w:val="single"/>
            <w:rtl w:val="0"/>
          </w:rPr>
          <w:t xml:space="preserve">https://pmc.ncbi.nlm.nih.gov/articles/PMC9890374/</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Genomic Surveillance for SARS-CoV-2 Variants: Predominance of the Delta (B.1.617.2) and Omicron (B.1.1.529) Variants — United States, June 2021–January 2022 - CDC, Zugriff am März 3, 2026, </w:t>
      </w:r>
      <w:hyperlink r:id="rId38">
        <w:r w:rsidDel="00000000" w:rsidR="00000000" w:rsidRPr="00000000">
          <w:rPr>
            <w:rFonts w:ascii="Google Sans" w:cs="Google Sans" w:eastAsia="Google Sans" w:hAnsi="Google Sans"/>
            <w:color w:val="0000ee"/>
            <w:sz w:val="24"/>
            <w:szCs w:val="24"/>
            <w:u w:val="single"/>
            <w:rtl w:val="0"/>
          </w:rPr>
          <w:t xml:space="preserve">https://www.cdc.gov/mmwr/volumes/71/wr/mm7106a4.htm</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Severity and outcomes of Omicron variant of SARS-CoV-2 compared to Delta variant and severity of Omicron sublineages: a systematic review and metanalysis - PMC, Zugriff am März 3,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https://pmc.ncbi.nlm.nih.gov/articles/PMC10347449/</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Severity and outcomes of Omicron variant of SARS-CoV-2 compared to Delta variant and severity of Omicron sublineages: a systematic review and metanalysis | BMJ Global Health, Zugriff am März 3, 2026, </w:t>
      </w:r>
      <w:hyperlink r:id="rId40">
        <w:r w:rsidDel="00000000" w:rsidR="00000000" w:rsidRPr="00000000">
          <w:rPr>
            <w:rFonts w:ascii="Google Sans" w:cs="Google Sans" w:eastAsia="Google Sans" w:hAnsi="Google Sans"/>
            <w:color w:val="0000ee"/>
            <w:sz w:val="24"/>
            <w:szCs w:val="24"/>
            <w:u w:val="single"/>
            <w:rtl w:val="0"/>
          </w:rPr>
          <w:t xml:space="preserve">https://gh.bmj.com/content/8/7/e012328</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 to Omicron: Disease Severity and Clinical Outcomes of Major SARS-CoV-2 Variants - Oxford Academic, Zugriff am März 3, 2026, </w:t>
      </w:r>
      <w:hyperlink r:id="rId41">
        <w:r w:rsidDel="00000000" w:rsidR="00000000" w:rsidRPr="00000000">
          <w:rPr>
            <w:rFonts w:ascii="Google Sans" w:cs="Google Sans" w:eastAsia="Google Sans" w:hAnsi="Google Sans"/>
            <w:color w:val="0000ee"/>
            <w:sz w:val="24"/>
            <w:szCs w:val="24"/>
            <w:u w:val="single"/>
            <w:rtl w:val="0"/>
          </w:rPr>
          <w:t xml:space="preserve">https://academic.oup.com/jid/article/227/3/344/6754902</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chronological review of COVID-19 case fatality rate and its secular trend and investigation of all-cause mortality and hospitalization during the Delta and Omicron waves in the United States: a retrospective cohort study - Frontiers, Zugriff am März 3, 2026, </w:t>
      </w:r>
      <w:hyperlink r:id="rId42">
        <w:r w:rsidDel="00000000" w:rsidR="00000000" w:rsidRPr="00000000">
          <w:rPr>
            <w:rFonts w:ascii="Google Sans" w:cs="Google Sans" w:eastAsia="Google Sans" w:hAnsi="Google Sans"/>
            <w:color w:val="0000ee"/>
            <w:sz w:val="24"/>
            <w:szCs w:val="24"/>
            <w:u w:val="single"/>
            <w:rtl w:val="0"/>
          </w:rPr>
          <w:t xml:space="preserve">https://www.frontiersin.org/journals/public-health/articles/10.3389/fpubh.2023.1143650/full</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Significantly lower infection fatality rates associated with SARS-CoV-2 Omicron (B.1.1.529) infection in children and young people: Active, prospective national surveillance, January-March 2022, England - PMC, Zugriff am März 3, 2026, </w:t>
      </w:r>
      <w:hyperlink r:id="rId43">
        <w:r w:rsidDel="00000000" w:rsidR="00000000" w:rsidRPr="00000000">
          <w:rPr>
            <w:rFonts w:ascii="Google Sans" w:cs="Google Sans" w:eastAsia="Google Sans" w:hAnsi="Google Sans"/>
            <w:color w:val="0000ee"/>
            <w:sz w:val="24"/>
            <w:szCs w:val="24"/>
            <w:u w:val="single"/>
            <w:rtl w:val="0"/>
          </w:rPr>
          <w:t xml:space="preserve">https://pmc.ncbi.nlm.nih.gov/articles/PMC9872565/</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Fatality Rates After Infection With the Omicron Variant (B.1.1.529): How Deadly has it been? A Systematic Review and Meta-Analysis - PMC, Zugriff am März 3, 2026, </w:t>
      </w:r>
      <w:hyperlink r:id="rId44">
        <w:r w:rsidDel="00000000" w:rsidR="00000000" w:rsidRPr="00000000">
          <w:rPr>
            <w:rFonts w:ascii="Google Sans" w:cs="Google Sans" w:eastAsia="Google Sans" w:hAnsi="Google Sans"/>
            <w:color w:val="0000ee"/>
            <w:sz w:val="24"/>
            <w:szCs w:val="24"/>
            <w:u w:val="single"/>
            <w:rtl w:val="0"/>
          </w:rPr>
          <w:t xml:space="preserve">https://pmc.ncbi.nlm.nih.gov/articles/PMC11153312/</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case fatality rate of COVID-19 during the Delta and the Omicron epidemic phase: A meta-analysis - PubMed, Zugriff am März 3, 2026, </w:t>
      </w:r>
      <w:hyperlink r:id="rId45">
        <w:r w:rsidDel="00000000" w:rsidR="00000000" w:rsidRPr="00000000">
          <w:rPr>
            <w:rFonts w:ascii="Google Sans" w:cs="Google Sans" w:eastAsia="Google Sans" w:hAnsi="Google Sans"/>
            <w:color w:val="0000ee"/>
            <w:sz w:val="24"/>
            <w:szCs w:val="24"/>
            <w:u w:val="single"/>
            <w:rtl w:val="0"/>
          </w:rPr>
          <w:t xml:space="preserve">https://pubmed.ncbi.nlm.nih.gov/36691933/</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COVID-19 pandemic in the United States - Wikipedia, Zugriff am März 3, 2026, </w:t>
      </w:r>
      <w:hyperlink r:id="rId46">
        <w:r w:rsidDel="00000000" w:rsidR="00000000" w:rsidRPr="00000000">
          <w:rPr>
            <w:rFonts w:ascii="Google Sans" w:cs="Google Sans" w:eastAsia="Google Sans" w:hAnsi="Google Sans"/>
            <w:color w:val="0000ee"/>
            <w:sz w:val="24"/>
            <w:szCs w:val="24"/>
            <w:u w:val="single"/>
            <w:rtl w:val="0"/>
          </w:rPr>
          <w:t xml:space="preserve">https://en.wikipedia.org/wiki/COVID-19_pandemic_in_the_United_States</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COVID-19 Mortality Update — United States, 2022 | MMWR - CDC, Zugriff am März 3, 2026, </w:t>
      </w:r>
      <w:hyperlink r:id="rId47">
        <w:r w:rsidDel="00000000" w:rsidR="00000000" w:rsidRPr="00000000">
          <w:rPr>
            <w:rFonts w:ascii="Google Sans" w:cs="Google Sans" w:eastAsia="Google Sans" w:hAnsi="Google Sans"/>
            <w:color w:val="0000ee"/>
            <w:sz w:val="24"/>
            <w:szCs w:val="24"/>
            <w:u w:val="single"/>
            <w:rtl w:val="0"/>
          </w:rPr>
          <w:t xml:space="preserve">https://www.cdc.gov/mmwr/volumes/72/wr/mm7218a4.htm</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Mortality Risk Among Patients Hospitalized Primarily for COVID-19 During the Omicron and Delta Variant Pandemic Periods — United States, April 2020–June 2022 | MMWR - CDC, Zugriff am März 3, 2026, </w:t>
      </w:r>
      <w:hyperlink r:id="rId48">
        <w:r w:rsidDel="00000000" w:rsidR="00000000" w:rsidRPr="00000000">
          <w:rPr>
            <w:rFonts w:ascii="Google Sans" w:cs="Google Sans" w:eastAsia="Google Sans" w:hAnsi="Google Sans"/>
            <w:color w:val="0000ee"/>
            <w:sz w:val="24"/>
            <w:szCs w:val="24"/>
            <w:u w:val="single"/>
            <w:rtl w:val="0"/>
          </w:rPr>
          <w:t xml:space="preserve">https://www.cdc.gov/mmwr/volumes/71/wr/mm7137a4.htm</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COVID-19 Incidence and Death Rates Among Unvaccinated and Fully Vaccinated Adults with and Without Booster Doses During Periods of Delta and Omicron Variant Emergence — 25 U.S. Jurisdictions, April 4–December 25, 2021 | MMWR - CDC, Zugriff am März 3, 2026, </w:t>
      </w:r>
      <w:hyperlink r:id="rId49">
        <w:r w:rsidDel="00000000" w:rsidR="00000000" w:rsidRPr="00000000">
          <w:rPr>
            <w:rFonts w:ascii="Google Sans" w:cs="Google Sans" w:eastAsia="Google Sans" w:hAnsi="Google Sans"/>
            <w:color w:val="0000ee"/>
            <w:sz w:val="24"/>
            <w:szCs w:val="24"/>
            <w:u w:val="single"/>
            <w:rtl w:val="0"/>
          </w:rPr>
          <w:t xml:space="preserve">https://www.cdc.gov/mmwr/volumes/71/wr/mm7104e2.htm</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Corona-Pandemie führt zu Übersterblichkeit in Deutschland - Statistisches Bundesamt, Zugriff am März 3, 2026, </w:t>
      </w:r>
      <w:hyperlink r:id="rId50">
        <w:r w:rsidDel="00000000" w:rsidR="00000000" w:rsidRPr="00000000">
          <w:rPr>
            <w:rFonts w:ascii="Google Sans" w:cs="Google Sans" w:eastAsia="Google Sans" w:hAnsi="Google Sans"/>
            <w:color w:val="0000ee"/>
            <w:sz w:val="24"/>
            <w:szCs w:val="24"/>
            <w:u w:val="single"/>
            <w:rtl w:val="0"/>
          </w:rPr>
          <w:t xml:space="preserve">https://www.destatis.de/DE/Presse/Pressemitteilungen/2021/12/PD21_563_12.html</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Estimating the SARS-CoV-2 infection fatality rate by data combination: the case of Germany's first wave* | The Econometrics Journal | Oxford Academic, Zugriff am März 3, 2026, </w:t>
      </w:r>
      <w:hyperlink r:id="rId51">
        <w:r w:rsidDel="00000000" w:rsidR="00000000" w:rsidRPr="00000000">
          <w:rPr>
            <w:rFonts w:ascii="Google Sans" w:cs="Google Sans" w:eastAsia="Google Sans" w:hAnsi="Google Sans"/>
            <w:color w:val="0000ee"/>
            <w:sz w:val="24"/>
            <w:szCs w:val="24"/>
            <w:u w:val="single"/>
            <w:rtl w:val="0"/>
          </w:rPr>
          <w:t xml:space="preserve">https://academic.oup.com/ectj/article/25/2/515/6517310?guestAccessKey=7bfdf750-c4c2-473a-b8dd-10ea1abb72e1</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[2011.02420] Estimating effective infection fatality rates during the course of the COVID-19 pandemic in Germany - arXiv, Zugriff am März 3, 2026, </w:t>
      </w:r>
      <w:hyperlink r:id="rId52">
        <w:r w:rsidDel="00000000" w:rsidR="00000000" w:rsidRPr="00000000">
          <w:rPr>
            <w:rFonts w:ascii="Google Sans" w:cs="Google Sans" w:eastAsia="Google Sans" w:hAnsi="Google Sans"/>
            <w:color w:val="0000ee"/>
            <w:sz w:val="24"/>
            <w:szCs w:val="24"/>
            <w:u w:val="single"/>
            <w:rtl w:val="0"/>
          </w:rPr>
          <w:t xml:space="preserve">https://arxiv.org/abs/2011.02420</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COVID-19-related deaths: a 2-year inter-wave comparison of mortality data from Germany, Zugriff am März 3, 2026, </w:t>
      </w:r>
      <w:hyperlink r:id="rId53">
        <w:r w:rsidDel="00000000" w:rsidR="00000000" w:rsidRPr="00000000">
          <w:rPr>
            <w:rFonts w:ascii="Google Sans" w:cs="Google Sans" w:eastAsia="Google Sans" w:hAnsi="Google Sans"/>
            <w:color w:val="0000ee"/>
            <w:sz w:val="24"/>
            <w:szCs w:val="24"/>
            <w:u w:val="single"/>
            <w:rtl w:val="0"/>
          </w:rPr>
          <w:t xml:space="preserve">https://pmc.ncbi.nlm.nih.gov/articles/PMC9870770/</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Mortality in Frankfurt am Main, Germany, 2020–2023: higher excess mortality during an influenza wave in 2022 than during all COVID-19 waves altogether - PMC, Zugriff am März 3, 2026, </w:t>
      </w:r>
      <w:hyperlink r:id="rId54">
        <w:r w:rsidDel="00000000" w:rsidR="00000000" w:rsidRPr="00000000">
          <w:rPr>
            <w:rFonts w:ascii="Google Sans" w:cs="Google Sans" w:eastAsia="Google Sans" w:hAnsi="Google Sans"/>
            <w:color w:val="0000ee"/>
            <w:sz w:val="24"/>
            <w:szCs w:val="24"/>
            <w:u w:val="single"/>
            <w:rtl w:val="0"/>
          </w:rPr>
          <w:t xml:space="preserve">https://pmc.ncbi.nlm.nih.gov/articles/PMC12059809/</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Auswertung der unterjährigen Sterbefallzahlen seit 2020 - Statistisches Bundesamt, Zugriff am März 3, 2026, </w:t>
      </w:r>
      <w:hyperlink r:id="rId55">
        <w:r w:rsidDel="00000000" w:rsidR="00000000" w:rsidRPr="00000000">
          <w:rPr>
            <w:rFonts w:ascii="Google Sans" w:cs="Google Sans" w:eastAsia="Google Sans" w:hAnsi="Google Sans"/>
            <w:color w:val="0000ee"/>
            <w:sz w:val="24"/>
            <w:szCs w:val="24"/>
            <w:u w:val="single"/>
            <w:rtl w:val="0"/>
          </w:rPr>
          <w:t xml:space="preserve">https://www.destatis.de/DE/Themen/Gesellschaft-Umwelt/Bevoelkerung/Sterbefaelle-Lebenserwartung/sterbefallzahlen.html</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Krankheitslast Covid-19 (Stand Juni 2022) - Bundesamt für Gesundheit BAG, Zugriff am März 3, 2026, </w:t>
      </w:r>
      <w:hyperlink r:id="rId56">
        <w:r w:rsidDel="00000000" w:rsidR="00000000" w:rsidRPr="00000000">
          <w:rPr>
            <w:rFonts w:ascii="Google Sans" w:cs="Google Sans" w:eastAsia="Google Sans" w:hAnsi="Google Sans"/>
            <w:color w:val="0000ee"/>
            <w:sz w:val="24"/>
            <w:szCs w:val="24"/>
            <w:u w:val="single"/>
            <w:rtl w:val="0"/>
          </w:rPr>
          <w:t xml:space="preserve">https://www.bag.admin.ch/dam/de/sd-web/yinO1oYmudg1/covid-19-krankheitslast.pdf</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Sterblichkeit und Lebenserwartung im Jahr 2020 - Bundesamt für Statistik - BFS, Zugriff am März 3, 2026, </w:t>
      </w:r>
      <w:hyperlink r:id="rId57">
        <w:r w:rsidDel="00000000" w:rsidR="00000000" w:rsidRPr="00000000">
          <w:rPr>
            <w:rFonts w:ascii="Google Sans" w:cs="Google Sans" w:eastAsia="Google Sans" w:hAnsi="Google Sans"/>
            <w:color w:val="0000ee"/>
            <w:sz w:val="24"/>
            <w:szCs w:val="24"/>
            <w:u w:val="single"/>
            <w:rtl w:val="0"/>
          </w:rPr>
          <w:t xml:space="preserve">https://www.bfs.admin.ch/bfsstatic/dam/assets/19305028/master</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Auswirkungen der Covid-19-Pandemie auf die Gesundheitsversorgung im Jahr 2020 - admin.ch, Zugriff am März 3, 2026, </w:t>
      </w:r>
      <w:hyperlink r:id="rId58">
        <w:r w:rsidDel="00000000" w:rsidR="00000000" w:rsidRPr="00000000">
          <w:rPr>
            <w:rFonts w:ascii="Google Sans" w:cs="Google Sans" w:eastAsia="Google Sans" w:hAnsi="Google Sans"/>
            <w:color w:val="0000ee"/>
            <w:sz w:val="24"/>
            <w:szCs w:val="24"/>
            <w:u w:val="single"/>
            <w:rtl w:val="0"/>
          </w:rPr>
          <w:t xml:space="preserve">https://dam-api.bfs.admin.ch/hub/api/dam/assets/20444121/master</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Auswirkungen der Covid-19-Pandemie auf die ältere Bevölkerung und auf Bewohnerin - Schweizer Parlament, Zugriff am März 3, 2026, </w:t>
      </w:r>
      <w:hyperlink r:id="rId59">
        <w:r w:rsidDel="00000000" w:rsidR="00000000" w:rsidRPr="00000000">
          <w:rPr>
            <w:rFonts w:ascii="Google Sans" w:cs="Google Sans" w:eastAsia="Google Sans" w:hAnsi="Google Sans"/>
            <w:color w:val="0000ee"/>
            <w:sz w:val="24"/>
            <w:szCs w:val="24"/>
            <w:u w:val="single"/>
            <w:rtl w:val="0"/>
          </w:rPr>
          <w:t xml:space="preserve">https://www.parlament.ch/centers/eparl/curia/2020/20203721/Bericht%20BR%20D.pdf</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COVID-19-Pandemie in der Schweiz - Wikipedia, Zugriff am März 3, 2026, </w:t>
      </w:r>
      <w:hyperlink r:id="rId60">
        <w:r w:rsidDel="00000000" w:rsidR="00000000" w:rsidRPr="00000000">
          <w:rPr>
            <w:rFonts w:ascii="Google Sans" w:cs="Google Sans" w:eastAsia="Google Sans" w:hAnsi="Google Sans"/>
            <w:color w:val="0000ee"/>
            <w:sz w:val="24"/>
            <w:szCs w:val="24"/>
            <w:u w:val="single"/>
            <w:rtl w:val="0"/>
          </w:rPr>
          <w:t xml:space="preserve">https://de.wikipedia.org/wiki/COVID-19-Pandemie_in_der_Schweiz</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Tracking temporal variations of fatality and symptomology correlated with COVID-19 dominant variants and vaccine effectiveness in the United States - PMC, Zugriff am März 3, 2026, </w:t>
      </w:r>
      <w:hyperlink r:id="rId61">
        <w:r w:rsidDel="00000000" w:rsidR="00000000" w:rsidRPr="00000000">
          <w:rPr>
            <w:rFonts w:ascii="Google Sans" w:cs="Google Sans" w:eastAsia="Google Sans" w:hAnsi="Google Sans"/>
            <w:color w:val="0000ee"/>
            <w:sz w:val="24"/>
            <w:szCs w:val="24"/>
            <w:u w:val="single"/>
            <w:rtl w:val="0"/>
          </w:rPr>
          <w:t xml:space="preserve">https://pmc.ncbi.nlm.nih.gov/articles/PMC11445176/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h.bmj.com/content/8/7/e012328" TargetMode="External"/><Relationship Id="rId42" Type="http://schemas.openxmlformats.org/officeDocument/2006/relationships/hyperlink" Target="https://www.frontiersin.org/journals/public-health/articles/10.3389/fpubh.2023.1143650/full" TargetMode="External"/><Relationship Id="rId41" Type="http://schemas.openxmlformats.org/officeDocument/2006/relationships/hyperlink" Target="https://academic.oup.com/jid/article/227/3/344/6754902" TargetMode="External"/><Relationship Id="rId44" Type="http://schemas.openxmlformats.org/officeDocument/2006/relationships/hyperlink" Target="https://pmc.ncbi.nlm.nih.gov/articles/PMC11153312/" TargetMode="External"/><Relationship Id="rId43" Type="http://schemas.openxmlformats.org/officeDocument/2006/relationships/hyperlink" Target="https://pmc.ncbi.nlm.nih.gov/articles/PMC9872565/" TargetMode="External"/><Relationship Id="rId46" Type="http://schemas.openxmlformats.org/officeDocument/2006/relationships/hyperlink" Target="https://en.wikipedia.org/wiki/COVID-19_pandemic_in_the_United_States" TargetMode="External"/><Relationship Id="rId45" Type="http://schemas.openxmlformats.org/officeDocument/2006/relationships/hyperlink" Target="https://pubmed.ncbi.nlm.nih.gov/3669193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www.cdc.gov/mmwr/volumes/71/wr/mm7137a4.htm" TargetMode="External"/><Relationship Id="rId47" Type="http://schemas.openxmlformats.org/officeDocument/2006/relationships/hyperlink" Target="https://www.cdc.gov/mmwr/volumes/72/wr/mm7218a4.htm" TargetMode="External"/><Relationship Id="rId49" Type="http://schemas.openxmlformats.org/officeDocument/2006/relationships/hyperlink" Target="https://www.cdc.gov/mmwr/volumes/71/wr/mm7104e2.htm"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5.png"/><Relationship Id="rId31" Type="http://schemas.openxmlformats.org/officeDocument/2006/relationships/hyperlink" Target="https://pmc.ncbi.nlm.nih.gov/articles/PMC9364421/" TargetMode="External"/><Relationship Id="rId30" Type="http://schemas.openxmlformats.org/officeDocument/2006/relationships/hyperlink" Target="https://www.medrxiv.org/content/10.1101/2020.05.13.20101253v2.full.pdf" TargetMode="External"/><Relationship Id="rId33" Type="http://schemas.openxmlformats.org/officeDocument/2006/relationships/hyperlink" Target="https://www.rki.de/DE/Aktuelles/Publikationen/RKI-Ratgeber/Ratgeber/Ratgeber_COVID-19.html" TargetMode="External"/><Relationship Id="rId32" Type="http://schemas.openxmlformats.org/officeDocument/2006/relationships/hyperlink" Target="https://pmc.ncbi.nlm.nih.gov/articles/PMC10125879/" TargetMode="External"/><Relationship Id="rId35" Type="http://schemas.openxmlformats.org/officeDocument/2006/relationships/hyperlink" Target="https://pmc.ncbi.nlm.nih.gov/articles/PMC10023211/" TargetMode="External"/><Relationship Id="rId34" Type="http://schemas.openxmlformats.org/officeDocument/2006/relationships/hyperlink" Target="https://www.yalemedicine.org/news/covid-19-variants-of-concern-omicron" TargetMode="External"/><Relationship Id="rId37" Type="http://schemas.openxmlformats.org/officeDocument/2006/relationships/hyperlink" Target="https://pmc.ncbi.nlm.nih.gov/articles/PMC9890374/" TargetMode="External"/><Relationship Id="rId36" Type="http://schemas.openxmlformats.org/officeDocument/2006/relationships/hyperlink" Target="https://www.frontiersin.org/journals/public-health/articles/10.3389/fpubh.2023.1145138/full" TargetMode="External"/><Relationship Id="rId39" Type="http://schemas.openxmlformats.org/officeDocument/2006/relationships/hyperlink" Target="https://pmc.ncbi.nlm.nih.gov/articles/PMC10347449/" TargetMode="External"/><Relationship Id="rId38" Type="http://schemas.openxmlformats.org/officeDocument/2006/relationships/hyperlink" Target="https://www.cdc.gov/mmwr/volumes/71/wr/mm7106a4.htm" TargetMode="External"/><Relationship Id="rId61" Type="http://schemas.openxmlformats.org/officeDocument/2006/relationships/hyperlink" Target="https://pmc.ncbi.nlm.nih.gov/articles/PMC11445176/" TargetMode="External"/><Relationship Id="rId20" Type="http://schemas.openxmlformats.org/officeDocument/2006/relationships/hyperlink" Target="https://www.who.int/data/stories/the-true-death-toll-of-covid-19-estimating-global-excess-mortality" TargetMode="External"/><Relationship Id="rId22" Type="http://schemas.openxmlformats.org/officeDocument/2006/relationships/hyperlink" Target="https://www.medrxiv.org/content/10.1101/2020.05.03.20089854v4" TargetMode="External"/><Relationship Id="rId21" Type="http://schemas.openxmlformats.org/officeDocument/2006/relationships/hyperlink" Target="https://www.cidrap.umn.edu/covid-19/among-sars-cov-2-variants-beta-had-highest-death-rate-meta-analysis-suggests" TargetMode="External"/><Relationship Id="rId24" Type="http://schemas.openxmlformats.org/officeDocument/2006/relationships/hyperlink" Target="https://www.publichealthontario.ca/-/media/documents/ncov/research/2020/12/synopsis-ioannidis-studies-covid-19-infection-fatality-rates.pdf?la=en" TargetMode="External"/><Relationship Id="rId23" Type="http://schemas.openxmlformats.org/officeDocument/2006/relationships/hyperlink" Target="https://pmc.ncbi.nlm.nih.gov/articles/PMC7524446/" TargetMode="External"/><Relationship Id="rId60" Type="http://schemas.openxmlformats.org/officeDocument/2006/relationships/hyperlink" Target="https://de.wikipedia.org/wiki/COVID-19-Pandemie_in_der_Schweiz" TargetMode="External"/><Relationship Id="rId26" Type="http://schemas.openxmlformats.org/officeDocument/2006/relationships/hyperlink" Target="https://pmc.ncbi.nlm.nih.gov/articles/PMC7947934/" TargetMode="External"/><Relationship Id="rId25" Type="http://schemas.openxmlformats.org/officeDocument/2006/relationships/hyperlink" Target="https://pubmed.ncbi.nlm.nih.gov/33768536/" TargetMode="External"/><Relationship Id="rId28" Type="http://schemas.openxmlformats.org/officeDocument/2006/relationships/hyperlink" Target="https://www.medrxiv.org/content/10.1101/2022.10.11.22280963v1.full-text" TargetMode="External"/><Relationship Id="rId27" Type="http://schemas.openxmlformats.org/officeDocument/2006/relationships/hyperlink" Target="https://pmc.ncbi.nlm.nih.gov/articles/PMC9613797/" TargetMode="External"/><Relationship Id="rId29" Type="http://schemas.openxmlformats.org/officeDocument/2006/relationships/hyperlink" Target="https://www.medrxiv.org/content/10.1101/2021.07.08.21260210v1" TargetMode="External"/><Relationship Id="rId51" Type="http://schemas.openxmlformats.org/officeDocument/2006/relationships/hyperlink" Target="https://academic.oup.com/ectj/article/25/2/515/6517310?guestAccessKey=7bfdf750-c4c2-473a-b8dd-10ea1abb72e1" TargetMode="External"/><Relationship Id="rId50" Type="http://schemas.openxmlformats.org/officeDocument/2006/relationships/hyperlink" Target="https://www.destatis.de/DE/Presse/Pressemitteilungen/2021/12/PD21_563_12.html" TargetMode="External"/><Relationship Id="rId53" Type="http://schemas.openxmlformats.org/officeDocument/2006/relationships/hyperlink" Target="https://pmc.ncbi.nlm.nih.gov/articles/PMC9870770/" TargetMode="External"/><Relationship Id="rId52" Type="http://schemas.openxmlformats.org/officeDocument/2006/relationships/hyperlink" Target="https://arxiv.org/abs/2011.02420" TargetMode="External"/><Relationship Id="rId11" Type="http://schemas.openxmlformats.org/officeDocument/2006/relationships/image" Target="media/image7.png"/><Relationship Id="rId55" Type="http://schemas.openxmlformats.org/officeDocument/2006/relationships/hyperlink" Target="https://www.destatis.de/DE/Themen/Gesellschaft-Umwelt/Bevoelkerung/Sterbefaelle-Lebenserwartung/sterbefallzahlen.html" TargetMode="External"/><Relationship Id="rId10" Type="http://schemas.openxmlformats.org/officeDocument/2006/relationships/image" Target="media/image6.png"/><Relationship Id="rId54" Type="http://schemas.openxmlformats.org/officeDocument/2006/relationships/hyperlink" Target="https://pmc.ncbi.nlm.nih.gov/articles/PMC12059809/" TargetMode="External"/><Relationship Id="rId13" Type="http://schemas.openxmlformats.org/officeDocument/2006/relationships/hyperlink" Target="https://en.wikipedia.org/wiki/COVID-19_pandemic" TargetMode="External"/><Relationship Id="rId57" Type="http://schemas.openxmlformats.org/officeDocument/2006/relationships/hyperlink" Target="https://www.bfs.admin.ch/bfsstatic/dam/assets/19305028/master" TargetMode="External"/><Relationship Id="rId12" Type="http://schemas.openxmlformats.org/officeDocument/2006/relationships/image" Target="media/image1.png"/><Relationship Id="rId56" Type="http://schemas.openxmlformats.org/officeDocument/2006/relationships/hyperlink" Target="https://www.bag.admin.ch/dam/de/sd-web/yinO1oYmudg1/covid-19-krankheitslast.pdf" TargetMode="External"/><Relationship Id="rId15" Type="http://schemas.openxmlformats.org/officeDocument/2006/relationships/hyperlink" Target="https://pmc.ncbi.nlm.nih.gov/articles/PMC11108209/" TargetMode="External"/><Relationship Id="rId59" Type="http://schemas.openxmlformats.org/officeDocument/2006/relationships/hyperlink" Target="https://www.parlament.ch/centers/eparl/curia/2020/20203721/Bericht%20BR%20D.pdf" TargetMode="External"/><Relationship Id="rId14" Type="http://schemas.openxmlformats.org/officeDocument/2006/relationships/hyperlink" Target="https://www.who.int/news-room/commentaries/detail/estimating-mortality-from-covid-19" TargetMode="External"/><Relationship Id="rId58" Type="http://schemas.openxmlformats.org/officeDocument/2006/relationships/hyperlink" Target="https://dam-api.bfs.admin.ch/hub/api/dam/assets/20444121/master" TargetMode="External"/><Relationship Id="rId17" Type="http://schemas.openxmlformats.org/officeDocument/2006/relationships/hyperlink" Target="https://pmc.ncbi.nlm.nih.gov/articles/PMC8178670/" TargetMode="External"/><Relationship Id="rId16" Type="http://schemas.openxmlformats.org/officeDocument/2006/relationships/hyperlink" Target="https://ophrp.org/journal/view.php?doi=10.24171/j.phrp.2022.0212" TargetMode="External"/><Relationship Id="rId19" Type="http://schemas.openxmlformats.org/officeDocument/2006/relationships/hyperlink" Target="https://necsi.edu/unraveling-the-flaws-of-estimates-of-the-infection-fatality-rate-for-covid-19" TargetMode="External"/><Relationship Id="rId18" Type="http://schemas.openxmlformats.org/officeDocument/2006/relationships/hyperlink" Target="https://www.medrxiv.org/content/10.1101/2022.10.12.22281016v1.full-tex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