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Customer</w:t>
      </w:r>
      <w:r>
        <w:t xml:space="preserve"> </w:t>
      </w:r>
      <w:r>
        <w:t xml:space="preserve">dropout</w:t>
      </w:r>
      <w:r>
        <w:t xml:space="preserve"> </w:t>
      </w:r>
      <w:r>
        <w:t xml:space="preserve">membership</w:t>
      </w:r>
    </w:p>
    <w:p>
      <w:pPr>
        <w:pStyle w:val="Author"/>
      </w:pPr>
      <w:r>
        <w:t xml:space="preserve">Pedro</w:t>
      </w:r>
      <w:r>
        <w:t xml:space="preserve"> </w:t>
      </w:r>
      <w:r>
        <w:t xml:space="preserve">Sobreiro</w:t>
      </w:r>
    </w:p>
    <w:p>
      <w:pPr>
        <w:pStyle w:val="Date"/>
      </w:pPr>
      <w:r>
        <w:t xml:space="preserve">27-06-2021</w:t>
      </w:r>
    </w:p>
    <w:p>
      <w:pPr>
        <w:pStyle w:val="Abstract"/>
      </w:pPr>
      <w:r>
        <w:t xml:space="preserve">Prediction</w:t>
      </w:r>
      <w:r>
        <w:t xml:space="preserve"> </w:t>
      </w:r>
      <w:r>
        <w:t xml:space="preserve">of</w:t>
      </w:r>
      <w:r>
        <w:t xml:space="preserve"> </w:t>
      </w:r>
      <w:r>
        <w:t xml:space="preserve">customer</w:t>
      </w:r>
      <w:r>
        <w:t xml:space="preserve"> </w:t>
      </w:r>
      <w:r>
        <w:t xml:space="preserve">dropout</w:t>
      </w:r>
      <w:r>
        <w:t xml:space="preserve"> </w:t>
      </w:r>
      <w:r>
        <w:t xml:space="preserve">with</w:t>
      </w:r>
      <w:r>
        <w:t xml:space="preserve"> </w:t>
      </w:r>
      <w:r>
        <w:t xml:space="preserve">contractual</w:t>
      </w:r>
      <w:r>
        <w:t xml:space="preserve"> </w:t>
      </w:r>
      <w:r>
        <w:t xml:space="preserve">settings</w:t>
      </w:r>
    </w:p>
    <w:bookmarkStart w:id="20" w:name="X52a210b19a050ba30462244ecd92c788ec42fc0"/>
    <w:p>
      <w:pPr>
        <w:pStyle w:val="Heading1"/>
      </w:pPr>
      <w:r>
        <w:t xml:space="preserve">Customer dropout membership :technologist: :moneybag: :chart_with_upwards_trend:</w:t>
      </w:r>
    </w:p>
    <w:p>
      <w:pPr>
        <w:pStyle w:val="FirstParagraph"/>
      </w:pPr>
      <w:r>
        <w:t xml:space="preserve">Context:</w:t>
      </w:r>
      <w:r>
        <w:t xml:space="preserve"> </w:t>
      </w:r>
      <w:r>
        <w:t xml:space="preserve">An organization membership located in Portugal. The organization offers an annual membership</w:t>
      </w:r>
      <w:r>
        <w:t xml:space="preserve"> </w:t>
      </w:r>
      <w:r>
        <w:t xml:space="preserve">for the members, the service subscription has several payment options:</w:t>
      </w:r>
    </w:p>
    <w:p>
      <w:pPr>
        <w:numPr>
          <w:ilvl w:val="0"/>
          <w:numId w:val="1001"/>
        </w:numPr>
        <w:pStyle w:val="Compact"/>
      </w:pPr>
      <w:r>
        <w:t xml:space="preserve">Men with a annual fee of 10€</w:t>
      </w:r>
    </w:p>
    <w:p>
      <w:pPr>
        <w:numPr>
          <w:ilvl w:val="0"/>
          <w:numId w:val="1001"/>
        </w:numPr>
        <w:pStyle w:val="Compact"/>
      </w:pPr>
      <w:r>
        <w:t xml:space="preserve">Women annual fee of 6€</w:t>
      </w:r>
    </w:p>
    <w:p>
      <w:pPr>
        <w:numPr>
          <w:ilvl w:val="0"/>
          <w:numId w:val="1001"/>
        </w:numPr>
        <w:pStyle w:val="Compact"/>
      </w:pPr>
      <w:r>
        <w:t xml:space="preserve">Correspondent fee 6€</w:t>
      </w:r>
    </w:p>
    <w:p>
      <w:pPr>
        <w:numPr>
          <w:ilvl w:val="0"/>
          <w:numId w:val="1001"/>
        </w:numPr>
        <w:pStyle w:val="Compact"/>
      </w:pPr>
      <w:r>
        <w:t xml:space="preserve">Retired fee 5€</w:t>
      </w:r>
    </w:p>
    <w:p>
      <w:pPr>
        <w:numPr>
          <w:ilvl w:val="0"/>
          <w:numId w:val="1001"/>
        </w:numPr>
        <w:pStyle w:val="Compact"/>
      </w:pPr>
      <w:r>
        <w:t xml:space="preserve">Student fee 2.5€</w:t>
      </w:r>
    </w:p>
    <w:p>
      <w:pPr>
        <w:numPr>
          <w:ilvl w:val="0"/>
          <w:numId w:val="1001"/>
        </w:numPr>
        <w:pStyle w:val="Compact"/>
      </w:pPr>
      <w:r>
        <w:t xml:space="preserve">under-14 fee 1€</w:t>
      </w:r>
    </w:p>
    <w:bookmarkEnd w:id="20"/>
    <w:bookmarkStart w:id="21" w:name="methodology"/>
    <w:p>
      <w:pPr>
        <w:pStyle w:val="Heading1"/>
      </w:pPr>
      <w:r>
        <w:t xml:space="preserve">Methodology</w:t>
      </w:r>
    </w:p>
    <w:p>
      <w:pPr>
        <w:pStyle w:val="FirstParagraph"/>
      </w:pPr>
      <w:r>
        <w:t xml:space="preserve">In this study, we adopt random survival forests which have never been used in understanding</w:t>
      </w:r>
      <w:r>
        <w:t xml:space="preserve"> </w:t>
      </w:r>
      <w:r>
        <w:t xml:space="preserve">factors affecting membership in a sport club using existing data in a Sport Club.</w:t>
      </w:r>
      <w:r>
        <w:t xml:space="preserve"> </w:t>
      </w:r>
      <w:r>
        <w:t xml:space="preserve">The analysis is based on the use of random survival forests in the presence of covariates</w:t>
      </w:r>
      <w:r>
        <w:t xml:space="preserve"> </w:t>
      </w:r>
      <w:r>
        <w:t xml:space="preserve">that do not necessarily satisfy the PH assumption.</w:t>
      </w:r>
      <w:r>
        <w:t xml:space="preserve"> </w:t>
      </w:r>
      <w:r>
        <w:t xml:space="preserve">Random Survival Forests does not make the proportional hazards assumption</w:t>
      </w:r>
      <w:r>
        <w:t xml:space="preserve"> </w:t>
      </w:r>
      <w:r>
        <w:t xml:space="preserve">(Ehrlinger 2016)</w:t>
      </w:r>
      <w:r>
        <w:t xml:space="preserve"> </w:t>
      </w:r>
      <w:r>
        <w:t xml:space="preserve">and has the flexibility to model survivor curves that are of dissimilar shapes for</w:t>
      </w:r>
      <w:r>
        <w:t xml:space="preserve"> </w:t>
      </w:r>
      <w:r>
        <w:t xml:space="preserve">contrasting groups of subjects. Random Survival Forest is an extension of Random Forest</w:t>
      </w:r>
      <w:r>
        <w:t xml:space="preserve"> </w:t>
      </w:r>
      <w:r>
        <w:t xml:space="preserve">allowing efficient non-parametric analysis of time to event data</w:t>
      </w:r>
      <w:r>
        <w:t xml:space="preserve"> </w:t>
      </w:r>
      <w:r>
        <w:t xml:space="preserve">(Breiman 2001)</w:t>
      </w:r>
      <w:r>
        <w:t xml:space="preserve">.</w:t>
      </w:r>
      <w:r>
        <w:t xml:space="preserve"> </w:t>
      </w:r>
      <w:r>
        <w:t xml:space="preserve">This characteristics allow us to surpass the Cox Regression limitation of the proportional hazard</w:t>
      </w:r>
      <w:r>
        <w:t xml:space="preserve"> </w:t>
      </w:r>
      <w:r>
        <w:t xml:space="preserve">assumption, requiring to exclude variables which not fulfill the model assumption.</w:t>
      </w:r>
      <w:r>
        <w:t xml:space="preserve"> </w:t>
      </w:r>
      <w:r>
        <w:t xml:space="preserve">It was shown by</w:t>
      </w:r>
      <w:r>
        <w:t xml:space="preserve"> </w:t>
      </w:r>
      <w:r>
        <w:t xml:space="preserve">Breiman (2001)</w:t>
      </w:r>
      <w:r>
        <w:t xml:space="preserve"> </w:t>
      </w:r>
      <w:r>
        <w:t xml:space="preserve">that ensemble learning can be further improved by injecting</w:t>
      </w:r>
      <w:r>
        <w:t xml:space="preserve"> </w:t>
      </w:r>
      <w:r>
        <w:t xml:space="preserve">randomization into the base learning process - a method called Random Forests.</w:t>
      </w:r>
      <w:r>
        <w:br/>
      </w:r>
      <w:r>
        <w:t xml:space="preserve">The random survival forest was developed using the package PySurvival</w:t>
      </w:r>
      <w:r>
        <w:t xml:space="preserve"> </w:t>
      </w:r>
      <w:r>
        <w:t xml:space="preserve">(Fotso et al. 2019)</w:t>
      </w:r>
      <w:r>
        <w:t xml:space="preserve">.</w:t>
      </w:r>
      <w:r>
        <w:t xml:space="preserve"> </w:t>
      </w:r>
      <w:r>
        <w:t xml:space="preserve">The most relevant variables predicting the dropout are analysed using the log-rank test.</w:t>
      </w:r>
      <w:r>
        <w:t xml:space="preserve"> </w:t>
      </w:r>
      <w:r>
        <w:t xml:space="preserve">The metric variables are transformed to categorical using the quartiles to provide a statistical</w:t>
      </w:r>
      <w:r>
        <w:t xml:space="preserve"> </w:t>
      </w:r>
      <w:r>
        <w:t xml:space="preserve">comparison of groups.</w:t>
      </w:r>
      <w:r>
        <w:t xml:space="preserve"> </w:t>
      </w:r>
      <w:r>
        <w:t xml:space="preserve">The survival analysis was conducted using the package Lifelines</w:t>
      </w:r>
      <w:r>
        <w:t xml:space="preserve"> </w:t>
      </w:r>
      <w:r>
        <w:t xml:space="preserve">(Davidson-Pilon 2021)</w:t>
      </w:r>
      <w:r>
        <w:t xml:space="preserve">.</w:t>
      </w:r>
    </w:p>
    <w:bookmarkEnd w:id="21"/>
    <w:bookmarkStart w:id="22" w:name="packages-installation"/>
    <w:p>
      <w:pPr>
        <w:pStyle w:val="Heading1"/>
      </w:pPr>
      <w:r>
        <w:t xml:space="preserve">Packages installation</w:t>
      </w:r>
    </w:p>
    <w:p>
      <w:pPr>
        <w:pStyle w:val="FirstParagraph"/>
      </w:pPr>
      <w:r>
        <w:t xml:space="preserve">PySurvival is an open source python package for Survival Analysis modeling - the modeling concept used to analyze or predict when an event is likely to happen. It is built upon the most commonly used machine learning packages such NumPy, SciPy and PyTorch.</w:t>
      </w:r>
      <w:r>
        <w:t xml:space="preserve"> </w:t>
      </w:r>
      <w:r>
        <w:t xml:space="preserve">PySurvival is compatible with Python 2.7-3.7</w:t>
      </w:r>
    </w:p>
    <w:p>
      <w:pPr>
        <w:pStyle w:val="SourceCode"/>
      </w:pPr>
      <w:r>
        <w:rPr>
          <w:rStyle w:val="VerbatimChar"/>
        </w:rPr>
        <w:t xml:space="preserve"># create environment with python 3.7</w:t>
      </w:r>
      <w:r>
        <w:br/>
      </w:r>
      <w:r>
        <w:rPr>
          <w:rStyle w:val="VerbatimChar"/>
        </w:rPr>
        <w:t xml:space="preserve">conda create --name survival python=3.7</w:t>
      </w:r>
      <w:r>
        <w:br/>
      </w:r>
      <w:r>
        <w:rPr>
          <w:rStyle w:val="VerbatimChar"/>
        </w:rPr>
        <w:t xml:space="preserve"># activate environment</w:t>
      </w:r>
      <w:r>
        <w:br/>
      </w:r>
      <w:r>
        <w:rPr>
          <w:rStyle w:val="VerbatimChar"/>
        </w:rPr>
        <w:t xml:space="preserve">conda activate survival</w:t>
      </w:r>
      <w:r>
        <w:br/>
      </w:r>
      <w:r>
        <w:rPr>
          <w:rStyle w:val="VerbatimChar"/>
        </w:rPr>
        <w:t xml:space="preserve"># package essentials</w:t>
      </w:r>
      <w:r>
        <w:br/>
      </w:r>
      <w:r>
        <w:rPr>
          <w:rStyle w:val="VerbatimChar"/>
        </w:rPr>
        <w:t xml:space="preserve">conda install -c conda-forge jupyter</w:t>
      </w:r>
      <w:r>
        <w:br/>
      </w:r>
      <w:r>
        <w:rPr>
          <w:rStyle w:val="VerbatimChar"/>
        </w:rPr>
        <w:t xml:space="preserve">conda install -c conda-forge jupyterlab</w:t>
      </w:r>
      <w:r>
        <w:br/>
      </w:r>
      <w:r>
        <w:rPr>
          <w:rStyle w:val="VerbatimChar"/>
        </w:rPr>
        <w:t xml:space="preserve">conda install -c conda-forge xlrd</w:t>
      </w:r>
      <w:r>
        <w:br/>
      </w:r>
      <w:r>
        <w:rPr>
          <w:rStyle w:val="VerbatimChar"/>
        </w:rPr>
        <w:t xml:space="preserve">conda install -c conda-forge openpyxl</w:t>
      </w:r>
      <w:r>
        <w:br/>
      </w:r>
      <w:r>
        <w:rPr>
          <w:rStyle w:val="VerbatimChar"/>
        </w:rPr>
        <w:t xml:space="preserve">conda install -c conda-forge lifelines</w:t>
      </w:r>
      <w:r>
        <w:br/>
      </w:r>
      <w:r>
        <w:rPr>
          <w:rStyle w:val="VerbatimChar"/>
        </w:rPr>
        <w:t xml:space="preserve"># install PySurvival dependencies</w:t>
      </w:r>
      <w:r>
        <w:br/>
      </w:r>
      <w:r>
        <w:rPr>
          <w:rStyle w:val="VerbatimChar"/>
        </w:rPr>
        <w:t xml:space="preserve">conda install -c conda-forge numpy</w:t>
      </w:r>
      <w:r>
        <w:br/>
      </w:r>
      <w:r>
        <w:rPr>
          <w:rStyle w:val="VerbatimChar"/>
        </w:rPr>
        <w:t xml:space="preserve">conda install -c conda-forge scipy</w:t>
      </w:r>
      <w:r>
        <w:br/>
      </w:r>
      <w:r>
        <w:rPr>
          <w:rStyle w:val="VerbatimChar"/>
        </w:rPr>
        <w:t xml:space="preserve">conda install -c conda-forge scikit-learn</w:t>
      </w:r>
      <w:r>
        <w:br/>
      </w:r>
      <w:r>
        <w:rPr>
          <w:rStyle w:val="VerbatimChar"/>
        </w:rPr>
        <w:t xml:space="preserve">conda install -c conda-forge pytorch</w:t>
      </w:r>
      <w:r>
        <w:br/>
      </w:r>
      <w:r>
        <w:br/>
      </w:r>
      <w:r>
        <w:rPr>
          <w:rStyle w:val="VerbatimChar"/>
        </w:rPr>
        <w:t xml:space="preserve"># install c++ dependencies</w:t>
      </w:r>
      <w:r>
        <w:br/>
      </w:r>
      <w:r>
        <w:rPr>
          <w:rStyle w:val="VerbatimChar"/>
        </w:rPr>
        <w:t xml:space="preserve">sudo apt install gcc-8 g++-8</w:t>
      </w:r>
      <w:r>
        <w:br/>
      </w:r>
      <w:r>
        <w:rPr>
          <w:rStyle w:val="VerbatimChar"/>
        </w:rPr>
        <w:t xml:space="preserve"># edit .bashrc or .zshrc according the terminal used then source</w:t>
      </w:r>
      <w:r>
        <w:br/>
      </w:r>
      <w:r>
        <w:rPr>
          <w:rStyle w:val="VerbatimChar"/>
        </w:rPr>
        <w:t xml:space="preserve"># e.g. source ~/.zshrc</w:t>
      </w:r>
      <w:r>
        <w:br/>
      </w:r>
      <w:r>
        <w:rPr>
          <w:rStyle w:val="VerbatimChar"/>
        </w:rPr>
        <w:t xml:space="preserve">export CXX=/usr/bin/g++-8</w:t>
      </w:r>
      <w:r>
        <w:br/>
      </w:r>
      <w:r>
        <w:rPr>
          <w:rStyle w:val="VerbatimChar"/>
        </w:rPr>
        <w:t xml:space="preserve">export CC=/usr/bin/gcc-8</w:t>
      </w:r>
      <w:r>
        <w:br/>
      </w:r>
      <w:r>
        <w:rPr>
          <w:rStyle w:val="VerbatimChar"/>
        </w:rPr>
        <w:t xml:space="preserve"># install pysurvival after dependencies are resolved by conda</w:t>
      </w:r>
      <w:r>
        <w:br/>
      </w:r>
      <w:r>
        <w:rPr>
          <w:rStyle w:val="VerbatimChar"/>
        </w:rPr>
        <w:t xml:space="preserve">pip install pysurvival</w:t>
      </w:r>
    </w:p>
    <w:p>
      <w:pPr>
        <w:pStyle w:val="SourceCode"/>
      </w:pPr>
      <w:r>
        <w:rPr>
          <w:rStyle w:val="VerbatimChar"/>
        </w:rPr>
        <w:t xml:space="preserve">@Misc{ pysurvival_cite,</w:t>
      </w:r>
      <w:r>
        <w:br/>
      </w:r>
      <w:r>
        <w:rPr>
          <w:rStyle w:val="VerbatimChar"/>
        </w:rPr>
        <w:t xml:space="preserve">  author = {Stephane Fotso and others},</w:t>
      </w:r>
      <w:r>
        <w:br/>
      </w:r>
      <w:r>
        <w:rPr>
          <w:rStyle w:val="VerbatimChar"/>
        </w:rPr>
        <w:t xml:space="preserve">  title = {{PySurvival}: Open source package for Survival Analysis modeling},</w:t>
      </w:r>
      <w:r>
        <w:br/>
      </w:r>
      <w:r>
        <w:rPr>
          <w:rStyle w:val="VerbatimChar"/>
        </w:rPr>
        <w:t xml:space="preserve">  year = {2019--},</w:t>
      </w:r>
      <w:r>
        <w:br/>
      </w:r>
      <w:r>
        <w:rPr>
          <w:rStyle w:val="VerbatimChar"/>
        </w:rPr>
        <w:t xml:space="preserve">  url = "https://www.pysurvival.io/"</w:t>
      </w:r>
      <w:r>
        <w:br/>
      </w:r>
      <w:r>
        <w:rPr>
          <w:rStyle w:val="VerbatimChar"/>
        </w:rPr>
        <w:t xml:space="preserve">}</w:t>
      </w:r>
    </w:p>
    <w:bookmarkEnd w:id="22"/>
    <w:bookmarkStart w:id="28" w:name="running-the-model"/>
    <w:p>
      <w:pPr>
        <w:pStyle w:val="Heading1"/>
      </w:pPr>
      <w:r>
        <w:t xml:space="preserve">Running the model</w:t>
      </w:r>
    </w:p>
    <w:p>
      <w:pPr>
        <w:pStyle w:val="SourceCode"/>
      </w:pPr>
      <w:r>
        <w:rPr>
          <w:rStyle w:val="VerbatimChar"/>
        </w:rPr>
        <w:t xml:space="preserve">from pysurvival.utils.display import correlation_matrix</w:t>
      </w:r>
      <w:r>
        <w:br/>
      </w:r>
      <w:r>
        <w:rPr>
          <w:rStyle w:val="VerbatimChar"/>
        </w:rPr>
        <w:t xml:space="preserve">correlation_matrix(df[features], figure_size=(10,10), text_fontsize=8)</w:t>
      </w:r>
    </w:p>
    <w:p>
      <w:pPr>
        <w:pStyle w:val="CaptionedFigure"/>
      </w:pPr>
      <w:r>
        <w:drawing>
          <wp:inline>
            <wp:extent cx="5334000" cy="5101219"/>
            <wp:effectExtent b="0" l="0" r="0" t="0"/>
            <wp:docPr descr="image" title="" id="1" name="Picture"/>
            <a:graphic>
              <a:graphicData uri="http://schemas.openxmlformats.org/drawingml/2006/picture">
                <pic:pic>
                  <pic:nvPicPr>
                    <pic:cNvPr descr="./analysis/correlationMatrix.png" id="0" name="Picture"/>
                    <pic:cNvPicPr>
                      <a:picLocks noChangeArrowheads="1" noChangeAspect="1"/>
                    </pic:cNvPicPr>
                  </pic:nvPicPr>
                  <pic:blipFill>
                    <a:blip r:embed="rId23"/>
                    <a:stretch>
                      <a:fillRect/>
                    </a:stretch>
                  </pic:blipFill>
                  <pic:spPr bwMode="auto">
                    <a:xfrm>
                      <a:off x="0" y="0"/>
                      <a:ext cx="5334000" cy="5101219"/>
                    </a:xfrm>
                    <a:prstGeom prst="rect">
                      <a:avLst/>
                    </a:prstGeom>
                    <a:noFill/>
                    <a:ln w="9525">
                      <a:noFill/>
                      <a:headEnd/>
                      <a:tailEnd/>
                    </a:ln>
                  </pic:spPr>
                </pic:pic>
              </a:graphicData>
            </a:graphic>
          </wp:inline>
        </w:drawing>
      </w:r>
    </w:p>
    <w:p>
      <w:pPr>
        <w:pStyle w:val="ImageCaption"/>
      </w:pPr>
      <w:r>
        <w:t xml:space="preserve">image</w:t>
      </w:r>
    </w:p>
    <w:bookmarkStart w:id="24" w:name="X239d31747239b10555ac222cb9de3253e5456b3"/>
    <w:p>
      <w:pPr>
        <w:pStyle w:val="Heading2"/>
      </w:pPr>
      <w:r>
        <w:t xml:space="preserve">Removed the variables with greater correlations</w:t>
      </w:r>
    </w:p>
    <w:p>
      <w:pPr>
        <w:pStyle w:val="SourceCode"/>
      </w:pPr>
      <w:r>
        <w:rPr>
          <w:rStyle w:val="VerbatimChar"/>
        </w:rPr>
        <w:t xml:space="preserve">to_remove = ['totalJogos', 'idaEstadio']</w:t>
      </w:r>
      <w:r>
        <w:br/>
      </w:r>
      <w:r>
        <w:rPr>
          <w:rStyle w:val="VerbatimChar"/>
        </w:rPr>
        <w:t xml:space="preserve">features = np.setdiff1d(features, to_remove).tolist()</w:t>
      </w:r>
    </w:p>
    <w:bookmarkEnd w:id="24"/>
    <w:bookmarkStart w:id="27" w:name="model-building"/>
    <w:p>
      <w:pPr>
        <w:pStyle w:val="Heading2"/>
      </w:pPr>
      <w:r>
        <w:t xml:space="preserve">Model building</w:t>
      </w:r>
    </w:p>
    <w:p>
      <w:pPr>
        <w:pStyle w:val="FirstParagraph"/>
      </w:pPr>
      <w:r>
        <w:t xml:space="preserve">The model was built with with 60% of the data for training and 40% for testing.</w:t>
      </w:r>
      <w:r>
        <w:t xml:space="preserve"> </w:t>
      </w:r>
      <w:r>
        <w:t xml:space="preserve">The survival model parameters where:</w:t>
      </w:r>
    </w:p>
    <w:p>
      <w:pPr>
        <w:pStyle w:val="SourceCode"/>
      </w:pPr>
      <w:r>
        <w:rPr>
          <w:rStyle w:val="VerbatimChar"/>
        </w:rPr>
        <w:t xml:space="preserve">from pysurvival.models.survival_forest import RandomSurvivalForestModel</w:t>
      </w:r>
      <w:r>
        <w:br/>
      </w:r>
      <w:r>
        <w:rPr>
          <w:rStyle w:val="VerbatimChar"/>
        </w:rPr>
        <w:t xml:space="preserve">csf = RandomSurvivalForestModel(num_trees=200)</w:t>
      </w:r>
      <w:r>
        <w:br/>
      </w:r>
      <w:r>
        <w:rPr>
          <w:rStyle w:val="VerbatimChar"/>
        </w:rPr>
        <w:t xml:space="preserve">csf.fit(X_train, T_train, E_train, max_features='sqrt', max_depth=5, min_node_size=20)</w:t>
      </w:r>
    </w:p>
    <w:p>
      <w:pPr>
        <w:pStyle w:val="FirstParagraph"/>
      </w:pPr>
      <w:r>
        <w:t xml:space="preserve">The model accuracy is very high in the first years. The prediction is very similar</w:t>
      </w:r>
      <w:r>
        <w:t xml:space="preserve"> </w:t>
      </w:r>
      <w:r>
        <w:t xml:space="preserve">to the actual value.</w:t>
      </w:r>
    </w:p>
    <w:p>
      <w:pPr>
        <w:pStyle w:val="CaptionedFigure"/>
      </w:pPr>
      <w:r>
        <w:drawing>
          <wp:inline>
            <wp:extent cx="5334000" cy="2806180"/>
            <wp:effectExtent b="0" l="0" r="0" t="0"/>
            <wp:docPr descr="Prediction accuracy" title="" id="1" name="Picture"/>
            <a:graphic>
              <a:graphicData uri="http://schemas.openxmlformats.org/drawingml/2006/picture">
                <pic:pic>
                  <pic:nvPicPr>
                    <pic:cNvPr descr="./analysis/predictionAccuracy.png" id="0" name="Picture"/>
                    <pic:cNvPicPr>
                      <a:picLocks noChangeArrowheads="1" noChangeAspect="1"/>
                    </pic:cNvPicPr>
                  </pic:nvPicPr>
                  <pic:blipFill>
                    <a:blip r:embed="rId25"/>
                    <a:stretch>
                      <a:fillRect/>
                    </a:stretch>
                  </pic:blipFill>
                  <pic:spPr bwMode="auto">
                    <a:xfrm>
                      <a:off x="0" y="0"/>
                      <a:ext cx="5334000" cy="2806180"/>
                    </a:xfrm>
                    <a:prstGeom prst="rect">
                      <a:avLst/>
                    </a:prstGeom>
                    <a:noFill/>
                    <a:ln w="9525">
                      <a:noFill/>
                      <a:headEnd/>
                      <a:tailEnd/>
                    </a:ln>
                  </pic:spPr>
                </pic:pic>
              </a:graphicData>
            </a:graphic>
          </wp:inline>
        </w:drawing>
      </w:r>
    </w:p>
    <w:p>
      <w:pPr>
        <w:pStyle w:val="ImageCaption"/>
      </w:pPr>
      <w:r>
        <w:t xml:space="preserve">Prediction accuracy</w:t>
      </w:r>
    </w:p>
    <w:p>
      <w:pPr>
        <w:pStyle w:val="BodyText"/>
      </w:pPr>
      <w:r>
        <w:t xml:space="preserve">All the outputs are available</w:t>
      </w:r>
      <w:r>
        <w:t xml:space="preserve"> </w:t>
      </w:r>
      <w:hyperlink r:id="rId26">
        <w:r>
          <w:rPr>
            <w:rStyle w:val="Hyperlink"/>
          </w:rPr>
          <w:t xml:space="preserve">here</w:t>
        </w:r>
      </w:hyperlink>
    </w:p>
    <w:bookmarkEnd w:id="27"/>
    <w:bookmarkEnd w:id="28"/>
    <w:bookmarkStart w:id="29" w:name="article-ascarza"/>
    <w:p>
      <w:pPr>
        <w:pStyle w:val="Heading1"/>
      </w:pPr>
      <w:r>
        <w:t xml:space="preserve">Article Ascarza</w:t>
      </w:r>
    </w:p>
    <w:p>
      <w:pPr>
        <w:numPr>
          <w:ilvl w:val="0"/>
          <w:numId w:val="1002"/>
        </w:numPr>
        <w:pStyle w:val="Compact"/>
      </w:pPr>
      <w:r>
        <w:t xml:space="preserve">Retention Futility: Targeting High-Risk Customers Might be Ineffective</w:t>
      </w:r>
      <w:r>
        <w:t xml:space="preserve"> </w:t>
      </w:r>
      <w:r>
        <w:t xml:space="preserve">(Ascarza 2018)</w:t>
      </w:r>
    </w:p>
    <w:p>
      <w:pPr>
        <w:pStyle w:val="FirstParagraph"/>
      </w:pPr>
      <w:r>
        <w:t xml:space="preserve">Ascarza, E. (2018). Retention Futility: Targeting High-Risk Customers Might be Ineffective. Journal of Marketing Research, 55(1), 80-98. sim. https://doi.org/10.1509/jmr.16.0163</w:t>
      </w:r>
    </w:p>
    <w:p>
      <w:pPr>
        <w:pStyle w:val="BodyText"/>
      </w:pPr>
      <w:r>
        <w:t xml:space="preserve">Example of Developed actions:</w:t>
      </w:r>
    </w:p>
    <w:p>
      <w:pPr>
        <w:pStyle w:val="SourceCode"/>
      </w:pPr>
      <w:r>
        <w:rPr>
          <w:rStyle w:val="VerbatimChar"/>
        </w:rPr>
        <w:t xml:space="preserve">Each month, the company identified the customers who were up for renewal and</w:t>
      </w:r>
      <w:r>
        <w:br/>
      </w:r>
      <w:r>
        <w:rPr>
          <w:rStyle w:val="VerbatimChar"/>
        </w:rPr>
        <w:t xml:space="preserve">split them (randomly and evenly) between a treatment group that received a "thank you" gift</w:t>
      </w:r>
      <w:r>
        <w:br/>
      </w:r>
      <w:r>
        <w:rPr>
          <w:rStyle w:val="VerbatimChar"/>
        </w:rPr>
        <w:t xml:space="preserve">with the letter and a control group that received only the renewal latter.</w:t>
      </w:r>
    </w:p>
    <w:bookmarkEnd w:id="29"/>
    <w:bookmarkStart w:id="30" w:name="aspects-to-consider"/>
    <w:p>
      <w:pPr>
        <w:pStyle w:val="Heading1"/>
      </w:pPr>
      <w:r>
        <w:t xml:space="preserve">Aspects to consider</w:t>
      </w:r>
    </w:p>
    <w:p>
      <w:pPr>
        <w:pStyle w:val="SourceCode"/>
      </w:pPr>
      <w:r>
        <w:rPr>
          <w:rStyle w:val="VerbatimChar"/>
        </w:rPr>
        <w:t xml:space="preserve">- Interpretability from RQ2</w:t>
      </w:r>
      <w:r>
        <w:br/>
      </w:r>
      <w:r>
        <w:rPr>
          <w:rStyle w:val="VerbatimChar"/>
        </w:rPr>
        <w:t xml:space="preserve">- The business objective is to increase the number of members and organization profits</w:t>
      </w:r>
      <w:r>
        <w:br/>
      </w:r>
      <w:r>
        <w:rPr>
          <w:rStyle w:val="VerbatimChar"/>
        </w:rPr>
        <w:t xml:space="preserve">- piping several algorithms to improve accuracy. Aka hybrid approach</w:t>
      </w:r>
      <w:r>
        <w:br/>
      </w:r>
      <w:r>
        <w:rPr>
          <w:rStyle w:val="VerbatimChar"/>
        </w:rPr>
        <w:t xml:space="preserve">-  </w:t>
      </w:r>
    </w:p>
    <w:bookmarkEnd w:id="30"/>
    <w:bookmarkStart w:id="31" w:name="section"/>
    <w:p>
      <w:pPr>
        <w:pStyle w:val="Heading1"/>
      </w:pPr>
    </w:p>
    <w:bookmarkEnd w:id="31"/>
    <w:bookmarkStart w:id="33" w:name="other-used-tools"/>
    <w:p>
      <w:pPr>
        <w:pStyle w:val="Heading1"/>
      </w:pPr>
      <w:r>
        <w:t xml:space="preserve">Other used tools</w:t>
      </w:r>
    </w:p>
    <w:p>
      <w:pPr>
        <w:numPr>
          <w:ilvl w:val="0"/>
          <w:numId w:val="1003"/>
        </w:numPr>
        <w:pStyle w:val="Compact"/>
      </w:pPr>
      <w:hyperlink r:id="rId32">
        <w:r>
          <w:rPr>
            <w:rStyle w:val="Hyperlink"/>
          </w:rPr>
          <w:t xml:space="preserve">Visidata</w:t>
        </w:r>
      </w:hyperlink>
      <w:r>
        <w:t xml:space="preserve"> </w:t>
      </w:r>
      <w:r>
        <w:t xml:space="preserve">for quick exploratory. VisiData is a free, open-source tool</w:t>
      </w:r>
      <w:r>
        <w:t xml:space="preserve"> </w:t>
      </w:r>
      <w:r>
        <w:t xml:space="preserve">that lets you quickly open, explore, summarize, and analyze datasets in your computer’s terminal.</w:t>
      </w:r>
    </w:p>
    <w:bookmarkEnd w:id="33"/>
    <w:bookmarkStart w:id="45" w:name="bibliography"/>
    <w:p>
      <w:pPr>
        <w:pStyle w:val="Heading1"/>
      </w:pPr>
      <w:r>
        <w:t xml:space="preserve">Bibliography</w:t>
      </w:r>
    </w:p>
    <w:bookmarkStart w:id="44" w:name="refs"/>
    <w:bookmarkStart w:id="35" w:name="ref-Ascarza_2018"/>
    <w:p>
      <w:pPr>
        <w:pStyle w:val="Bibliography"/>
      </w:pPr>
      <w:r>
        <w:t xml:space="preserve">Ascarza, Eva. 2018.</w:t>
      </w:r>
      <w:r>
        <w:t xml:space="preserve"> </w:t>
      </w:r>
      <w:r>
        <w:t xml:space="preserve">“Retention Futility: Targeting High-Risk Customers Might Be Ineffective.”</w:t>
      </w:r>
      <w:r>
        <w:t xml:space="preserve"> </w:t>
      </w:r>
      <w:r>
        <w:rPr>
          <w:iCs/>
          <w:i/>
        </w:rPr>
        <w:t xml:space="preserve">Journal of Marketing Research</w:t>
      </w:r>
      <w:r>
        <w:t xml:space="preserve"> </w:t>
      </w:r>
      <w:r>
        <w:t xml:space="preserve">55 (1): 80–98.</w:t>
      </w:r>
      <w:r>
        <w:t xml:space="preserve"> </w:t>
      </w:r>
      <w:hyperlink r:id="rId34">
        <w:r>
          <w:rPr>
            <w:rStyle w:val="Hyperlink"/>
          </w:rPr>
          <w:t xml:space="preserve">https://doi.org/10.1509/jmr.16.0163</w:t>
        </w:r>
      </w:hyperlink>
      <w:r>
        <w:t xml:space="preserve">.</w:t>
      </w:r>
    </w:p>
    <w:bookmarkEnd w:id="35"/>
    <w:bookmarkStart w:id="37" w:name="ref-Breiman_2001"/>
    <w:p>
      <w:pPr>
        <w:pStyle w:val="Bibliography"/>
      </w:pPr>
      <w:r>
        <w:t xml:space="preserve">Breiman, Leo. 2001.</w:t>
      </w:r>
      <w:r>
        <w:t xml:space="preserve"> </w:t>
      </w:r>
      <w:r>
        <w:t xml:space="preserve">“Random Forests.”</w:t>
      </w:r>
      <w:r>
        <w:t xml:space="preserve"> </w:t>
      </w:r>
      <w:r>
        <w:rPr>
          <w:iCs/>
          <w:i/>
        </w:rPr>
        <w:t xml:space="preserve">Machine Learning</w:t>
      </w:r>
      <w:r>
        <w:t xml:space="preserve"> </w:t>
      </w:r>
      <w:r>
        <w:t xml:space="preserve">45 (1): 5–32.</w:t>
      </w:r>
      <w:r>
        <w:t xml:space="preserve"> </w:t>
      </w:r>
      <w:hyperlink r:id="rId36">
        <w:r>
          <w:rPr>
            <w:rStyle w:val="Hyperlink"/>
          </w:rPr>
          <w:t xml:space="preserve">https://doi.org/10.1023/A:1010933404324</w:t>
        </w:r>
      </w:hyperlink>
      <w:r>
        <w:t xml:space="preserve">.</w:t>
      </w:r>
    </w:p>
    <w:bookmarkEnd w:id="37"/>
    <w:bookmarkStart w:id="39" w:name="ref-Davidson-Pilon_2021"/>
    <w:p>
      <w:pPr>
        <w:pStyle w:val="Bibliography"/>
      </w:pPr>
      <w:r>
        <w:t xml:space="preserve">Davidson-Pilon, Cameron. 2021.</w:t>
      </w:r>
      <w:r>
        <w:t xml:space="preserve"> </w:t>
      </w:r>
      <w:r>
        <w:rPr>
          <w:iCs/>
          <w:i/>
        </w:rPr>
        <w:t xml:space="preserve">CamDavidsonPilon/Lifelines</w:t>
      </w:r>
      <w:r>
        <w:t xml:space="preserve">.</w:t>
      </w:r>
      <w:r>
        <w:t xml:space="preserve"> </w:t>
      </w:r>
      <w:hyperlink r:id="rId38">
        <w:r>
          <w:rPr>
            <w:rStyle w:val="Hyperlink"/>
          </w:rPr>
          <w:t xml:space="preserve">https://github.com/CamDavidsonPilon/lifelines</w:t>
        </w:r>
      </w:hyperlink>
      <w:r>
        <w:t xml:space="preserve">.</w:t>
      </w:r>
    </w:p>
    <w:bookmarkEnd w:id="39"/>
    <w:bookmarkStart w:id="41" w:name="ref-Ehrlinger_2016"/>
    <w:p>
      <w:pPr>
        <w:pStyle w:val="Bibliography"/>
      </w:pPr>
      <w:r>
        <w:t xml:space="preserve">Ehrlinger, John. 2016.</w:t>
      </w:r>
      <w:r>
        <w:t xml:space="preserve"> </w:t>
      </w:r>
      <w:r>
        <w:t xml:space="preserve">“ggRandomForests: Exploring Random Forest Survival.”</w:t>
      </w:r>
      <w:r>
        <w:t xml:space="preserve"> </w:t>
      </w:r>
      <w:r>
        <w:rPr>
          <w:iCs/>
          <w:i/>
        </w:rPr>
        <w:t xml:space="preserve">arXiv:1612.08974 [Stat]</w:t>
      </w:r>
      <w:r>
        <w:t xml:space="preserve">, December.</w:t>
      </w:r>
      <w:r>
        <w:t xml:space="preserve"> </w:t>
      </w:r>
      <w:hyperlink r:id="rId40">
        <w:r>
          <w:rPr>
            <w:rStyle w:val="Hyperlink"/>
          </w:rPr>
          <w:t xml:space="preserve">http://arxiv.org/abs/1612.08974</w:t>
        </w:r>
      </w:hyperlink>
      <w:r>
        <w:t xml:space="preserve">.</w:t>
      </w:r>
    </w:p>
    <w:bookmarkEnd w:id="41"/>
    <w:bookmarkStart w:id="43" w:name="ref-Fotso_others_2019"/>
    <w:p>
      <w:pPr>
        <w:pStyle w:val="Bibliography"/>
      </w:pPr>
      <w:r>
        <w:t xml:space="preserve">Fotso, Stephane et al. 2019.</w:t>
      </w:r>
      <w:r>
        <w:t xml:space="preserve"> </w:t>
      </w:r>
      <w:r>
        <w:rPr>
          <w:iCs/>
          <w:i/>
        </w:rPr>
        <w:t xml:space="preserve">PySurvival: Open Source Package for Survival Analysis Modeling</w:t>
      </w:r>
      <w:r>
        <w:t xml:space="preserve">.</w:t>
      </w:r>
      <w:r>
        <w:t xml:space="preserve"> </w:t>
      </w:r>
      <w:hyperlink r:id="rId42">
        <w:r>
          <w:rPr>
            <w:rStyle w:val="Hyperlink"/>
          </w:rPr>
          <w:t xml:space="preserve">https://www.pysurvival.io/</w:t>
        </w:r>
      </w:hyperlink>
      <w:r>
        <w:t xml:space="preserve">.</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hyperlink" Id="rId26" Target="./analysis/01.survRandomForest.pdf" TargetMode="External" /><Relationship Type="http://schemas.openxmlformats.org/officeDocument/2006/relationships/hyperlink" Id="rId40" Target="http://arxiv.org/abs/1612.08974" TargetMode="External" /><Relationship Type="http://schemas.openxmlformats.org/officeDocument/2006/relationships/hyperlink" Id="rId36" Target="https://doi.org/10.1023/A:1010933404324" TargetMode="External" /><Relationship Type="http://schemas.openxmlformats.org/officeDocument/2006/relationships/hyperlink" Id="rId34" Target="https://doi.org/10.1509/jmr.16.0163" TargetMode="External" /><Relationship Type="http://schemas.openxmlformats.org/officeDocument/2006/relationships/hyperlink" Id="rId38" Target="https://github.com/CamDavidsonPilon/lifelines" TargetMode="External" /><Relationship Type="http://schemas.openxmlformats.org/officeDocument/2006/relationships/hyperlink" Id="rId42" Target="https://www.pysurvival.io/" TargetMode="External" /><Relationship Type="http://schemas.openxmlformats.org/officeDocument/2006/relationships/hyperlink" Id="rId32" Target="https://www.visidata.org/" TargetMode="External" /></Relationships>
</file>

<file path=word/_rels/footnotes.xml.rels><?xml version="1.0" encoding="UTF-8"?><Relationships xmlns="http://schemas.openxmlformats.org/package/2006/relationships"><Relationship Type="http://schemas.openxmlformats.org/officeDocument/2006/relationships/hyperlink" Id="rId26" Target="./analysis/01.survRandomForest.pdf" TargetMode="External" /><Relationship Type="http://schemas.openxmlformats.org/officeDocument/2006/relationships/hyperlink" Id="rId40" Target="http://arxiv.org/abs/1612.08974" TargetMode="External" /><Relationship Type="http://schemas.openxmlformats.org/officeDocument/2006/relationships/hyperlink" Id="rId36" Target="https://doi.org/10.1023/A:1010933404324" TargetMode="External" /><Relationship Type="http://schemas.openxmlformats.org/officeDocument/2006/relationships/hyperlink" Id="rId34" Target="https://doi.org/10.1509/jmr.16.0163" TargetMode="External" /><Relationship Type="http://schemas.openxmlformats.org/officeDocument/2006/relationships/hyperlink" Id="rId38" Target="https://github.com/CamDavidsonPilon/lifelines" TargetMode="External" /><Relationship Type="http://schemas.openxmlformats.org/officeDocument/2006/relationships/hyperlink" Id="rId42" Target="https://www.pysurvival.io/" TargetMode="External" /><Relationship Type="http://schemas.openxmlformats.org/officeDocument/2006/relationships/hyperlink" Id="rId32" Target="https://www.visidat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dropout membership</dc:title>
  <dc:creator>Pedro Sobreiro</dc:creator>
  <cp:keywords/>
  <dcterms:created xsi:type="dcterms:W3CDTF">2021-07-07T10:17:09Z</dcterms:created>
  <dcterms:modified xsi:type="dcterms:W3CDTF">2021-07-07T10:17:09Z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Prediction of customer dropout with contractual settings</vt:lpwstr>
  </property>
  <property fmtid="{D5CDD505-2E9C-101B-9397-08002B2CF9AE}" pid="3" name="bibliography">
    <vt:lpwstr>references.bib</vt:lpwstr>
  </property>
  <property fmtid="{D5CDD505-2E9C-101B-9397-08002B2CF9AE}" pid="4" name="date">
    <vt:lpwstr>27-06-2021</vt:lpwstr>
  </property>
</Properties>
</file>