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373"/>
      </w:pPr>
      <w:r>
        <w:rPr>
          <w:rFonts w:ascii="Georgia" w:hAnsi="Georgia" w:cs="Georgia"/>
          <w:sz w:val="37"/>
          <w:sz-cs w:val="37"/>
          <w:b/>
          <w:spacing w:val="0"/>
        </w:rPr>
        <w:t xml:space="preserve">MAESTRÍA EN EXPLOTACIÓN DE</w:t>
        <w:br/>
        <w:t xml:space="preserve">DATOS Y GESTIÓN DEL CONOCIMIENTO</w:t>
      </w:r>
    </w:p>
    <w:p>
      <w:pPr>
        <w:jc w:val="both"/>
        <w:spacing w:after="320"/>
      </w:pPr>
      <w:r>
        <w:rPr>
          <w:rFonts w:ascii="Georgia" w:hAnsi="Georgia" w:cs="Georgia"/>
          <w:sz w:val="32"/>
          <w:sz-cs w:val="32"/>
          <w:b/>
          <w:spacing w:val="0"/>
        </w:rPr>
        <w:t xml:space="preserve">SEMINARIO DE TRABAJO FINAL</w:t>
      </w:r>
    </w:p>
    <w:p>
      <w:pPr>
        <w:jc w:val="both"/>
        <w:spacing w:after="426"/>
      </w:pPr>
      <w:r>
        <w:rPr>
          <w:rFonts w:ascii="Georgia" w:hAnsi="Georgia" w:cs="Georgia"/>
          <w:sz w:val="42"/>
          <w:sz-cs w:val="42"/>
          <w:b/>
          <w:spacing w:val="0"/>
        </w:rPr>
        <w:t xml:space="preserve">TP 2.1</w:t>
      </w:r>
    </w:p>
    <w:p>
      <w:pPr>
        <w:jc w:val="both"/>
        <w:spacing w:after="320"/>
      </w:pPr>
      <w:r>
        <w:rPr>
          <w:rFonts w:ascii="Georgia" w:hAnsi="Georgia" w:cs="Georgia"/>
          <w:sz w:val="32"/>
          <w:sz-cs w:val="32"/>
          <w:i/>
          <w:spacing w:val="0"/>
        </w:rPr>
        <w:t xml:space="preserve">Modelos predictivos para la planificación de la producción</w:t>
        <w:br/>
        <w:t xml:space="preserve">en un cultivo hidropónico</w:t>
      </w:r>
    </w:p>
    <w:p>
      <w:pPr>
        <w:jc w:val="both"/>
        <w:spacing w:after="320"/>
      </w:pPr>
      <w:r>
        <w:rPr>
          <w:rFonts w:ascii="Georgia" w:hAnsi="Georgia" w:cs="Georgia"/>
          <w:sz w:val="32"/>
          <w:sz-cs w:val="32"/>
          <w:spacing w:val="0"/>
        </w:rPr>
        <w:t xml:space="preserve">versión 1</w:t>
      </w:r>
    </w:p>
    <w:p>
      <w:pPr>
        <w:jc w:val="both"/>
        <w:spacing w:after="320"/>
      </w:pPr>
      <w:r>
        <w:rPr>
          <w:rFonts w:ascii="Georgia" w:hAnsi="Georgia" w:cs="Georgia"/>
          <w:sz w:val="32"/>
          <w:sz-cs w:val="32"/>
          <w:spacing w:val="0"/>
        </w:rPr>
        <w:t xml:space="preserve">Alumno: Lucas Pessagno</w:t>
        <w:br/>
        <w:t xml:space="preserve">Fecha: agosto de 2026</w:t>
      </w:r>
    </w:p>
    <w:p>
      <w:pPr/>
      <w:r>
        <w:rPr>
          <w:rFonts w:ascii="Georgia" w:hAnsi="Georgia" w:cs="Georgia"/>
          <w:sz w:val="32"/>
          <w:sz-cs w:val="32"/>
          <w:spacing w:val="0"/>
        </w:rPr>
        <w:t xml:space="preserve"/>
      </w:r>
    </w:p>
    <w:p>
      <w:pPr>
        <w:spacing w:after="267"/>
      </w:pPr>
      <w:r>
        <w:rPr>
          <w:rFonts w:ascii="Georgia" w:hAnsi="Georgia" w:cs="Georgia"/>
          <w:sz w:val="40"/>
          <w:sz-cs w:val="40"/>
          <w:b/>
          <w:spacing w:val="0"/>
        </w:rPr>
        <w:t xml:space="preserve">Desarrollo</w:t>
      </w:r>
    </w:p>
    <w:p>
      <w:pPr>
        <w:spacing w:after="287"/>
      </w:pPr>
      <w:r>
        <w:rPr>
          <w:rFonts w:ascii="Georgia" w:hAnsi="Georgia" w:cs="Georgia"/>
          <w:sz w:val="34"/>
          <w:sz-cs w:val="34"/>
          <w:b/>
          <w:spacing w:val="0"/>
        </w:rPr>
        <w:t xml:space="preserve">Actividad I — Solución propuesta</w:t>
      </w:r>
    </w:p>
    <w:p>
      <w:pPr>
        <w:jc w:val="both"/>
        <w:spacing w:after="320"/>
      </w:pPr>
      <w:r>
        <w:rPr>
          <w:rFonts w:ascii="Georgia" w:hAnsi="Georgia" w:cs="Georgia"/>
          <w:sz w:val="32"/>
          <w:sz-cs w:val="32"/>
          <w:b/>
          <w:spacing w:val="0"/>
        </w:rPr>
        <w:t xml:space="preserve">1. ¿Cuál es la solución que propone para resolver el problema identificado?</w:t>
      </w:r>
    </w:p>
    <w:p>
      <w:pPr>
        <w:jc w:val="both"/>
        <w:spacing w:after="320"/>
      </w:pPr>
      <w:r>
        <w:rPr>
          <w:rFonts w:ascii="Georgia" w:hAnsi="Georgia" w:cs="Georgia"/>
          <w:sz w:val="32"/>
          <w:sz-cs w:val="32"/>
          <w:spacing w:val="0"/>
        </w:rPr>
        <w:t xml:space="preserve">La solución que propongo es desarrollar, a partir de los datos reales de la operación hidropónica, un conjunto de modelos predictivos que acompañen el ciclo productivo, con la predicción del tiempo de cosecha como eje central y las demás aristas como apoyo. La idea no es reemplazar el criterio del operador, sino ponerle datos a las decisiones que hoy se toman sobre todo por experiencia.</w:t>
      </w:r>
    </w:p>
    <w:p>
      <w:pPr>
        <w:jc w:val="both"/>
        <w:spacing w:after="320"/>
      </w:pPr>
      <w:r>
        <w:rPr>
          <w:rFonts w:ascii="Georgia" w:hAnsi="Georgia" w:cs="Georgia"/>
          <w:sz w:val="32"/>
          <w:sz-cs w:val="32"/>
          <w:spacing w:val="0"/>
        </w:rPr>
        <w:t xml:space="preserve">El primer paso es organizar el historial de cosechas de manera que la unidad de análisis sea la cosecha completa —cada una con su seguimiento diario—, tratando a cada cosecha como una observación independiente. Sobre esa base, el componente central es un modelo que estima cuánto falta hasta la cosecha y que se actualiza día a día a medida que avanza el ciclo, en lugar de arrojar una única predicción fija al inicio. Este encuadre de "tiempo al evento" aprovecha que la información se va acumulando durante el proceso: la estimación arranca gruesa y se afina a medida que hay más datos del cultivo en curso.</w:t>
      </w:r>
    </w:p>
    <w:p>
      <w:pPr>
        <w:jc w:val="both"/>
        <w:spacing w:after="320"/>
      </w:pPr>
      <w:r>
        <w:rPr>
          <w:rFonts w:ascii="Georgia" w:hAnsi="Georgia" w:cs="Georgia"/>
          <w:sz w:val="32"/>
          <w:sz-cs w:val="32"/>
          <w:spacing w:val="0"/>
        </w:rPr>
        <w:t xml:space="preserve">Alrededor de ese eje se suman aristas de apoyo. Una estimación temprana de la germinación, que al inicio del ciclo —en función de la época del año y las condiciones iniciales— ofrece un primer punto de partida para la planificación. La exploración de si es posible estimar el rendimiento (la cantidad de plantines), que se conoce recién al final y por eso, de ser viable, se abordaría a partir de un resumen de toda la trayectoria diaria y no solo de las condiciones iniciales. Y un análisis de qué variables controlables por el operador tienen mayor influencia sobre los resultados, del que se derivan recomendaciones prácticas. Como mejora prevista, los modelos se enriquecen con datos climáticos externos, que aportan contexto que la operación no registra internamente.</w:t>
      </w:r>
    </w:p>
    <w:p>
      <w:pPr>
        <w:jc w:val="both"/>
        <w:spacing w:after="320"/>
      </w:pPr>
      <w:r>
        <w:rPr>
          <w:rFonts w:ascii="Georgia" w:hAnsi="Georgia" w:cs="Georgia"/>
          <w:sz w:val="32"/>
          <w:sz-cs w:val="32"/>
          <w:spacing w:val="0"/>
        </w:rPr>
        <w:t xml:space="preserve">Un elemento distintivo de la propuesta es el diseño de la evaluación acorde a la escala real de los datos: como el número de cosechas es acotado, la validación se hace tratando cada cosecha como una unidad independiente —sin mezclar días de una misma cosecha entre entrenamiento y prueba—, usando validación cruzada en lugar de una única partición y reportando intervalos de confianza en vez de métricas puntuales. Esto, junto con la elección de modelos apropiados para esa escala, es lo que distingue la propuesta de un enfoque convencional que se limitaría a entrenar sobre miles de filas diarias sin advertir que la verdadera cantidad de casos independientes es mucho menor.</w:t>
      </w:r>
    </w:p>
    <w:p>
      <w:pPr>
        <w:jc w:val="both"/>
        <w:spacing w:after="320"/>
      </w:pPr>
      <w:r>
        <w:rPr>
          <w:rFonts w:ascii="Georgia" w:hAnsi="Georgia" w:cs="Georgia"/>
          <w:sz w:val="32"/>
          <w:sz-cs w:val="32"/>
          <w:b/>
          <w:spacing w:val="0"/>
        </w:rPr>
        <w:t xml:space="preserve">2. ¿De qué manera la solución resuelve el problema planteado?</w:t>
      </w:r>
    </w:p>
    <w:p>
      <w:pPr>
        <w:jc w:val="both"/>
        <w:spacing w:after="320"/>
      </w:pPr>
      <w:r>
        <w:rPr>
          <w:rFonts w:ascii="Georgia" w:hAnsi="Georgia" w:cs="Georgia"/>
          <w:sz w:val="32"/>
          <w:sz-cs w:val="32"/>
          <w:spacing w:val="0"/>
        </w:rPr>
        <w:t xml:space="preserve">El problema planteado en el TP1 es la dificultad para anticipar, con datos y no solo con experiencia, cuándo estará lista una cosecha, cuánto rendirá y qué condiciones influyen en esos resultados; y una de sus consecuencias más costosas era tener que salir con cosechas parciales que desaprovechan el potencial productivo. La solución ataca cada uno de esos puntos de manera directa.</w:t>
      </w:r>
    </w:p>
    <w:p>
      <w:pPr>
        <w:jc w:val="both"/>
        <w:spacing w:after="320"/>
      </w:pPr>
      <w:r>
        <w:rPr>
          <w:rFonts w:ascii="Georgia" w:hAnsi="Georgia" w:cs="Georgia"/>
          <w:sz w:val="32"/>
          <w:sz-cs w:val="32"/>
          <w:spacing w:val="0"/>
        </w:rPr>
        <w:t xml:space="preserve">La estimación dinámica del tiempo de cosecha responde al núcleo del problema: al poder anticipar y luego ir corrigiendo día a día cuándo estará disponible la producción, se puede planificar mejor las entregas y reducir la necesidad de recurrir a cosechas parciales de emergencia. La estimación temprana de germinación aporta un punto de partida desde el inicio del ciclo, cuando todavía casi no hay información. De lograrse además una estimación razonable del rendimiento, se podrían comprometer entregas comerciales sobre la base de números y no de intuición, disminuyendo el riesgo de prometer lo que después no se puede cumplir.</w:t>
      </w:r>
    </w:p>
    <w:p>
      <w:pPr>
        <w:jc w:val="both"/>
        <w:spacing w:after="320"/>
      </w:pPr>
      <w:r>
        <w:rPr>
          <w:rFonts w:ascii="Georgia" w:hAnsi="Georgia" w:cs="Georgia"/>
          <w:sz w:val="32"/>
          <w:sz-cs w:val="32"/>
          <w:spacing w:val="0"/>
        </w:rPr>
        <w:t xml:space="preserve">El análisis de factores accionables va un paso más allá de predecir: al identificar qué variables controlables inciden más en los resultados, habilita recomendaciones concretas para intervenir sobre el proceso —por ejemplo, para acortar tiempos o mejorar el rendimiento—, atacando las causas y no solo describiendo lo que va a pasar. Finalmente, el diseño de validación riguroso es lo que hace que todo esto sea confiable: asegura que el desempeño observado refleje la capacidad real de generalizar a nuevas cosechas y no un optimismo espurio, que es justamente la condición para que las predicciones puedan usarse con confianza en decisiones que cuestan dinero.</w:t>
      </w:r>
    </w:p>
    <w:p>
      <w:pPr>
        <w:jc w:val="both"/>
        <w:spacing w:after="320"/>
      </w:pPr>
      <w:r>
        <w:rPr>
          <w:rFonts w:ascii="Georgia" w:hAnsi="Georgia" w:cs="Georgia"/>
          <w:sz w:val="32"/>
          <w:sz-cs w:val="32"/>
          <w:b/>
          <w:spacing w:val="0"/>
        </w:rPr>
        <w:t xml:space="preserve">3. ¿Cuáles son las limitaciones de la solución propuesta?</w:t>
      </w:r>
    </w:p>
    <w:p>
      <w:pPr>
        <w:jc w:val="both"/>
        <w:spacing w:after="320"/>
      </w:pPr>
      <w:r>
        <w:rPr>
          <w:rFonts w:ascii="Georgia" w:hAnsi="Georgia" w:cs="Georgia"/>
          <w:sz w:val="32"/>
          <w:sz-cs w:val="32"/>
          <w:spacing w:val="0"/>
        </w:rPr>
        <w:t xml:space="preserve">La solución tiene limitaciones que conviene explicitar. La primera y más importante es la escala de la muestra: aunque hay miles de registros diarios, la cantidad de cosechas independientes —alrededor de doscientas— es el verdadero límite para evaluar cuán bien generalizan los modelos. Esto restringe la complejidad de los modelos que es razonable usar y la precisión con la que se puede estimar su desempeño. El diseño de validación agrupado por cosecha y el reporte de intervalos de confianza mitigan el riesgo de sacar conclusiones infladas, pero no eliminan la limitación de fondo.</w:t>
      </w:r>
    </w:p>
    <w:p>
      <w:pPr>
        <w:jc w:val="both"/>
        <w:spacing w:after="320"/>
      </w:pPr>
      <w:r>
        <w:rPr>
          <w:rFonts w:ascii="Georgia" w:hAnsi="Georgia" w:cs="Georgia"/>
          <w:sz w:val="32"/>
          <w:sz-cs w:val="32"/>
          <w:spacing w:val="0"/>
        </w:rPr>
        <w:t xml:space="preserve">Segundo, se trata de datos de una única operación: las conclusiones quedan atadas a este cultivo y esta instalación en particular, y podrían no trasladarse directamente a otros cultivos, otras instalaciones u otras escalas de producción. Tercero, al ser un registro histórico de una operación real, es esperable que haya datos faltantes, cambios de instrumentación o ajustes en el proceso a lo largo del tiempo, que hay que detectar y tratar y que introducen ruido difícil de controlar por completo.</w:t>
      </w:r>
    </w:p>
    <w:p>
      <w:pPr>
        <w:jc w:val="both"/>
        <w:spacing w:after="320"/>
      </w:pPr>
      <w:r>
        <w:rPr>
          <w:rFonts w:ascii="Georgia" w:hAnsi="Georgia" w:cs="Georgia"/>
          <w:sz w:val="32"/>
          <w:sz-cs w:val="32"/>
          <w:spacing w:val="0"/>
        </w:rPr>
        <w:t xml:space="preserve">Cuarto, algunas variables clave —el rendimiento, sobre todo— recién se conocen al final del ciclo, lo que acota cuánto es posible anticipar en las etapas tempranas; la estimación inicial de germinación, en particular, será necesariamente gruesa. Quinto, el análisis de factores accionables identifica asociaciones estadísticas, que no equivalen sin más a relaciones de causa y efecto; por eso las recomendaciones derivadas deben tomarse con cautela y, idealmente, validarse en la práctica antes de adoptarlas. Sexto, el enriquecimiento con datos climáticos externos depende de su disponibilidad y de que se correspondan bien, en tiempo y ubicación, con la operación. Por último, el alcance está acotado por el tiempo y los recursos propios de un trabajo de tesis, por lo que la exploración será razonada y no exhaustiva.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