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480" w:after="0"/>
        <w:jc w:val="center"/>
      </w:pPr>
      <w:r>
        <w:rPr>
          <w:b/>
          <w:sz w:val="28"/>
          <w:szCs w:val="28"/>
        </w:rPr>
        <w:t>MAESTRÍA EN EXPLOTACIÓN DE DATOS Y GESTIÓN DEL CONOCIMIENTO</w:t>
      </w:r>
    </w:p>
    <w:p>
      <w:pPr>
        <w:jc w:val="center"/>
      </w:pPr>
      <w:r>
        <w:rPr>
          <w:b/>
          <w:sz w:val="26"/>
          <w:szCs w:val="26"/>
        </w:rPr>
        <w:t>SEMINARIO DE TRABAJO FINAL</w:t>
      </w:r>
    </w:p>
    <w:p>
      <w:pPr>
        <w:spacing w:before="720"/>
        <w:jc w:val="center"/>
      </w:pPr>
      <w:r>
        <w:rPr>
          <w:b/>
          <w:sz w:val="32"/>
          <w:szCs w:val="32"/>
        </w:rPr>
        <w:t>TP 3</w:t>
      </w:r>
    </w:p>
    <w:p>
      <w:pPr>
        <w:jc w:val="center"/>
      </w:pPr>
      <w:r>
        <w:rPr>
          <w:b/>
          <w:sz w:val="32"/>
          <w:szCs w:val="32"/>
        </w:rPr>
        <w:t>Aplicaciones prácticas</w:t>
      </w:r>
    </w:p>
    <w:p>
      <w:pPr>
        <w:spacing w:before="240"/>
        <w:jc w:val="center"/>
      </w:pPr>
      <w:r>
        <w:rPr>
          <w:i/>
          <w:sz w:val="26"/>
          <w:szCs w:val="26"/>
        </w:rPr>
        <w:t>Modelos predictivos para la planificación de la producción en un cultivo hidropónico</w:t>
      </w:r>
    </w:p>
    <w:p>
      <w:pPr>
        <w:jc w:val="center"/>
      </w:pPr>
      <w:r>
        <w:t>versión 1</w:t>
      </w:r>
    </w:p>
    <w:p>
      <w:pPr>
        <w:spacing w:before="1440"/>
        <w:jc w:val="center"/>
      </w:pPr>
      <w:r>
        <w:rPr>
          <w:b/>
          <w:sz w:val="24"/>
          <w:szCs w:val="24"/>
        </w:rPr>
        <w:t>Alumno: Lucas Pessagno</w:t>
      </w:r>
    </w:p>
    <w:p>
      <w:pPr>
        <w:jc w:val="center"/>
      </w:pPr>
      <w:r>
        <w:rPr>
          <w:sz w:val="24"/>
          <w:szCs w:val="24"/>
        </w:rPr>
        <w:t>Fecha: agosto de 2026</w:t>
      </w:r>
    </w:p>
    <w:p>
      <w:pPr>
        <w:spacing w:after="0"/>
      </w:pPr>
      <w:r>
        <w:br w:type="page"/>
      </w:r>
    </w:p>
    <w:p>
      <w:pPr>
        <w:jc w:val="center"/>
      </w:pPr>
      <w:r>
        <w:rPr>
          <w:b/>
          <w:sz w:val="28"/>
          <w:szCs w:val="28"/>
        </w:rPr>
        <w:t>Desarrollo</w:t>
      </w:r>
    </w:p>
    <w:p>
      <w:r>
        <w:rPr>
          <w:b/>
          <w:sz w:val="24"/>
          <w:szCs w:val="24"/>
        </w:rPr>
        <w:t>Actividad I — Aplicaciones prácticas</w:t>
      </w:r>
    </w:p>
    <w:p>
      <w:pPr>
        <w:jc w:val="both"/>
      </w:pPr>
      <w:r>
        <w:t>A partir de la temática/problema identificada, se seleccionaron y leyeron trabajos de investigación vinculados al problema investigado. A continuación se responden las preguntas generales en formato pregunta/respuesta (aprox. 300 palabras por respuesta), citando y referenciando la bibliografía utilizada según normas APA (al menos tres citas y referencias por respuesta).</w:t>
      </w:r>
    </w:p>
    <w:p>
      <w:pPr>
        <w:spacing w:before="240"/>
      </w:pPr>
      <w:r>
        <w:rPr>
          <w:b/>
        </w:rPr>
        <w:t>1. ¿Cuál es la utilidad que se espera de la solución?</w:t>
      </w:r>
    </w:p>
    <w:p>
      <w:pPr>
        <w:jc w:val="both"/>
      </w:pPr>
      <w:r>
        <w:t>La utilidad esperada de la solución es transformar decisiones que hoy se toman por experiencia en decisiones respaldadas por datos, mejorando la planificación y la eficiencia del cultivo hidropónico. El aprendizaje automático se consolida como una herramienta de apoyo a la decisión en agricultura, capaz de anticipar resultados productivos y orientar la gestión del ciclo (Liakos et al., 2018). En particular, la predicción del rendimiento funciona como soporte para decidir qué producir y cómo conducir la campaña, integrando variables ambientales y de manejo que un operador difícilmente pondera de manera sistemática (van Klompenburg et al., 2020).</w:t>
      </w:r>
    </w:p>
    <w:p>
      <w:pPr>
        <w:jc w:val="both"/>
      </w:pPr>
      <w:r>
        <w:t>En el contexto específico de la hidroponía, se demostró que modelos entrenados con datos del propio sistema estiman el rendimiento con errores acotados, lo que habilita una planificación más fina de la producción bajo ambiente controlado (Mokhtar et al., 2022). Esa capacidad es especialmente valiosa en un cultivo donde cada ciclo dura varias semanas y donde salir con cosechas parciales —para cumplir compromisos comerciales— desaprovecha parte del potencial productivo.</w:t>
      </w:r>
    </w:p>
    <w:p>
      <w:pPr>
        <w:jc w:val="both"/>
      </w:pPr>
      <w:r>
        <w:t>La utilidad concreta que se espera es triple. Primero, anticipar cuándo estará lista una cosecha permite coordinar entregas y logística con mayor certeza. Segundo, estimar el rendimiento reduce el riesgo de comprometer volúmenes que después no se pueden cumplir. Tercero, identificar qué condiciones influyen en los resultados abre la puerta a intervenir sobre el proceso de manera dirigida y no por ensayo y error. Como la hidroponía es una actividad intensiva en capital y en conocimiento técnico, donde un error de manejo puede comprometer una cosecha entera (FAO, 2024), disponer de estimaciones confiables mejora directamente el uso de insumos, energía y espacio. La solución, en definitiva, apunta a optimizar procesos existentes de la operación real y a aportar evidencia replicable para la producción de alimentos basada en datos.</w:t>
      </w:r>
    </w:p>
    <w:p>
      <w:pPr>
        <w:spacing w:before="240"/>
      </w:pPr>
      <w:r>
        <w:rPr>
          <w:b/>
        </w:rPr>
        <w:t>2. ¿Qué aplicaciones prácticas tendrá la investigación?</w:t>
      </w:r>
    </w:p>
    <w:p>
      <w:pPr>
        <w:jc w:val="both"/>
      </w:pPr>
      <w:r>
        <w:t>Las aplicaciones prácticas de la investigación se concentran en el día a día de la operación hidropónica, aunque su implementación no está exenta de desafíos que conviene explicitar. La aplicación central es un modelo que estima de forma dinámica el tiempo restante hasta la cosecha y se actualiza a medida que avanza el ciclo, lo que permite planificar entregas y reducir las cosechas parciales de emergencia. Trabajos previos mostraron que integrar selección de variables con métodos de inteligencia artificial permite predecir tiempos de cosecha con datos reales de producción y clima, reduciendo el desperdicio de recursos (Liu et al., 2022). En paralelo, la estimación de rendimiento y de germinación aporta puntos de partida tempranos para la planificación comercial (Mokhtar et al., 2022).</w:t>
      </w:r>
    </w:p>
    <w:p>
      <w:pPr>
        <w:jc w:val="both"/>
      </w:pPr>
      <w:r>
        <w:t>Una segunda familia de aplicaciones es la gestión del cultivo: al identificar qué variables controlables inciden más en los resultados, se derivan recomendaciones para acortar tiempos o mejorar el rendimiento. La combinación de sensores y modelos para monitorear y conducir cultivos hidropónicos en invernadero ya mostró resultados prometedores (Mamatha &amp; Kavitha, 2023), y encaja con la visión de las plantas fábrica como sistemas de producción altamente instrumentados y optimizables (Kozai et al., 2015).</w:t>
      </w:r>
    </w:p>
    <w:p>
      <w:pPr>
        <w:jc w:val="both"/>
      </w:pPr>
      <w:r>
        <w:t>Ahora bien, estas aplicaciones enfrentan límites concretos. El principal es la escala real de la muestra: aunque hay miles de registros diarios, las cosechas independientes son acotadas, y evaluar sin agrupar por cosecha genera un optimismo espurio que no se sostiene en producción (Roberts et al., 2017). A esto se suman datos faltantes, cambios de instrumentación y el hecho de que las asociaciones estadísticas no equivalen a causalidad, por lo que las recomendaciones derivadas deben validarse en la práctica antes de adoptarse. Reconocer estos desafíos es parte de lo que hace que las aplicaciones sean realistas y efectivamente adoptables por la operación.</w:t>
      </w:r>
    </w:p>
    <w:p>
      <w:pPr>
        <w:spacing w:before="240"/>
      </w:pPr>
      <w:r>
        <w:rPr>
          <w:b/>
        </w:rPr>
        <w:t>3. ¿Cómo se ha resuelto este problema (o problemas muy semejantes) en otras partes?</w:t>
      </w:r>
    </w:p>
    <w:p>
      <w:pPr>
        <w:jc w:val="both"/>
      </w:pPr>
      <w:r>
        <w:t>El problema de anticipar resultados productivos con datos fue abordado ampliamente en la literatura, con enfoques que conviene revisar para situar la propuesta. La revisión sistemática de van Klompenburg et al. (2020) relevó decenas de estudios de predicción de rendimiento con aprendizaje automático e identificó que los algoritmos más usados incluyen redes neuronales, bosques aleatorios y métodos de boosting, aplicados sobre variables ambientales y de manejo. En una línea complementaria, Kamilaris y Prenafeta-Boldú (2018) documentaron el crecimiento del aprendizaje profundo en agricultura, señalando su buen desempeño pero también su dependencia de grandes volúmenes de datos.</w:t>
      </w:r>
    </w:p>
    <w:p>
      <w:pPr>
        <w:jc w:val="both"/>
      </w:pPr>
      <w:r>
        <w:t>En el terreno específico de la agricultura de ambiente controlado, varios trabajos resolvieron problemas muy semejantes al planteado. Mokhtar et al. (2022) compararon máquinas de soporte vectorial, boosting, bosques aleatorios y redes neuronales para predecir el rendimiento de lechuga hidropónica, y obtuvieron errores bajos con datos del propio sistema. Mamatha y Kavitha (2023) integraron sensores y modelos para la gestión del crecimiento en invernaderos hidropónicos. Y Liu et al. (2022) abordaron directamente la predicción del tiempo de cosecha combinando selección de variables y redes de memoria de largo plazo sobre datos productivos y climáticos.</w:t>
      </w:r>
    </w:p>
    <w:p>
      <w:pPr>
        <w:jc w:val="both"/>
      </w:pPr>
      <w:r>
        <w:t>En el ámbito regional también hay antecedentes: Gómez Arango (2024) desarrolló modelos de aprendizaje automático para predecir el rendimiento de cultivos en Medellín, y destacó el desempeño de los bosques aleatorios y el boosting. La lectura crítica de estos antecedentes muestra un patrón claro: la mayoría predice el rendimiento como una magnitud estática al final del ciclo y valida con particiones que no siempre respetan la estructura de los datos. Ese diálogo entre lo hecho y lo que falta es, justamente, lo que delimita el espacio donde la presente propuesta busca aportar.</w:t>
      </w:r>
    </w:p>
    <w:p>
      <w:pPr>
        <w:spacing w:before="240"/>
      </w:pPr>
      <w:r>
        <w:rPr>
          <w:b/>
        </w:rPr>
        <w:t>4. ¿Qué grado de innovación considera que tiene la propuesta de solución al problema?</w:t>
      </w:r>
    </w:p>
    <w:p>
      <w:pPr>
        <w:jc w:val="both"/>
      </w:pPr>
      <w:r>
        <w:t>El grado de innovación de la propuesta no radica en inventar un algoritmo nuevo —algo que excede el alcance de una tesis de maestría—, sino en la aplicación y combinación poco frecuentes de métodos consolidados sobre un problema real. El primer elemento es encuadrar el tiempo de cosecha como un problema de tiempo al evento con re-estimación día a día, mediante la técnica de landmarking (van Houwelingen, 2007) y la predicción dinámica de eventos (Rizopoulos, 2011; Ishwaran et al., 2008). Se trata de un enfoque bien establecido en el análisis de supervivencia, pero cuya adaptación a la estimación del tiempo de cosecha en un cultivo hidropónico real es, hasta donde se relevó, novedosa: en este dominio la mayoría de los trabajos predice el rendimiento como una magnitud estática al final del ciclo (van Klompenburg et al., 2020).</w:t>
      </w:r>
    </w:p>
    <w:p>
      <w:pPr>
        <w:jc w:val="both"/>
      </w:pPr>
      <w:r>
        <w:t>Un segundo aspecto, más de rigor que de innovación, es el tratamiento de la escala real de la muestra. Como las filas diarias de una misma cosecha no son independientes, la propuesta valida agrupando por cosecha y reporta intervalos de confianza en lugar de métricas puntuales. Esta validación por bloques evita subestimar el error cuando los datos tienen estructura temporal o jerárquica (Roberts et al., 2017); no es un aporte novedoso en sí, pero es lo que vuelve creíbles los resultados frente a evaluaciones que, al ignorar esa estructura, resultan demasiado optimistas.</w:t>
      </w:r>
    </w:p>
    <w:p>
      <w:pPr>
        <w:jc w:val="both"/>
      </w:pPr>
      <w:r>
        <w:t>El tercer aporte es orientar el análisis hacia factores accionables mediante técnicas de interpretabilidad como los valores SHAP (Lundberg &amp; Lee, 2017), que permiten pasar de predecir a recomendar intervenciones concretas sobre las variables que el operador controla. En coherencia con la escala de los datos, y a diferencia del aprendizaje profundo, que exige grandes volúmenes (Kamilaris &amp; Prenafeta-Boldú, 2018), se eligen modelos acordes a una muestra acotada.</w:t>
      </w:r>
    </w:p>
    <w:p>
      <w:pPr>
        <w:jc w:val="both"/>
      </w:pPr>
      <w:r>
        <w:t>Por último, el trabajo desarrolla y compara dos modelados complementarios que responden a dos horizontes de decisión del negocio. Un modelo estático estima desde el inicio del ciclo, con poca información —condiciones iniciales y época del año—, y habilita la planificación estratégica: comprometer entregas comerciales y dimensionar la capacidad con anticipación. Un modelo dinámico re-estima día a día a medida que avanza el cultivo y habilita la planificación táctica: ajustar la logística y decidir el momento óptimo de cosecha, evitando las cosechas parciales de emergencia. La comparación entre ambos —cuánto mejora la predicción al aprovechar la trayectoria— es en sí misma un aporte, porque cuantifica el valor de la información que se acumula durante el ciclo. La innovación, entonces, es de aplicación y combinación: dar al negocio, con rigor, la información que necesita para operar en ambos horizontes, sobre una operación real y no un dataset académico.</w:t>
      </w:r>
    </w:p>
    <w:p>
      <w:pPr>
        <w:spacing w:before="360"/>
        <w:jc w:val="center"/>
      </w:pPr>
      <w:r>
        <w:rPr>
          <w:b/>
          <w:sz w:val="26"/>
          <w:szCs w:val="26"/>
        </w:rPr>
        <w:t>Referencias bibliográficas</w:t>
      </w:r>
    </w:p>
    <w:p>
      <w:pPr>
        <w:ind w:left="567" w:hanging="567"/>
        <w:jc w:val="both"/>
      </w:pPr>
      <w:r>
        <w:t>FAO. (2024). </w:t>
      </w:r>
      <w:r>
        <w:rPr>
          <w:i/>
        </w:rPr>
        <w:t>Growing without soil: Hydroponics fundamentals, pros and cons.</w:t>
      </w:r>
      <w:r>
        <w:t> Organización de las Naciones Unidas para la Alimentación y la Agricultura. https://www.fao.org/plant-production-protection/news-and-events/news/news-detail/growing-without-soil--hydroponics-fundamentals--pros-and-cons/en</w:t>
      </w:r>
    </w:p>
    <w:p>
      <w:pPr>
        <w:ind w:left="567" w:hanging="567"/>
        <w:jc w:val="both"/>
      </w:pPr>
      <w:r>
        <w:t>Gómez Arango, A. M. (2024). </w:t>
      </w:r>
      <w:r>
        <w:rPr>
          <w:i/>
        </w:rPr>
        <w:t>Predicción del rendimiento de cultivos agrícolas en los cinco corregimientos de la ciudad de Medellín, utilizando modelos de Machine Learning</w:t>
      </w:r>
      <w:r>
        <w:t> [Tesis de maestría, Universidad EAFIT]. Repositorio Institucional Universidad EAFIT, Medellín. https://repository.eafit.edu.co/items/8ee9e51b-a6e1-48d6-8f25-328d5781f139</w:t>
      </w:r>
    </w:p>
    <w:p>
      <w:pPr>
        <w:ind w:left="567" w:hanging="567"/>
        <w:jc w:val="both"/>
      </w:pPr>
      <w:r>
        <w:t>Ishwaran, H., Kogalur, U. B., Blackstone, E. H., &amp; Lauer, M. S. (2008). Random survival forests. </w:t>
      </w:r>
      <w:r>
        <w:rPr>
          <w:i/>
        </w:rPr>
        <w:t>The Annals of Applied Statistics, 2</w:t>
      </w:r>
      <w:r>
        <w:t>(3), 841-860. https://doi.org/10.1214/08-AOAS169</w:t>
      </w:r>
    </w:p>
    <w:p>
      <w:pPr>
        <w:ind w:left="567" w:hanging="567"/>
        <w:jc w:val="both"/>
      </w:pPr>
      <w:r>
        <w:t>Kamilaris, A., &amp; Prenafeta-Boldú, F. X. (2018). Deep learning in agriculture: A survey. </w:t>
      </w:r>
      <w:r>
        <w:rPr>
          <w:i/>
        </w:rPr>
        <w:t>Computers and Electronics in Agriculture, 147</w:t>
      </w:r>
      <w:r>
        <w:t>, 70-90. https://doi.org/10.1016/j.compag.2018.02.016</w:t>
      </w:r>
    </w:p>
    <w:p>
      <w:pPr>
        <w:ind w:left="567" w:hanging="567"/>
        <w:jc w:val="both"/>
      </w:pPr>
      <w:r>
        <w:t>Kozai, T., Niu, G., &amp; Takagaki, M. (2015). </w:t>
      </w:r>
      <w:r>
        <w:rPr>
          <w:i/>
        </w:rPr>
        <w:t>Plant factory: An indoor vertical farming system for efficient quality food production.</w:t>
      </w:r>
      <w:r>
        <w:t> Academic Press.</w:t>
      </w:r>
    </w:p>
    <w:p>
      <w:pPr>
        <w:ind w:left="567" w:hanging="567"/>
        <w:jc w:val="both"/>
      </w:pPr>
      <w:r>
        <w:t>Liakos, K. G., Busato, P., Moshou, D., Pearson, S., &amp; Bochtis, D. (2018). Machine learning in agriculture: A review. </w:t>
      </w:r>
      <w:r>
        <w:rPr>
          <w:i/>
        </w:rPr>
        <w:t>Sensors, 18</w:t>
      </w:r>
      <w:r>
        <w:t>(8), 2674. https://doi.org/10.3390/s18082674</w:t>
      </w:r>
    </w:p>
    <w:p>
      <w:pPr>
        <w:ind w:left="567" w:hanging="567"/>
        <w:jc w:val="both"/>
      </w:pPr>
      <w:r>
        <w:t>Liu, S.-C., Jian, Q.-Y., Wen, H.-Y., &amp; Chung, C.-H. (2022). A crop harvest time prediction model for better sustainability, integrating feature selection and artificial intelligence methods. </w:t>
      </w:r>
      <w:r>
        <w:rPr>
          <w:i/>
        </w:rPr>
        <w:t>Sustainability, 14</w:t>
      </w:r>
      <w:r>
        <w:t>(21), 14101. https://doi.org/10.3390/su142114101</w:t>
      </w:r>
    </w:p>
    <w:p>
      <w:pPr>
        <w:ind w:left="567" w:hanging="567"/>
        <w:jc w:val="both"/>
      </w:pPr>
      <w:r>
        <w:t>Lundberg, S. M., &amp; Lee, S.-I. (2017). A unified approach to interpreting model predictions. En </w:t>
      </w:r>
      <w:r>
        <w:rPr>
          <w:i/>
        </w:rPr>
        <w:t>Advances in Neural Information Processing Systems 30 (NIPS 2017)</w:t>
      </w:r>
      <w:r>
        <w:t> (pp. 4768-4777). Curran Associates.</w:t>
      </w:r>
    </w:p>
    <w:p>
      <w:pPr>
        <w:ind w:left="567" w:hanging="567"/>
        <w:jc w:val="both"/>
      </w:pPr>
      <w:r>
        <w:t>Mamatha, V., &amp; Kavitha, J. C. (2023). Machine learning based crop growth management in greenhouse environment using hydroponics farming techniques. </w:t>
      </w:r>
      <w:r>
        <w:rPr>
          <w:i/>
        </w:rPr>
        <w:t>Measurement: Sensors, 25</w:t>
      </w:r>
      <w:r>
        <w:t>, 100665. https://doi.org/10.1016/j.measen.2023.100665</w:t>
      </w:r>
    </w:p>
    <w:p>
      <w:pPr>
        <w:ind w:left="567" w:hanging="567"/>
        <w:jc w:val="both"/>
      </w:pPr>
      <w:r>
        <w:t>Mokhtar, A., El-Ssawy, W., He, H., Al-Anasari, N., Sammen, S. Sh., Gyasi-Agyei, Y., &amp; Abuarab, M. (2022). Using machine learning models to predict hydroponically grown lettuce yield. </w:t>
      </w:r>
      <w:r>
        <w:rPr>
          <w:i/>
        </w:rPr>
        <w:t>Frontiers in Plant Science, 13</w:t>
      </w:r>
      <w:r>
        <w:t>, 706042. https://doi.org/10.3389/fpls.2022.706042</w:t>
      </w:r>
    </w:p>
    <w:p>
      <w:pPr>
        <w:ind w:left="567" w:hanging="567"/>
        <w:jc w:val="both"/>
      </w:pPr>
      <w:r>
        <w:t>Rizopoulos, D. (2011). Dynamic predictions and prospective accuracy in joint models for longitudinal and time-to-event data. </w:t>
      </w:r>
      <w:r>
        <w:rPr>
          <w:i/>
        </w:rPr>
        <w:t>Biometrics, 67</w:t>
      </w:r>
      <w:r>
        <w:t>(3), 819-829. https://doi.org/10.1111/j.1541-0420.2010.01546.x</w:t>
      </w:r>
    </w:p>
    <w:p>
      <w:pPr>
        <w:ind w:left="567" w:hanging="567"/>
        <w:jc w:val="both"/>
      </w:pPr>
      <w:r>
        <w:t>Roberts, D. R., Bahn, V., Ciuti, S., Boyce, M. S., Elith, J., Guillera-Arroita, G., Hauenstein, S., Lahoz-Monfort, J. J., Schröder, B., Thuiller, W., Warton, D. I., Wintle, B. A., Hartig, F., &amp; Dormann, C. F. (2017). Cross-validation strategies for data with temporal, spatial, hierarchical, or phylogenetic structure. </w:t>
      </w:r>
      <w:r>
        <w:rPr>
          <w:i/>
        </w:rPr>
        <w:t>Ecography, 40</w:t>
      </w:r>
      <w:r>
        <w:t>(8), 913-929. https://doi.org/10.1111/ecog.02881</w:t>
      </w:r>
    </w:p>
    <w:p>
      <w:pPr>
        <w:ind w:left="567" w:hanging="567"/>
        <w:jc w:val="both"/>
      </w:pPr>
      <w:r>
        <w:t>van Houwelingen, H. C. (2007). Dynamic prediction by landmarking in event history analysis. </w:t>
      </w:r>
      <w:r>
        <w:rPr>
          <w:i/>
        </w:rPr>
        <w:t>Scandinavian Journal of Statistics, 34</w:t>
      </w:r>
      <w:r>
        <w:t>(1), 70-85. https://doi.org/10.1111/j.1467-9469.2006.00529.x</w:t>
      </w:r>
    </w:p>
    <w:p>
      <w:pPr>
        <w:ind w:left="567" w:hanging="567"/>
        <w:jc w:val="both"/>
      </w:pPr>
      <w:r>
        <w:t>van Klompenburg, T., Kassahun, A., &amp; Catal, C. (2020). Crop yield prediction using machine learning: A systematic literature review. </w:t>
      </w:r>
      <w:r>
        <w:rPr>
          <w:i/>
        </w:rPr>
        <w:t>Computers and Electronics in Agriculture, 177</w:t>
      </w:r>
      <w:r>
        <w:t>, 105709. https://doi.org/10.1016/j.compag.2020.105709</w:t>
      </w:r>
    </w:p>
    <w:p>
      <w:pPr>
        <w:spacing w:after="0"/>
      </w:pPr>
      <w:r>
        <w:br w:type="page"/>
      </w:r>
    </w:p>
    <w:p>
      <w:r>
        <w:rPr>
          <w:b/>
          <w:sz w:val="24"/>
          <w:szCs w:val="24"/>
        </w:rPr>
        <w:t>Control de citas y palabras</w:t>
      </w:r>
    </w:p>
    <w:tbl>
      <w:tblPr>
        <w:tblStyle w:val="TableGrid"/>
        <w:tblW w:w="0" w:type="auto"/>
      </w:tblPr>
      <w:tblGrid>
        <w:gridCol w:w="5000"/>
        <w:gridCol w:w="2000"/>
        <w:gridCol w:w="2360"/>
      </w:tblGrid>
      <w:tr>
        <w:tc>
          <w:tcPr>
            <w:shd w:val="clear" w:color="auto" w:fill="D9D9D9"/>
          </w:tcPr>
          <w:p>
            <w:r>
              <w:rPr>
                <w:b/>
              </w:rPr>
              <w:t>Pregunta</w:t>
            </w:r>
          </w:p>
        </w:tc>
        <w:tc>
          <w:tcPr>
            <w:shd w:val="clear" w:color="auto" w:fill="D9D9D9"/>
          </w:tcPr>
          <w:p>
            <w:pPr>
              <w:jc w:val="center"/>
            </w:pPr>
            <w:r>
              <w:rPr>
                <w:b/>
              </w:rPr>
              <w:t>Cantidad de citas</w:t>
            </w:r>
          </w:p>
        </w:tc>
        <w:tc>
          <w:tcPr>
            <w:shd w:val="clear" w:color="auto" w:fill="D9D9D9"/>
          </w:tcPr>
          <w:p>
            <w:pPr>
              <w:jc w:val="center"/>
            </w:pPr>
            <w:r>
              <w:rPr>
                <w:b/>
              </w:rPr>
              <w:t>Cantidad de palabras</w:t>
            </w:r>
          </w:p>
        </w:tc>
      </w:tr>
      <w:tr>
        <w:tc>
          <w:p>
            <w:r>
              <w:t>1. ¿Cuál es la utilidad que se espera de la solución?</w:t>
            </w:r>
          </w:p>
        </w:tc>
        <w:tc>
          <w:p>
            <w:pPr>
              <w:jc w:val="center"/>
            </w:pPr>
            <w:r>
              <w:t>4</w:t>
            </w:r>
          </w:p>
        </w:tc>
        <w:tc>
          <w:p>
            <w:pPr>
              <w:jc w:val="center"/>
            </w:pPr>
            <w:r>
              <w:t>≈ 300</w:t>
            </w:r>
          </w:p>
        </w:tc>
      </w:tr>
      <w:tr>
        <w:tc>
          <w:p>
            <w:r>
              <w:t>2. ¿Qué aplicaciones prácticas tendrá la investigación?</w:t>
            </w:r>
          </w:p>
        </w:tc>
        <w:tc>
          <w:p>
            <w:pPr>
              <w:jc w:val="center"/>
            </w:pPr>
            <w:r>
              <w:t>5</w:t>
            </w:r>
          </w:p>
        </w:tc>
        <w:tc>
          <w:p>
            <w:pPr>
              <w:jc w:val="center"/>
            </w:pPr>
            <w:r>
              <w:t>≈ 300</w:t>
            </w:r>
          </w:p>
        </w:tc>
      </w:tr>
      <w:tr>
        <w:tc>
          <w:p>
            <w:r>
              <w:t>3. ¿Cómo se ha resuelto este problema en otras partes?</w:t>
            </w:r>
          </w:p>
        </w:tc>
        <w:tc>
          <w:p>
            <w:pPr>
              <w:jc w:val="center"/>
            </w:pPr>
            <w:r>
              <w:t>6</w:t>
            </w:r>
          </w:p>
        </w:tc>
        <w:tc>
          <w:p>
            <w:pPr>
              <w:jc w:val="center"/>
            </w:pPr>
            <w:r>
              <w:t>≈ 300</w:t>
            </w:r>
          </w:p>
        </w:tc>
      </w:tr>
      <w:tr>
        <w:tc>
          <w:p>
            <w:r>
              <w:t>4. ¿Qué grado de innovación tiene la propuesta?</w:t>
            </w:r>
          </w:p>
        </w:tc>
        <w:tc>
          <w:p>
            <w:pPr>
              <w:jc w:val="center"/>
            </w:pPr>
            <w:r>
              <w:t>7</w:t>
            </w:r>
          </w:p>
        </w:tc>
        <w:tc>
          <w:p>
            <w:pPr>
              <w:jc w:val="center"/>
            </w:pPr>
            <w:r>
              <w:t>≈ 400</w:t>
            </w:r>
          </w:p>
        </w:tc>
      </w:tr>
    </w:tbl>
    <w:p>
      <w:pPr>
        <w:spacing w:before="360"/>
      </w:pPr>
      <w:r>
        <w:rPr>
          <w:b/>
          <w:sz w:val="24"/>
          <w:szCs w:val="24"/>
        </w:rPr>
        <w:t>Control de referencias</w:t>
      </w:r>
    </w:p>
    <w:tbl>
      <w:tblPr>
        <w:tblStyle w:val="TableGrid"/>
        <w:tblW w:w="0" w:type="auto"/>
      </w:tblPr>
      <w:tblGrid>
        <w:gridCol w:w="6000"/>
        <w:gridCol w:w="1680"/>
        <w:gridCol w:w="1680"/>
      </w:tblGrid>
      <w:tr>
        <w:tc>
          <w:tcPr>
            <w:shd w:val="clear" w:color="auto" w:fill="D9D9D9"/>
          </w:tcPr>
          <w:p>
            <w:r>
              <w:rPr>
                <w:b/>
              </w:rPr>
              <w:t>Referencia (tipo de fuente)</w:t>
            </w:r>
          </w:p>
        </w:tc>
        <w:tc>
          <w:tcPr>
            <w:shd w:val="clear" w:color="auto" w:fill="D9D9D9"/>
          </w:tcPr>
          <w:p>
            <w:pPr>
              <w:jc w:val="center"/>
            </w:pPr>
            <w:r>
              <w:rPr>
                <w:b/>
              </w:rPr>
              <w:t>Cantidad</w:t>
            </w:r>
          </w:p>
        </w:tc>
        <w:tc>
          <w:tcPr>
            <w:shd w:val="clear" w:color="auto" w:fill="D9D9D9"/>
          </w:tcPr>
          <w:p>
            <w:pPr>
              <w:jc w:val="center"/>
            </w:pPr>
            <w:r>
              <w:rPr>
                <w:b/>
              </w:rPr>
              <w:t>¿Están todos los campos?</w:t>
            </w:r>
          </w:p>
        </w:tc>
      </w:tr>
      <w:tr>
        <w:tc>
          <w:p>
            <w:r>
              <w:t>Artículo en revistas</w:t>
            </w:r>
          </w:p>
        </w:tc>
        <w:tc>
          <w:p>
            <w:pPr>
              <w:jc w:val="center"/>
            </w:pPr>
            <w:r>
              <w:t>10</w:t>
            </w:r>
          </w:p>
        </w:tc>
        <w:tc>
          <w:p>
            <w:pPr>
              <w:jc w:val="center"/>
            </w:pPr>
            <w:r>
              <w:t>Sí</w:t>
            </w:r>
          </w:p>
        </w:tc>
      </w:tr>
      <w:tr>
        <w:tc>
          <w:p>
            <w:r>
              <w:t>Artículo en congresos</w:t>
            </w:r>
          </w:p>
        </w:tc>
        <w:tc>
          <w:p>
            <w:pPr>
              <w:jc w:val="center"/>
            </w:pPr>
            <w:r>
              <w:t>1</w:t>
            </w:r>
          </w:p>
        </w:tc>
        <w:tc>
          <w:p>
            <w:pPr>
              <w:jc w:val="center"/>
            </w:pPr>
            <w:r>
              <w:t>Sí</w:t>
            </w:r>
          </w:p>
        </w:tc>
      </w:tr>
      <w:tr>
        <w:tc>
          <w:p>
            <w:r>
              <w:t>Libros</w:t>
            </w:r>
          </w:p>
        </w:tc>
        <w:tc>
          <w:p>
            <w:pPr>
              <w:jc w:val="center"/>
            </w:pPr>
            <w:r>
              <w:t>1</w:t>
            </w:r>
          </w:p>
        </w:tc>
        <w:tc>
          <w:p>
            <w:pPr>
              <w:jc w:val="center"/>
            </w:pPr>
            <w:r>
              <w:t>Sí</w:t>
            </w:r>
          </w:p>
        </w:tc>
      </w:tr>
      <w:tr>
        <w:tc>
          <w:p>
            <w:r>
              <w:t>Tesis</w:t>
            </w:r>
          </w:p>
        </w:tc>
        <w:tc>
          <w:p>
            <w:pPr>
              <w:jc w:val="center"/>
            </w:pPr>
            <w:r>
              <w:t>1</w:t>
            </w:r>
          </w:p>
        </w:tc>
        <w:tc>
          <w:p>
            <w:pPr>
              <w:jc w:val="center"/>
            </w:pPr>
            <w:r>
              <w:t>Sí</w:t>
            </w:r>
          </w:p>
        </w:tc>
      </w:tr>
      <w:tr>
        <w:tc>
          <w:p>
            <w:r>
              <w:t>Páginas web</w:t>
            </w:r>
          </w:p>
        </w:tc>
        <w:tc>
          <w:p>
            <w:pPr>
              <w:jc w:val="center"/>
            </w:pPr>
            <w:r>
              <w:t>1</w:t>
            </w:r>
          </w:p>
        </w:tc>
        <w:tc>
          <w:p>
            <w:pPr>
              <w:jc w:val="center"/>
            </w:pPr>
            <w:r>
              <w:t>Sí</w:t>
            </w:r>
          </w:p>
        </w:tc>
      </w:tr>
      <w:tr>
        <w:tc>
          <w:p>
            <w:r>
              <w:t>Otros</w:t>
            </w:r>
          </w:p>
        </w:tc>
        <w:tc>
          <w:p>
            <w:pPr>
              <w:jc w:val="center"/>
            </w:pPr>
            <w:r>
              <w:t>0</w:t>
            </w:r>
          </w:p>
        </w:tc>
        <w:tc>
          <w:p>
            <w:pPr>
              <w:jc w:val="center"/>
            </w:pPr>
            <w:r>
              <w:t>—</w:t>
            </w:r>
          </w:p>
        </w:tc>
      </w:tr>
      <w:tr>
        <w:tc>
          <w:tcPr>
            <w:shd w:val="clear" w:color="auto" w:fill="F2F2F2"/>
          </w:tcPr>
          <w:p>
            <w:r>
              <w:rPr>
                <w:b/>
              </w:rPr>
              <w:t>Total</w:t>
            </w:r>
          </w:p>
        </w:tc>
        <w:tc>
          <w:tcPr>
            <w:shd w:val="clear" w:color="auto" w:fill="F2F2F2"/>
          </w:tcPr>
          <w:p>
            <w:pPr>
              <w:jc w:val="center"/>
            </w:pPr>
            <w:r>
              <w:rPr>
                <w:b/>
              </w:rPr>
              <w:t>14</w:t>
            </w:r>
          </w:p>
        </w:tc>
        <w:tc>
          <w:tcPr>
            <w:shd w:val="clear" w:color="auto" w:fill="F2F2F2"/>
          </w:tcPr>
          <w:p>
            <w:pPr>
              <w:jc w:val="center"/>
            </w:pPr>
            <w:r>
              <w:rPr>
                <w:b/>
              </w:rPr>
              <w:t>Sí</w:t>
            </w:r>
          </w:p>
        </w:tc>
      </w:tr>
    </w:tbl>
    <w:p>
      <w:pPr>
        <w:spacing w:before="360"/>
      </w:pPr>
      <w:r>
        <w:rPr>
          <w:b/>
          <w:sz w:val="24"/>
          <w:szCs w:val="24"/>
        </w:rPr>
        <w:t>Actividad en el foro</w:t>
      </w:r>
    </w:p>
    <w:p>
      <w:pPr>
        <w:jc w:val="both"/>
      </w:pPr>
      <w:r>
        <w:t>La instalación y el uso del gestor de citas bibliográficas Mendeley, así como las dudas y sugerencias sobre su empleo, se comparten directamente en el foro de la plataforma. Las referencias de este trabajo práctico se administraron con dicho gestor.</w:t>
      </w:r>
    </w:p>
    <w:sectPr>
      <w:pgSz w:w="11906" w:h="16838"/>
      <w:pgMar w:top="1417" w:right="1417" w:bottom="1417" w:left="1417" w:header="708" w:footer="708" w:gutter="0"/>
    </w:sectPr>
  </w:body>
</w:document>
</file>

<file path=word/styles.xml><?xml version="1.0" encoding="utf-8"?>
<w:styles xmlns:w="http://schemas.openxmlformats.org/wordprocessingml/2006/main">
  <w:docDefaults>
    <w:rPrDefault>
      <w:rPr>
        <w:rFonts w:ascii="Calibri" w:hAnsi="Calibri" w:cs="Calibri"/>
        <w:sz w:val="22"/>
        <w:szCs w:val="22"/>
        <w:lang w:val="es-ES"/>
      </w:rPr>
    </w:rPrDefault>
    <w:pPrDefault>
      <w:pPr>
        <w:spacing w:after="160" w:line="276" w:lineRule="auto"/>
      </w:pPr>
    </w:pPrDefault>
  </w:docDefaults>
  <w:style w:type="paragraph" w:default="1" w:styleId="Normal">
    <w:name w:val="Normal"/>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