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480" w:after="0"/>
        <w:jc w:val="center"/>
      </w:pPr>
      <w:r>
        <w:rPr>
          <w:b/>
          <w:sz w:val="28"/>
          <w:szCs w:val="28"/>
        </w:rPr>
        <w:t>MAESTRÍA EN EXPLOTACIÓN DE DATOS Y GESTIÓN DEL CONOCIMIENTO</w:t>
      </w:r>
    </w:p>
    <w:p>
      <w:pPr>
        <w:jc w:val="center"/>
      </w:pPr>
      <w:r>
        <w:rPr>
          <w:b/>
          <w:sz w:val="26"/>
          <w:szCs w:val="26"/>
        </w:rPr>
        <w:t>SEMINARIO DE TRABAJO FINAL</w:t>
      </w:r>
    </w:p>
    <w:p>
      <w:pPr>
        <w:spacing w:before="720"/>
        <w:jc w:val="center"/>
      </w:pPr>
      <w:r>
        <w:rPr>
          <w:b/>
          <w:sz w:val="32"/>
          <w:szCs w:val="32"/>
        </w:rPr>
        <w:t>TP 4.1</w:t>
      </w:r>
    </w:p>
    <w:p>
      <w:pPr>
        <w:jc w:val="center"/>
      </w:pPr>
      <w:r>
        <w:rPr>
          <w:b/>
          <w:sz w:val="32"/>
          <w:szCs w:val="32"/>
        </w:rPr>
        <w:t>Transferencia de los resultados obtenidos</w:t>
      </w:r>
    </w:p>
    <w:p>
      <w:pPr>
        <w:spacing w:before="240"/>
        <w:jc w:val="center"/>
      </w:pPr>
      <w:r>
        <w:rPr>
          <w:i/>
          <w:sz w:val="26"/>
          <w:szCs w:val="26"/>
        </w:rPr>
        <w:t>Modelos predictivos para la planificación de la producción en un cultivo hidropónico</w:t>
      </w:r>
    </w:p>
    <w:p>
      <w:pPr>
        <w:jc w:val="center"/>
      </w:pPr>
      <w:r>
        <w:t>versión 1</w:t>
      </w:r>
    </w:p>
    <w:p>
      <w:pPr>
        <w:spacing w:before="1440"/>
        <w:jc w:val="center"/>
      </w:pPr>
      <w:r>
        <w:rPr>
          <w:b/>
          <w:sz w:val="24"/>
          <w:szCs w:val="24"/>
        </w:rPr>
        <w:t>Alumno: Lucas Pessagno</w:t>
      </w:r>
    </w:p>
    <w:p>
      <w:pPr>
        <w:jc w:val="center"/>
      </w:pPr>
      <w:r>
        <w:rPr>
          <w:sz w:val="24"/>
          <w:szCs w:val="24"/>
        </w:rPr>
        <w:t>Fecha: agosto de 2026</w:t>
      </w:r>
    </w:p>
    <w:p>
      <w:pPr>
        <w:spacing w:after="0"/>
      </w:pPr>
      <w:r>
        <w:br w:type="page"/>
      </w:r>
    </w:p>
    <w:p>
      <w:pPr>
        <w:jc w:val="center"/>
      </w:pPr>
      <w:r>
        <w:rPr>
          <w:b/>
          <w:sz w:val="28"/>
          <w:szCs w:val="28"/>
        </w:rPr>
        <w:t>Desarrollo</w:t>
      </w:r>
    </w:p>
    <w:p>
      <w:r>
        <w:rPr>
          <w:b/>
          <w:sz w:val="24"/>
          <w:szCs w:val="24"/>
        </w:rPr>
        <w:t>Actividad I</w:t>
      </w:r>
    </w:p>
    <w:p>
      <w:pPr>
        <w:jc w:val="both"/>
      </w:pPr>
      <w:r>
        <w:t>Se responden las preguntas generales en formato pregunta/respuesta (aprox. 300 palabras por respuesta), citando y referenciando la bibliografía utilizada según normas APA (al menos tres citas y referencias por respuesta).</w:t>
      </w:r>
    </w:p>
    <w:p>
      <w:pPr>
        <w:spacing w:before="240"/>
      </w:pPr>
      <w:r>
        <w:rPr>
          <w:b/>
        </w:rPr>
        <w:t>1. ¿Cómo se podría ampliar el trabajo presentado a partir de las limitaciones establecidas?</w:t>
      </w:r>
    </w:p>
    <w:p>
      <w:pPr>
        <w:jc w:val="both"/>
      </w:pPr>
      <w:r>
        <w:t>El trabajo puede ampliarse en varias direcciones que surgen directamente de sus limitaciones. Una primera línea es profundizar el enriquecimiento climático. El clima observado aporta contexto pero de manera acotada y, dado que la temperatura y la precipitación figuran entre las variables más influyentes en la predicción agrícola (van Klompenburg et al., 2020), un aporte relevante sería incorporar no solo el clima registrado sino también pronósticos estacionales, evaluados de manera retrospectiva (backtesting) para no sobreestimar su utilidad antes de llevarlos a la operación.</w:t>
      </w:r>
    </w:p>
    <w:p>
      <w:pPr>
        <w:jc w:val="both"/>
      </w:pPr>
      <w:r>
        <w:t>Una segunda ampliación, especialmente valiosa para el negocio, es cuantificar la incertidumbre de las predicciones de forma rigurosa. El estudio actual reporta intervalos de confianza, pero un paso natural es adoptar la predicción conforme (conformal prediction), un marco que produce intervalos con garantías de cobertura sin supuestos distribucionales fuertes (Vovk et al., 2005; Angelopoulos &amp; Bates, 2023). Pasar de un valor puntual a un intervalo calibrado permitiría planificar con el riesgo explícito —por ejemplo, comprometer entregas con un margen de seguridad conocido— en lugar de confiar en una estimación sin medida de su confiabilidad.</w:t>
      </w:r>
    </w:p>
    <w:p>
      <w:pPr>
        <w:jc w:val="both"/>
      </w:pPr>
      <w:r>
        <w:t>Una tercera línea es sumar variables de la propia planta, que el estudio actual no registra. La literatura muestra que las mediciones morfológicas —número de hojas, dimensiones o imágenes de la cobertura vegetal— son de los predictores más potentes del rendimiento (Mokhtar et al., 2022). Incorporarlas, aunque sea con baja frecuencia, podría elevar de manera sustancial la capacidad predictiva, en particular para la estimación temprana que hoy es necesariamente gruesa.</w:t>
      </w:r>
    </w:p>
    <w:p>
      <w:pPr>
        <w:jc w:val="both"/>
      </w:pPr>
      <w:r>
        <w:t>Finalmente, otras dos extensiones acompañan a las anteriores: incorporar datos de otras instalaciones y cultivos mediante transferencia de aprendizaje, para mejorar la generalización más allá de una única operación (Wang et al., 2018), y seguir acumulando cosechas para robustecer la evaluación a la escala real de la muestra (Roberts et al., 2017), avanzando además desde las asociaciones estadísticas hacia diseños que habiliten inferencia causal.</w:t>
      </w:r>
    </w:p>
    <w:p>
      <w:pPr>
        <w:spacing w:before="240"/>
      </w:pPr>
      <w:r>
        <w:rPr>
          <w:b/>
        </w:rPr>
        <w:t>2. ¿Qué aplicaciones prácticas tendría la investigación fuera del ámbito de la solución?</w:t>
      </w:r>
    </w:p>
    <w:p>
      <w:pPr>
        <w:jc w:val="both"/>
      </w:pPr>
      <w:r>
        <w:t>Más allá de la planificación hidropónica, la metodología del trabajo tiene aplicaciones en campos que, a primera vista, no están relacionados. El núcleo transferible es el encuadre de un proceso que transcurre en el tiempo y culmina en un evento, cuya ocurrencia se re-estima a medida que se acumula información. Ese mismo esquema es el de la estimación de vida útil remanente (RUL) en el mantenimiento predictivo industrial, donde se predice cuánto falta para la falla de una máquina a partir de su historia de operación (Lei et al., 2018). El paralelo es directo: “tiempo hasta la cosecha” y “tiempo hasta la falla” son el mismo problema de tiempo al evento, y las recomendaciones sobre factores accionables se corresponden con la optimización de condiciones de operación para prolongar la vida del equipo.</w:t>
      </w:r>
    </w:p>
    <w:p>
      <w:pPr>
        <w:jc w:val="both"/>
      </w:pPr>
      <w:r>
        <w:t>El origen mismo de estas técnicas está en el análisis de supervivencia clínico, donde se estima el tiempo hasta un evento de salud y se actualiza la predicción con biomarcadores medidos repetidamente (Ishwaran et al., 2008; Rizopoulos, 2011). Las herramientas que este trabajo adapta —bosques de supervivencia, landmarking, predicción dinámica— provienen de la medicina y la bioestadística, lo que evidencia el carácter transversal del enfoque.</w:t>
      </w:r>
    </w:p>
    <w:p>
      <w:pPr>
        <w:jc w:val="both"/>
      </w:pPr>
      <w:r>
        <w:t>De manera más general, cualquier proceso por lotes con una trayectoria que termina en un evento —fermentaciones, procesos de manufactura, estimación de tiempos de entrega en logística— puede beneficiarse del mismo tratamiento: modelar la trayectoria, re-estimar el evento y validar respetando la estructura de los datos. Así, los resultados no solo sirven a la producción de alimentos, sino que aportan un caso replicable de cómo llevar la predicción dinámica de eventos, madura en otras disciplinas, a un dominio productivo nuevo.</w:t>
      </w:r>
    </w:p>
    <w:p>
      <w:pPr>
        <w:spacing w:before="360"/>
        <w:jc w:val="center"/>
      </w:pPr>
      <w:r>
        <w:rPr>
          <w:b/>
          <w:sz w:val="26"/>
          <w:szCs w:val="26"/>
        </w:rPr>
        <w:t>Referencias bibliográficas</w:t>
      </w:r>
    </w:p>
    <w:p>
      <w:pPr>
        <w:ind w:left="567" w:hanging="567"/>
        <w:jc w:val="both"/>
      </w:pPr>
      <w:r>
        <w:t>Angelopoulos, A. N., &amp; Bates, S. (2023). Conformal prediction: A gentle introduction. </w:t>
      </w:r>
      <w:r>
        <w:rPr>
          <w:i/>
        </w:rPr>
        <w:t>Foundations and Trends in Machine Learning, 16</w:t>
      </w:r>
      <w:r>
        <w:t>(4), 494-591. https://doi.org/10.1561/2200000101</w:t>
      </w:r>
    </w:p>
    <w:p>
      <w:pPr>
        <w:ind w:left="567" w:hanging="567"/>
        <w:jc w:val="both"/>
      </w:pPr>
      <w:r>
        <w:t>Ishwaran, H., Kogalur, U. B., Blackstone, E. H., &amp; Lauer, M. S. (2008). Random survival forests. </w:t>
      </w:r>
      <w:r>
        <w:rPr>
          <w:i/>
        </w:rPr>
        <w:t>The Annals of Applied Statistics, 2</w:t>
      </w:r>
      <w:r>
        <w:t>(3), 841-860. https://doi.org/10.1214/08-AOAS169</w:t>
      </w:r>
    </w:p>
    <w:p>
      <w:pPr>
        <w:ind w:left="567" w:hanging="567"/>
        <w:jc w:val="both"/>
      </w:pPr>
      <w:r>
        <w:t>Lei, Y., Li, N., Guo, L., Li, N., Yan, T., &amp; Lin, J. (2018). Machinery health prognostics: A systematic review from data acquisition to RUL prediction. </w:t>
      </w:r>
      <w:r>
        <w:rPr>
          <w:i/>
        </w:rPr>
        <w:t>Mechanical Systems and Signal Processing, 104</w:t>
      </w:r>
      <w:r>
        <w:t>, 799-834. https://doi.org/10.1016/j.ymssp.2017.11.016</w:t>
      </w:r>
    </w:p>
    <w:p>
      <w:pPr>
        <w:ind w:left="567" w:hanging="567"/>
        <w:jc w:val="both"/>
      </w:pPr>
      <w:r>
        <w:t>Mokhtar, A., El-Ssawy, W., He, H., Al-Anasari, N., Sammen, S. Sh., Gyasi-Agyei, Y., &amp; Abuarab, M. (2022). Using machine learning models to predict hydroponically grown lettuce yield. </w:t>
      </w:r>
      <w:r>
        <w:rPr>
          <w:i/>
        </w:rPr>
        <w:t>Frontiers in Plant Science, 13</w:t>
      </w:r>
      <w:r>
        <w:t>, 706042. https://doi.org/10.3389/fpls.2022.706042</w:t>
      </w:r>
    </w:p>
    <w:p>
      <w:pPr>
        <w:ind w:left="567" w:hanging="567"/>
        <w:jc w:val="both"/>
      </w:pPr>
      <w:r>
        <w:t>Rizopoulos, D. (2011). Dynamic predictions and prospective accuracy in joint models for longitudinal and time-to-event data. </w:t>
      </w:r>
      <w:r>
        <w:rPr>
          <w:i/>
        </w:rPr>
        <w:t>Biometrics, 67</w:t>
      </w:r>
      <w:r>
        <w:t>(3), 819-829. https://doi.org/10.1111/j.1541-0420.2010.01546.x</w:t>
      </w:r>
    </w:p>
    <w:p>
      <w:pPr>
        <w:ind w:left="567" w:hanging="567"/>
        <w:jc w:val="both"/>
      </w:pPr>
      <w:r>
        <w:t>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i/>
        </w:rPr>
        <w:t>Ecography, 40</w:t>
      </w:r>
      <w:r>
        <w:t>(8), 913-929. https://doi.org/10.1111/ecog.02881</w:t>
      </w:r>
    </w:p>
    <w:p>
      <w:pPr>
        <w:ind w:left="567" w:hanging="567"/>
        <w:jc w:val="both"/>
      </w:pPr>
      <w:r>
        <w:t>van Klompenburg, T., Kassahun, A., &amp; Catal, C. (2020). Crop yield prediction using machine learning: A systematic literature review. </w:t>
      </w:r>
      <w:r>
        <w:rPr>
          <w:i/>
        </w:rPr>
        <w:t>Computers and Electronics in Agriculture, 177</w:t>
      </w:r>
      <w:r>
        <w:t>, 105709. https://doi.org/10.1016/j.compag.2020.105709</w:t>
      </w:r>
    </w:p>
    <w:p>
      <w:pPr>
        <w:ind w:left="567" w:hanging="567"/>
        <w:jc w:val="both"/>
      </w:pPr>
      <w:r>
        <w:t>Vovk, V., Gammerman, A., &amp; Shafer, G. (2005). </w:t>
      </w:r>
      <w:r>
        <w:rPr>
          <w:i/>
        </w:rPr>
        <w:t>Algorithmic learning in a random world.</w:t>
      </w:r>
      <w:r>
        <w:t> Springer.</w:t>
      </w:r>
    </w:p>
    <w:p>
      <w:pPr>
        <w:ind w:left="567" w:hanging="567"/>
        <w:jc w:val="both"/>
      </w:pPr>
      <w:r>
        <w:t>Wang, A. X., Tran, C., Desai, N., Lobell, D., &amp; Ermon, S. (2018). Deep transfer learning for crop yield prediction with remote sensing data. En </w:t>
      </w:r>
      <w:r>
        <w:rPr>
          <w:i/>
        </w:rPr>
        <w:t>Proceedings of the 1st ACM SIGCAS Conference on Computing and Sustainable Societies (COMPASS ’18)</w:t>
      </w:r>
      <w:r>
        <w:t> (artículo 50). ACM. https://doi.org/10.1145/3209811.3212707</w:t>
      </w:r>
    </w:p>
    <w:p>
      <w:pPr>
        <w:spacing w:after="0"/>
      </w:pPr>
      <w:r>
        <w:br w:type="page"/>
      </w:r>
    </w:p>
    <w:p>
      <w:r>
        <w:rPr>
          <w:b/>
          <w:sz w:val="24"/>
          <w:szCs w:val="24"/>
        </w:rPr>
        <w:t>Control de citas y palabras</w:t>
      </w:r>
    </w:p>
    <w:tbl>
      <w:tblPr>
        <w:tblStyle w:val="TableGrid"/>
        <w:tblW w:w="0" w:type="auto"/>
      </w:tblPr>
      <w:tblGrid>
        <w:gridCol w:w="5360"/>
        <w:gridCol w:w="2000"/>
        <w:gridCol w:w="2000"/>
      </w:tblGrid>
      <w:tr>
        <w:tc>
          <w:tcPr>
            <w:shd w:val="clear" w:color="auto" w:fill="D9D9D9"/>
          </w:tcPr>
          <w:p>
            <w:r>
              <w:rPr>
                <w:b/>
              </w:rPr>
              <w:t>Pregunta</w:t>
            </w:r>
          </w:p>
        </w:tc>
        <w:tc>
          <w:tcPr>
            <w:shd w:val="clear" w:color="auto" w:fill="D9D9D9"/>
          </w:tcPr>
          <w:p>
            <w:pPr>
              <w:jc w:val="center"/>
            </w:pPr>
            <w:r>
              <w:rPr>
                <w:b/>
              </w:rPr>
              <w:t>Citas</w:t>
            </w:r>
          </w:p>
        </w:tc>
        <w:tc>
          <w:tcPr>
            <w:shd w:val="clear" w:color="auto" w:fill="D9D9D9"/>
          </w:tcPr>
          <w:p>
            <w:pPr>
              <w:jc w:val="center"/>
            </w:pPr>
            <w:r>
              <w:rPr>
                <w:b/>
              </w:rPr>
              <w:t>Palabras</w:t>
            </w:r>
          </w:p>
        </w:tc>
      </w:tr>
      <w:tr>
        <w:tc>
          <w:p>
            <w:r>
              <w:t>1. ¿Cómo se podría ampliar el trabajo a partir de las limitaciones?</w:t>
            </w:r>
          </w:p>
        </w:tc>
        <w:tc>
          <w:p>
            <w:pPr>
              <w:jc w:val="center"/>
            </w:pPr>
            <w:r>
              <w:t>6</w:t>
            </w:r>
          </w:p>
        </w:tc>
        <w:tc>
          <w:p>
            <w:pPr>
              <w:jc w:val="center"/>
            </w:pPr>
            <w:r>
              <w:t>≈ 300</w:t>
            </w:r>
          </w:p>
        </w:tc>
      </w:tr>
      <w:tr>
        <w:tc>
          <w:p>
            <w:r>
              <w:t>2. ¿Qué aplicaciones tendría fuera del ámbito de la solución?</w:t>
            </w:r>
          </w:p>
        </w:tc>
        <w:tc>
          <w:p>
            <w:pPr>
              <w:jc w:val="center"/>
            </w:pPr>
            <w:r>
              <w:t>3</w:t>
            </w:r>
          </w:p>
        </w:tc>
        <w:tc>
          <w:p>
            <w:pPr>
              <w:jc w:val="center"/>
            </w:pPr>
            <w:r>
              <w:t>≈ 300</w:t>
            </w:r>
          </w:p>
        </w:tc>
      </w:tr>
    </w:tbl>
    <w:p>
      <w:pPr>
        <w:spacing w:before="360"/>
      </w:pPr>
      <w:r>
        <w:rPr>
          <w:b/>
          <w:sz w:val="24"/>
          <w:szCs w:val="24"/>
        </w:rPr>
        <w:t>Control de referencias</w:t>
      </w:r>
    </w:p>
    <w:tbl>
      <w:tblPr>
        <w:tblStyle w:val="TableGrid"/>
        <w:tblW w:w="0" w:type="auto"/>
      </w:tblPr>
      <w:tblGrid>
        <w:gridCol w:w="6000"/>
        <w:gridCol w:w="1680"/>
        <w:gridCol w:w="1680"/>
      </w:tblGrid>
      <w:tr>
        <w:tc>
          <w:tcPr>
            <w:shd w:val="clear" w:color="auto" w:fill="D9D9D9"/>
          </w:tcPr>
          <w:p>
            <w:r>
              <w:rPr>
                <w:b/>
              </w:rPr>
              <w:t>Tipo de fuente</w:t>
            </w:r>
          </w:p>
        </w:tc>
        <w:tc>
          <w:tcPr>
            <w:shd w:val="clear" w:color="auto" w:fill="D9D9D9"/>
          </w:tcPr>
          <w:p>
            <w:pPr>
              <w:jc w:val="center"/>
            </w:pPr>
            <w:r>
              <w:rPr>
                <w:b/>
              </w:rPr>
              <w:t>Cantidad</w:t>
            </w:r>
          </w:p>
        </w:tc>
        <w:tc>
          <w:tcPr>
            <w:shd w:val="clear" w:color="auto" w:fill="D9D9D9"/>
          </w:tcPr>
          <w:p>
            <w:pPr>
              <w:jc w:val="center"/>
            </w:pPr>
            <w:r>
              <w:rPr>
                <w:b/>
              </w:rPr>
              <w:t>¿Campos completos?</w:t>
            </w:r>
          </w:p>
        </w:tc>
      </w:tr>
      <w:tr>
        <w:tc>
          <w:p>
            <w:r>
              <w:t>Artículo en revistas</w:t>
            </w:r>
          </w:p>
        </w:tc>
        <w:tc>
          <w:p>
            <w:pPr>
              <w:jc w:val="center"/>
            </w:pPr>
            <w:r>
              <w:t>7</w:t>
            </w:r>
          </w:p>
        </w:tc>
        <w:tc>
          <w:p>
            <w:pPr>
              <w:jc w:val="center"/>
            </w:pPr>
            <w:r>
              <w:t>Sí</w:t>
            </w:r>
          </w:p>
        </w:tc>
      </w:tr>
      <w:tr>
        <w:tc>
          <w:p>
            <w:r>
              <w:t>Artículo en congresos</w:t>
            </w:r>
          </w:p>
        </w:tc>
        <w:tc>
          <w:p>
            <w:pPr>
              <w:jc w:val="center"/>
            </w:pPr>
            <w:r>
              <w:t>1</w:t>
            </w:r>
          </w:p>
        </w:tc>
        <w:tc>
          <w:p>
            <w:pPr>
              <w:jc w:val="center"/>
            </w:pPr>
            <w:r>
              <w:t>Sí</w:t>
            </w:r>
          </w:p>
        </w:tc>
      </w:tr>
      <w:tr>
        <w:tc>
          <w:p>
            <w:r>
              <w:t>Libros</w:t>
            </w:r>
          </w:p>
        </w:tc>
        <w:tc>
          <w:p>
            <w:pPr>
              <w:jc w:val="center"/>
            </w:pPr>
            <w:r>
              <w:t>1</w:t>
            </w:r>
          </w:p>
        </w:tc>
        <w:tc>
          <w:p>
            <w:pPr>
              <w:jc w:val="center"/>
            </w:pPr>
            <w:r>
              <w:t>Sí</w:t>
            </w:r>
          </w:p>
        </w:tc>
      </w:tr>
      <w:tr>
        <w:tc>
          <w:p>
            <w:r>
              <w:t>Tesis / Páginas web</w:t>
            </w:r>
          </w:p>
        </w:tc>
        <w:tc>
          <w:p>
            <w:pPr>
              <w:jc w:val="center"/>
            </w:pPr>
            <w:r>
              <w:t>0</w:t>
            </w:r>
          </w:p>
        </w:tc>
        <w:tc>
          <w:p>
            <w:pPr>
              <w:jc w:val="center"/>
            </w:pPr>
            <w:r>
              <w:t>—</w:t>
            </w:r>
          </w:p>
        </w:tc>
      </w:tr>
      <w:tr>
        <w:tc>
          <w:tcPr>
            <w:shd w:val="clear" w:color="auto" w:fill="F2F2F2"/>
          </w:tcPr>
          <w:p>
            <w:r>
              <w:rPr>
                <w:b/>
              </w:rPr>
              <w:t>Total</w:t>
            </w:r>
          </w:p>
        </w:tc>
        <w:tc>
          <w:tcPr>
            <w:shd w:val="clear" w:color="auto" w:fill="F2F2F2"/>
          </w:tcPr>
          <w:p>
            <w:pPr>
              <w:jc w:val="center"/>
            </w:pPr>
            <w:r>
              <w:rPr>
                <w:b/>
              </w:rPr>
              <w:t>9</w:t>
            </w:r>
          </w:p>
        </w:tc>
        <w:tc>
          <w:tcPr>
            <w:shd w:val="clear" w:color="auto" w:fill="F2F2F2"/>
          </w:tcPr>
          <w:p>
            <w:pPr>
              <w:jc w:val="center"/>
            </w:pPr>
            <w:r>
              <w:rPr>
                <w:b/>
              </w:rPr>
              <w:t>Sí</w:t>
            </w:r>
          </w:p>
        </w:tc>
      </w:tr>
    </w:tbl>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Calibri" w:hAnsi="Calibri" w:cs="Calibri"/>
        <w:sz w:val="22"/>
        <w:szCs w:val="22"/>
        <w:lang w:val="es-ES"/>
      </w:rPr>
    </w:rPrDefault>
    <w:pPrDefault>
      <w:pPr>
        <w:spacing w:after="160" w:line="276" w:lineRule="auto"/>
      </w:pPr>
    </w:pPrDefault>
  </w:docDefaults>
  <w:style w:type="paragraph" w:default="1" w:styleId="Normal">
    <w:name w:val="Normal"/>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