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480" w:after="0"/>
        <w:jc w:val="center"/>
      </w:pPr>
      <w:r>
        <w:rPr>
          <w:b/>
          <w:sz w:val="28"/>
          <w:szCs w:val="28"/>
        </w:rPr>
        <w:t>MAESTRÍA EN EXPLOTACIÓN DE DATOS Y GESTIÓN DEL CONOCIMIENTO</w:t>
      </w:r>
    </w:p>
    <w:p>
      <w:pPr>
        <w:jc w:val="center"/>
      </w:pPr>
      <w:r>
        <w:rPr>
          <w:b/>
          <w:sz w:val="26"/>
          <w:szCs w:val="26"/>
        </w:rPr>
        <w:t>SEMINARIO DE TRABAJO FINAL</w:t>
      </w:r>
    </w:p>
    <w:p>
      <w:pPr>
        <w:spacing w:before="720"/>
        <w:jc w:val="center"/>
      </w:pPr>
      <w:r>
        <w:rPr>
          <w:b/>
          <w:sz w:val="32"/>
          <w:szCs w:val="32"/>
        </w:rPr>
        <w:t>TP 4.2</w:t>
      </w:r>
    </w:p>
    <w:p>
      <w:pPr>
        <w:jc w:val="center"/>
      </w:pPr>
      <w:r>
        <w:rPr>
          <w:b/>
          <w:sz w:val="32"/>
          <w:szCs w:val="32"/>
        </w:rPr>
        <w:t>Trabajos relacionados</w:t>
      </w:r>
    </w:p>
    <w:p>
      <w:pPr>
        <w:spacing w:before="240"/>
        <w:jc w:val="center"/>
      </w:pPr>
      <w:r>
        <w:rPr>
          <w:i/>
          <w:sz w:val="26"/>
          <w:szCs w:val="26"/>
        </w:rPr>
        <w:t>Modelos predictivos para la planificación de la producción en un cultivo hidropónico</w:t>
      </w:r>
    </w:p>
    <w:p>
      <w:pPr>
        <w:jc w:val="center"/>
      </w:pPr>
      <w:r>
        <w:t>versión 1</w:t>
      </w:r>
    </w:p>
    <w:p>
      <w:pPr>
        <w:spacing w:before="1440"/>
        <w:jc w:val="center"/>
      </w:pPr>
      <w:r>
        <w:rPr>
          <w:b/>
          <w:sz w:val="24"/>
          <w:szCs w:val="24"/>
        </w:rPr>
        <w:t>Alumno: Lucas Pessagno</w:t>
      </w:r>
    </w:p>
    <w:p>
      <w:pPr>
        <w:jc w:val="center"/>
      </w:pPr>
      <w:r>
        <w:rPr>
          <w:sz w:val="24"/>
          <w:szCs w:val="24"/>
        </w:rPr>
        <w:t>Fecha: agosto de 2026</w:t>
      </w:r>
    </w:p>
    <w:p>
      <w:pPr>
        <w:spacing w:after="0"/>
      </w:pPr>
      <w:r>
        <w:br w:type="page"/>
      </w:r>
    </w:p>
    <w:p>
      <w:pPr>
        <w:jc w:val="center"/>
      </w:pPr>
      <w:r>
        <w:rPr>
          <w:b/>
          <w:sz w:val="28"/>
          <w:szCs w:val="28"/>
        </w:rPr>
        <w:t>Desarrollo</w:t>
      </w:r>
    </w:p>
    <w:p>
      <w:r>
        <w:rPr>
          <w:b/>
          <w:sz w:val="24"/>
          <w:szCs w:val="24"/>
        </w:rPr>
        <w:t>Actividad I — Trabajos relacionados (primera versión)</w:t>
      </w:r>
    </w:p>
    <w:p>
      <w:pPr>
        <w:jc w:val="both"/>
      </w:pPr>
      <w:r>
        <w:t>Primera versión de la sección “trabajos relacionados” del trabajo final, en formato pregunta/respuesta (aprox. 200 palabras por respuesta), con al menos cuatro citas y referencias según normas APA.</w:t>
      </w:r>
    </w:p>
    <w:p>
      <w:pPr>
        <w:spacing w:before="240"/>
      </w:pPr>
      <w:r>
        <w:rPr>
          <w:b/>
        </w:rPr>
        <w:t>1. ¿Qué trabajos abordan el problema central?</w:t>
      </w:r>
    </w:p>
    <w:p>
      <w:pPr>
        <w:jc w:val="both"/>
      </w:pPr>
      <w:r>
        <w:t>El problema central —anticipar con datos cuándo estará lista una cosecha y planificar la producción— fue abordado por varios trabajos recientes. El más directo es el de Liu et al. (2022), que predice el tiempo de cosecha combinando selección de variables y redes de memoria de largo plazo sobre datos reales de producción y clima, y muestra que la precisión mejora al acercarse el evento. En el terreno hidropónico, Mokhtar et al. (2022) compararon varios modelos de aprendizaje automático para predecir el rendimiento de lechuga con datos del propio sistema, y Mamatha y Kavitha (2023) integraron sensores y modelos para gestionar el crecimiento en invernaderos. A nivel de panorama, la revisión sistemática de van Klompenburg et al. (2020) confirma que la predicción de rendimiento con aprendizaje automático es un campo consolidado. La lectura conjunta revela un límite compartido: la mayoría estima el rendimiento como una magnitud estática al final del ciclo, y solo Liu et al. (2022) se aproxima a la re-estimación temporal, aunque sin el encuadre de tiempo al evento por cosecha que adopta este trabajo. Ese vacío delimita el alcance del estudio actual.</w:t>
      </w:r>
    </w:p>
    <w:p>
      <w:pPr>
        <w:spacing w:before="240"/>
      </w:pPr>
      <w:r>
        <w:rPr>
          <w:b/>
        </w:rPr>
        <w:t>2. ¿Qué trabajos abordan problemas relacionados?</w:t>
      </w:r>
    </w:p>
    <w:p>
      <w:pPr>
        <w:jc w:val="both"/>
      </w:pPr>
      <w:r>
        <w:t>Alrededor del problema central existen trabajos que tratan aspectos periféricos pero conectados. Las revisiones de Liakos et al. (2018) y de Kamilaris y Prenafeta-Boldú (2018) describen el uso de aprendizaje automático y profundo en agricultura para tareas vecinas —detección de enfermedades, manejo del agua, reconocimiento de estados del cultivo— y advierten que el aprendizaje profundo, aunque potente, depende de grandes volúmenes de datos. En cuanto al dominio, Kozai et al. (2015) sistematizan la agricultura de ambiente controlado y las plantas fábrica como sistemas altamente instrumentados, lo que enmarca el tipo de datos con el que se trabaja. En el plano regional, la tesis de Gómez Arango (2024) aplica modelos de aprendizaje automático a la predicción de rendimiento de cultivos, mostrando el interés local por el tema. Estos trabajos no atacan directamente el tiempo de cosecha, pero aportan contexto sobre las variables, los métodos y las limitaciones del campo. En particular, la advertencia sobre la dependencia de datos del aprendizaje profundo respalda una decisión central del estudio actual: elegir modelos acordes a una muestra acotada.</w:t>
      </w:r>
    </w:p>
    <w:p>
      <w:pPr>
        <w:spacing w:before="240"/>
      </w:pPr>
      <w:r>
        <w:rPr>
          <w:b/>
        </w:rPr>
        <w:t>3. ¿Qué trabajos identificaron previamente el problema?</w:t>
      </w:r>
    </w:p>
    <w:p>
      <w:pPr>
        <w:jc w:val="both"/>
      </w:pPr>
      <w:r>
        <w:t>La necesidad de anticipar resultados productivos con datos fue reconocida de manera progresiva por la literatura. Las revisiones de Liakos et al. (2018) y de Kamilaris y Prenafeta-Boldú (2018) ya señalaban, hacia fines de la década pasada, que la agricultura genera grandes volúmenes de datos poco aprovechados y que el aprendizaje automático podía convertirlos en apoyo a la decisión. Poco después, van Klompenburg et al. (2020) formalizaron el estado del arte de la predicción de rendimiento en una revisión sistemática, identificando las variables y algoritmos dominantes y, con ello, los problemas aún abiertos. Más recientemente, trabajos específicos como el de Mokhtar et al. (2022) llevaron el problema al terreno hidropónico concreto. Esta evolución muestra un desplazamiento: de la constatación general de que los datos agrícolas son valiosos, a la predicción de rendimiento como tarea establecida, y de ahí hacia problemas más finos —como el tiempo de cosecha— que todavía están poco explorados. El estudio actual se inserta en el último tramo de esa trayectoria.</w:t>
      </w:r>
    </w:p>
    <w:p>
      <w:pPr>
        <w:spacing w:before="240"/>
      </w:pPr>
      <w:r>
        <w:rPr>
          <w:b/>
        </w:rPr>
        <w:t>4. ¿Qué trabajos utilizaron la misma metodología para un problema similar?</w:t>
      </w:r>
    </w:p>
    <w:p>
      <w:pPr>
        <w:jc w:val="both"/>
      </w:pPr>
      <w:r>
        <w:t>La metodología que adopta este trabajo —modelar el tiempo hasta un evento y re-estimarlo de forma dinámica— tiene una tradición sólida fuera de la agricultura. En estadística y medicina, Ishwaran et al. (2008) introdujeron los bosques de supervivencia aleatorios para datos censurados, y van Houwelingen (2007) y Rizopoulos (2011) formalizaron la predicción dinámica mediante landmarking y modelos conjuntos, actualizando la estimación a partir de mediciones longitudinales. En ingeniería, Lei et al. (2018) revisan cómo esa misma lógica de tiempo al evento se aplica a la estimación de vida útil remanente de maquinaria. La contrastación es reveladora: estas técnicas están maduras y validadas en sus dominios, pero se aplican sobre pacientes o equipos, no sobre cosechas, y su validación rara vez enfrenta el problema de la escala de muestra agrupada que aquí es central. El aporte del estudio actual es, precisamente, adaptar ese instrumental consolidado —hasta donde se relevó, por primera vez— a la estimación del tiempo de cosecha en un cultivo hidropónico real, respetando la independencia por cosecha en la evaluación.</w:t>
      </w:r>
    </w:p>
    <w:p>
      <w:pPr>
        <w:spacing w:before="360"/>
        <w:jc w:val="center"/>
      </w:pPr>
      <w:r>
        <w:rPr>
          <w:b/>
          <w:sz w:val="26"/>
          <w:szCs w:val="26"/>
        </w:rPr>
        <w:t>Referencias bibliográficas</w:t>
      </w:r>
    </w:p>
    <w:p>
      <w:pPr>
        <w:ind w:left="567" w:hanging="567"/>
        <w:jc w:val="both"/>
      </w:pPr>
      <w:r>
        <w:t>Gómez Arango, A. M. (2024). </w:t>
      </w:r>
      <w:r>
        <w:rPr>
          <w:i/>
        </w:rPr>
        <w:t>Predicción del rendimiento de cultivos agrícolas en los cinco corregimientos de la ciudad de Medellín, utilizando modelos de Machine Learning</w:t>
      </w:r>
      <w:r>
        <w:t> [Tesis de maestría, Universidad EAFIT]. Repositorio Institucional Universidad EAFIT, Medellín. https://repository.eafit.edu.co/items/8ee9e51b-a6e1-48d6-8f25-328d5781f139</w:t>
      </w:r>
    </w:p>
    <w:p>
      <w:pPr>
        <w:ind w:left="567" w:hanging="567"/>
        <w:jc w:val="both"/>
      </w:pPr>
      <w:r>
        <w:t>Ishwaran, H., Kogalur, U. B., Blackstone, E. H., &amp; Lauer, M. S. (2008). Random survival forests. </w:t>
      </w:r>
      <w:r>
        <w:rPr>
          <w:i/>
        </w:rPr>
        <w:t>The Annals of Applied Statistics, 2</w:t>
      </w:r>
      <w:r>
        <w:t>(3), 841-860. https://doi.org/10.1214/08-AOAS169</w:t>
      </w:r>
    </w:p>
    <w:p>
      <w:pPr>
        <w:ind w:left="567" w:hanging="567"/>
        <w:jc w:val="both"/>
      </w:pPr>
      <w:r>
        <w:t>Kamilaris, A., &amp; Prenafeta-Boldú, F. X. (2018). Deep learning in agriculture: A survey. </w:t>
      </w:r>
      <w:r>
        <w:rPr>
          <w:i/>
        </w:rPr>
        <w:t>Computers and Electronics in Agriculture, 147</w:t>
      </w:r>
      <w:r>
        <w:t>, 70-90. https://doi.org/10.1016/j.compag.2018.02.016</w:t>
      </w:r>
    </w:p>
    <w:p>
      <w:pPr>
        <w:ind w:left="567" w:hanging="567"/>
        <w:jc w:val="both"/>
      </w:pPr>
      <w:r>
        <w:t>Kozai, T., Niu, G., &amp; Takagaki, M. (2015). </w:t>
      </w:r>
      <w:r>
        <w:rPr>
          <w:i/>
        </w:rPr>
        <w:t>Plant factory: An indoor vertical farming system for efficient quality food production.</w:t>
      </w:r>
      <w:r>
        <w:t> Academic Press.</w:t>
      </w:r>
    </w:p>
    <w:p>
      <w:pPr>
        <w:ind w:left="567" w:hanging="567"/>
        <w:jc w:val="both"/>
      </w:pPr>
      <w:r>
        <w:t>Lei, Y., Li, N., Guo, L., Li, N., Yan, T., &amp; Lin, J. (2018). Machinery health prognostics: A systematic review from data acquisition to RUL prediction. </w:t>
      </w:r>
      <w:r>
        <w:rPr>
          <w:i/>
        </w:rPr>
        <w:t>Mechanical Systems and Signal Processing, 104</w:t>
      </w:r>
      <w:r>
        <w:t>, 799-834. https://doi.org/10.1016/j.ymssp.2017.11.016</w:t>
      </w:r>
    </w:p>
    <w:p>
      <w:pPr>
        <w:ind w:left="567" w:hanging="567"/>
        <w:jc w:val="both"/>
      </w:pPr>
      <w:r>
        <w:t>Liakos, K. G., Busato, P., Moshou, D., Pearson, S., &amp; Bochtis, D. (2018). Machine learning in agriculture: A review. </w:t>
      </w:r>
      <w:r>
        <w:rPr>
          <w:i/>
        </w:rPr>
        <w:t>Sensors, 18</w:t>
      </w:r>
      <w:r>
        <w:t>(8), 2674. https://doi.org/10.3390/s18082674</w:t>
      </w:r>
    </w:p>
    <w:p>
      <w:pPr>
        <w:ind w:left="567" w:hanging="567"/>
        <w:jc w:val="both"/>
      </w:pPr>
      <w:r>
        <w:t>Liu, S.-C., Jian, Q.-Y., Wen, H.-Y., &amp; Chung, C.-H. (2022). A crop harvest time prediction model for better sustainability, integrating feature selection and artificial intelligence methods. </w:t>
      </w:r>
      <w:r>
        <w:rPr>
          <w:i/>
        </w:rPr>
        <w:t>Sustainability, 14</w:t>
      </w:r>
      <w:r>
        <w:t>(21), 14101. https://doi.org/10.3390/su142114101</w:t>
      </w:r>
    </w:p>
    <w:p>
      <w:pPr>
        <w:ind w:left="567" w:hanging="567"/>
        <w:jc w:val="both"/>
      </w:pPr>
      <w:r>
        <w:t>Mamatha, V., &amp; Kavitha, J. C. (2023). Machine learning based crop growth management in greenhouse environment using hydroponics farming techniques. </w:t>
      </w:r>
      <w:r>
        <w:rPr>
          <w:i/>
        </w:rPr>
        <w:t>Measurement: Sensors, 25</w:t>
      </w:r>
      <w:r>
        <w:t>, 100665. https://doi.org/10.1016/j.measen.2023.100665</w:t>
      </w:r>
    </w:p>
    <w:p>
      <w:pPr>
        <w:ind w:left="567" w:hanging="567"/>
        <w:jc w:val="both"/>
      </w:pPr>
      <w:r>
        <w:t>Mokhtar, A., El-Ssawy, W., He, H., Al-Anasari, N., Sammen, S. Sh., Gyasi-Agyei, Y., &amp; Abuarab, M. (2022). Using machine learning models to predict hydroponically grown lettuce yield. </w:t>
      </w:r>
      <w:r>
        <w:rPr>
          <w:i/>
        </w:rPr>
        <w:t>Frontiers in Plant Science, 13</w:t>
      </w:r>
      <w:r>
        <w:t>, 706042. https://doi.org/10.3389/fpls.2022.706042</w:t>
      </w:r>
    </w:p>
    <w:p>
      <w:pPr>
        <w:ind w:left="567" w:hanging="567"/>
        <w:jc w:val="both"/>
      </w:pPr>
      <w:r>
        <w:t>Rizopoulos, D. (2011). Dynamic predictions and prospective accuracy in joint models for longitudinal and time-to-event data. </w:t>
      </w:r>
      <w:r>
        <w:rPr>
          <w:i/>
        </w:rPr>
        <w:t>Biometrics, 67</w:t>
      </w:r>
      <w:r>
        <w:t>(3), 819-829. https://doi.org/10.1111/j.1541-0420.2010.01546.x</w:t>
      </w:r>
    </w:p>
    <w:p>
      <w:pPr>
        <w:ind w:left="567" w:hanging="567"/>
        <w:jc w:val="both"/>
      </w:pPr>
      <w:r>
        <w:t>van Houwelingen, H. C. (2007). Dynamic prediction by landmarking in event history analysis. </w:t>
      </w:r>
      <w:r>
        <w:rPr>
          <w:i/>
        </w:rPr>
        <w:t>Scandinavian Journal of Statistics, 34</w:t>
      </w:r>
      <w:r>
        <w:t>(1), 70-85. https://doi.org/10.1111/j.1467-9469.2006.00529.x</w:t>
      </w:r>
    </w:p>
    <w:p>
      <w:pPr>
        <w:ind w:left="567" w:hanging="567"/>
        <w:jc w:val="both"/>
      </w:pPr>
      <w:r>
        <w:t>van Klompenburg, T., Kassahun, A., &amp; Catal, C. (2020). Crop yield prediction using machine learning: A systematic literature review. </w:t>
      </w:r>
      <w:r>
        <w:rPr>
          <w:i/>
        </w:rPr>
        <w:t>Computers and Electronics in Agriculture, 177</w:t>
      </w:r>
      <w:r>
        <w:t>, 105709. https://doi.org/10.1016/j.compag.2020.105709</w:t>
      </w:r>
    </w:p>
    <w:p>
      <w:pPr>
        <w:spacing w:after="0"/>
      </w:pPr>
      <w:r>
        <w:br w:type="page"/>
      </w:r>
    </w:p>
    <w:p>
      <w:r>
        <w:rPr>
          <w:b/>
          <w:sz w:val="24"/>
          <w:szCs w:val="24"/>
        </w:rPr>
        <w:t>Control de citas y palabras</w:t>
      </w:r>
    </w:p>
    <w:tbl>
      <w:tblPr>
        <w:tblStyle w:val="TableGrid"/>
        <w:tblW w:w="0" w:type="auto"/>
      </w:tblPr>
      <w:tblGrid>
        <w:gridCol w:w="5360"/>
        <w:gridCol w:w="2000"/>
        <w:gridCol w:w="2000"/>
      </w:tblGrid>
      <w:tr>
        <w:tc>
          <w:tcPr>
            <w:shd w:val="clear" w:color="auto" w:fill="D9D9D9"/>
          </w:tcPr>
          <w:p>
            <w:r>
              <w:rPr>
                <w:b/>
              </w:rPr>
              <w:t>Pregunta</w:t>
            </w:r>
          </w:p>
        </w:tc>
        <w:tc>
          <w:tcPr>
            <w:shd w:val="clear" w:color="auto" w:fill="D9D9D9"/>
          </w:tcPr>
          <w:p>
            <w:pPr>
              <w:jc w:val="center"/>
            </w:pPr>
            <w:r>
              <w:rPr>
                <w:b/>
              </w:rPr>
              <w:t>Citas</w:t>
            </w:r>
          </w:p>
        </w:tc>
        <w:tc>
          <w:tcPr>
            <w:shd w:val="clear" w:color="auto" w:fill="D9D9D9"/>
          </w:tcPr>
          <w:p>
            <w:pPr>
              <w:jc w:val="center"/>
            </w:pPr>
            <w:r>
              <w:rPr>
                <w:b/>
              </w:rPr>
              <w:t>Palabras</w:t>
            </w:r>
          </w:p>
        </w:tc>
      </w:tr>
      <w:tr>
        <w:tc>
          <w:p>
            <w:r>
              <w:t>1. ¿Qué trabajos abordan el problema central?</w:t>
            </w:r>
          </w:p>
        </w:tc>
        <w:tc>
          <w:p>
            <w:pPr>
              <w:jc w:val="center"/>
            </w:pPr>
            <w:r>
              <w:t>4</w:t>
            </w:r>
          </w:p>
        </w:tc>
        <w:tc>
          <w:p>
            <w:pPr>
              <w:jc w:val="center"/>
            </w:pPr>
            <w:r>
              <w:t>≈ 200</w:t>
            </w:r>
          </w:p>
        </w:tc>
      </w:tr>
      <w:tr>
        <w:tc>
          <w:p>
            <w:r>
              <w:t>2. ¿Qué trabajos abordan problemas relacionados?</w:t>
            </w:r>
          </w:p>
        </w:tc>
        <w:tc>
          <w:p>
            <w:pPr>
              <w:jc w:val="center"/>
            </w:pPr>
            <w:r>
              <w:t>4</w:t>
            </w:r>
          </w:p>
        </w:tc>
        <w:tc>
          <w:p>
            <w:pPr>
              <w:jc w:val="center"/>
            </w:pPr>
            <w:r>
              <w:t>≈ 200</w:t>
            </w:r>
          </w:p>
        </w:tc>
      </w:tr>
      <w:tr>
        <w:tc>
          <w:p>
            <w:r>
              <w:t>3. ¿Qué trabajos identificaron previamente el problema?</w:t>
            </w:r>
          </w:p>
        </w:tc>
        <w:tc>
          <w:p>
            <w:pPr>
              <w:jc w:val="center"/>
            </w:pPr>
            <w:r>
              <w:t>4</w:t>
            </w:r>
          </w:p>
        </w:tc>
        <w:tc>
          <w:p>
            <w:pPr>
              <w:jc w:val="center"/>
            </w:pPr>
            <w:r>
              <w:t>≈ 200</w:t>
            </w:r>
          </w:p>
        </w:tc>
      </w:tr>
      <w:tr>
        <w:tc>
          <w:p>
            <w:r>
              <w:t>4. ¿Qué trabajos usaron la misma metodología?</w:t>
            </w:r>
          </w:p>
        </w:tc>
        <w:tc>
          <w:p>
            <w:pPr>
              <w:jc w:val="center"/>
            </w:pPr>
            <w:r>
              <w:t>4</w:t>
            </w:r>
          </w:p>
        </w:tc>
        <w:tc>
          <w:p>
            <w:pPr>
              <w:jc w:val="center"/>
            </w:pPr>
            <w:r>
              <w:t>≈ 210</w:t>
            </w:r>
          </w:p>
        </w:tc>
      </w:tr>
    </w:tbl>
    <w:p>
      <w:pPr>
        <w:spacing w:before="360"/>
      </w:pPr>
      <w:r>
        <w:rPr>
          <w:b/>
          <w:sz w:val="24"/>
          <w:szCs w:val="24"/>
        </w:rPr>
        <w:t>Control de referencias</w:t>
      </w:r>
    </w:p>
    <w:tbl>
      <w:tblPr>
        <w:tblStyle w:val="TableGrid"/>
        <w:tblW w:w="0" w:type="auto"/>
      </w:tblPr>
      <w:tblGrid>
        <w:gridCol w:w="6000"/>
        <w:gridCol w:w="1680"/>
        <w:gridCol w:w="1680"/>
      </w:tblGrid>
      <w:tr>
        <w:tc>
          <w:tcPr>
            <w:shd w:val="clear" w:color="auto" w:fill="D9D9D9"/>
          </w:tcPr>
          <w:p>
            <w:r>
              <w:rPr>
                <w:b/>
              </w:rPr>
              <w:t>Tipo de fuente</w:t>
            </w:r>
          </w:p>
        </w:tc>
        <w:tc>
          <w:tcPr>
            <w:shd w:val="clear" w:color="auto" w:fill="D9D9D9"/>
          </w:tcPr>
          <w:p>
            <w:pPr>
              <w:jc w:val="center"/>
            </w:pPr>
            <w:r>
              <w:rPr>
                <w:b/>
              </w:rPr>
              <w:t>Cantidad</w:t>
            </w:r>
          </w:p>
        </w:tc>
        <w:tc>
          <w:tcPr>
            <w:shd w:val="clear" w:color="auto" w:fill="D9D9D9"/>
          </w:tcPr>
          <w:p>
            <w:pPr>
              <w:jc w:val="center"/>
            </w:pPr>
            <w:r>
              <w:rPr>
                <w:b/>
              </w:rPr>
              <w:t>¿Campos completos?</w:t>
            </w:r>
          </w:p>
        </w:tc>
      </w:tr>
      <w:tr>
        <w:tc>
          <w:p>
            <w:r>
              <w:t>Artículo en revistas</w:t>
            </w:r>
          </w:p>
        </w:tc>
        <w:tc>
          <w:p>
            <w:pPr>
              <w:jc w:val="center"/>
            </w:pPr>
            <w:r>
              <w:t>10</w:t>
            </w:r>
          </w:p>
        </w:tc>
        <w:tc>
          <w:p>
            <w:pPr>
              <w:jc w:val="center"/>
            </w:pPr>
            <w:r>
              <w:t>Sí</w:t>
            </w:r>
          </w:p>
        </w:tc>
      </w:tr>
      <w:tr>
        <w:tc>
          <w:p>
            <w:r>
              <w:t>Artículo en congresos</w:t>
            </w:r>
          </w:p>
        </w:tc>
        <w:tc>
          <w:p>
            <w:pPr>
              <w:jc w:val="center"/>
            </w:pPr>
            <w:r>
              <w:t>0</w:t>
            </w:r>
          </w:p>
        </w:tc>
        <w:tc>
          <w:p>
            <w:pPr>
              <w:jc w:val="center"/>
            </w:pPr>
            <w:r>
              <w:t>—</w:t>
            </w:r>
          </w:p>
        </w:tc>
      </w:tr>
      <w:tr>
        <w:tc>
          <w:p>
            <w:r>
              <w:t>Libros</w:t>
            </w:r>
          </w:p>
        </w:tc>
        <w:tc>
          <w:p>
            <w:pPr>
              <w:jc w:val="center"/>
            </w:pPr>
            <w:r>
              <w:t>1</w:t>
            </w:r>
          </w:p>
        </w:tc>
        <w:tc>
          <w:p>
            <w:pPr>
              <w:jc w:val="center"/>
            </w:pPr>
            <w:r>
              <w:t>Sí</w:t>
            </w:r>
          </w:p>
        </w:tc>
      </w:tr>
      <w:tr>
        <w:tc>
          <w:p>
            <w:r>
              <w:t>Tesis</w:t>
            </w:r>
          </w:p>
        </w:tc>
        <w:tc>
          <w:p>
            <w:pPr>
              <w:jc w:val="center"/>
            </w:pPr>
            <w:r>
              <w:t>1</w:t>
            </w:r>
          </w:p>
        </w:tc>
        <w:tc>
          <w:p>
            <w:pPr>
              <w:jc w:val="center"/>
            </w:pPr>
            <w:r>
              <w:t>Sí</w:t>
            </w:r>
          </w:p>
        </w:tc>
      </w:tr>
      <w:tr>
        <w:tc>
          <w:p>
            <w:r>
              <w:t>Páginas web / Otros</w:t>
            </w:r>
          </w:p>
        </w:tc>
        <w:tc>
          <w:p>
            <w:pPr>
              <w:jc w:val="center"/>
            </w:pPr>
            <w:r>
              <w:t>0</w:t>
            </w:r>
          </w:p>
        </w:tc>
        <w:tc>
          <w:p>
            <w:pPr>
              <w:jc w:val="center"/>
            </w:pPr>
            <w:r>
              <w:t>—</w:t>
            </w:r>
          </w:p>
        </w:tc>
      </w:tr>
      <w:tr>
        <w:tc>
          <w:tcPr>
            <w:shd w:val="clear" w:color="auto" w:fill="F2F2F2"/>
          </w:tcPr>
          <w:p>
            <w:r>
              <w:rPr>
                <w:b/>
              </w:rPr>
              <w:t>Total</w:t>
            </w:r>
          </w:p>
        </w:tc>
        <w:tc>
          <w:tcPr>
            <w:shd w:val="clear" w:color="auto" w:fill="F2F2F2"/>
          </w:tcPr>
          <w:p>
            <w:pPr>
              <w:jc w:val="center"/>
            </w:pPr>
            <w:r>
              <w:rPr>
                <w:b/>
              </w:rPr>
              <w:t>12</w:t>
            </w:r>
          </w:p>
        </w:tc>
        <w:tc>
          <w:tcPr>
            <w:shd w:val="clear" w:color="auto" w:fill="F2F2F2"/>
          </w:tcPr>
          <w:p>
            <w:pPr>
              <w:jc w:val="center"/>
            </w:pPr>
            <w:r>
              <w:rPr>
                <w:b/>
              </w:rPr>
              <w:t>Sí</w:t>
            </w:r>
          </w:p>
        </w:tc>
      </w:tr>
    </w:tbl>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es-ES"/>
      </w:rPr>
    </w:rPrDefault>
    <w:pPrDefault>
      <w:pPr>
        <w:spacing w:after="160" w:line="276" w:lineRule="auto"/>
      </w:pPr>
    </w:pPrDefault>
  </w:docDefaults>
  <w:style w:type="paragraph" w:default="1" w:styleId="Normal">
    <w:name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