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Methods section</w:t>
      </w:r>
    </w:p>
    <w:p>
      <w:pPr>
        <w:pStyle w:val="SourceCode"/>
      </w:pPr>
      <w:r>
        <w:rPr>
          <w:rStyle w:val="NormalTok"/>
        </w:rPr>
        <w:t xml:space="preserve">number_of_simulations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We developed an individual-based susceptible-exposed-infectious-recovered (SEIR) transmission model to assess the impact of indoor air quality interventions on airborne pathogen transmission.</w:t>
      </w:r>
      <w:r>
        <w:t xml:space="preserve"> </w:t>
      </w:r>
      <w:r>
        <w:t xml:space="preserve">The model simulates disease spread across a synthetic population distributed among households, schools, workplaces, leisure venues, and community settings.</w:t>
      </w:r>
    </w:p>
    <w:bookmarkEnd w:id="20"/>
    <w:bookmarkStart w:id="21" w:name="population-structure-and-data-sources"/>
    <w:p>
      <w:pPr>
        <w:pStyle w:val="Heading2"/>
      </w:pPr>
      <w:r>
        <w:t xml:space="preserve">Population structure and data sources</w:t>
      </w:r>
    </w:p>
    <w:p>
      <w:pPr>
        <w:pStyle w:val="FirstParagraph"/>
      </w:pPr>
      <w:r>
        <w:t xml:space="preserve">We simulated a population of individuals stratified into three age groups: children, adults, and elderly.</w:t>
      </w:r>
      <w:r>
        <w:t xml:space="preserve"> </w:t>
      </w:r>
      <w:r>
        <w:t xml:space="preserve">Household sizes and age composition were sampled from a 2010 San Francisco synthetic population produced by RTI International.</w:t>
      </w:r>
      <w:r>
        <w:t xml:space="preserve"> </w:t>
      </w:r>
      <w:r>
        <w:t xml:space="preserve">School enrollment sizes were sampled from U.S. National Center for Education Statistics 2019–2020 data.</w:t>
      </w:r>
      <w:r>
        <w:t xml:space="preserve"> </w:t>
      </w:r>
      <w:r>
        <w:t xml:space="preserve">Workplace sizes were sampled from a truncated offset power law distribution</w:t>
      </w:r>
      <w:r>
        <w:t xml:space="preserve"> </w:t>
      </w:r>
      <w:r>
        <w:t xml:space="preserve">(Ferguson et al. 2005)</w:t>
      </w:r>
      <w:r>
        <w:t xml:space="preserve">.</w:t>
      </w:r>
      <w:r>
        <w:t xml:space="preserve"> </w:t>
      </w:r>
      <w:r>
        <w:t xml:space="preserve">Leisure venue capacities were sampled from a negative binomial distribution, and weekly visit frequencies were sampled from a Poisson distribution.</w:t>
      </w:r>
    </w:p>
    <w:bookmarkEnd w:id="21"/>
    <w:bookmarkStart w:id="22" w:name="transmission-dynamics"/>
    <w:p>
      <w:pPr>
        <w:pStyle w:val="Heading2"/>
      </w:pPr>
      <w:r>
        <w:t xml:space="preserve">Transmission dynamics</w:t>
      </w:r>
    </w:p>
    <w:p>
      <w:pPr>
        <w:pStyle w:val="FirstParagraph"/>
      </w:pPr>
      <w:r>
        <w:t xml:space="preserve">The force of infection (FOI) experienced by an individual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was decomposed across locations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 settings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λ</m:t>
              </m:r>
            </m:e>
            <m:sub>
              <m:r>
                <m:t>i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  <m:r>
                <m:rPr>
                  <m:sty m:val="p"/>
                </m:rPr>
                <m:t>,</m:t>
              </m:r>
              <m:r>
                <m:t>s</m:t>
              </m:r>
            </m:sub>
            <m:sup>
              <m:r>
                <m:t>​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s</m:t>
                  </m:r>
                </m:sub>
              </m:sSub>
            </m:e>
          </m:nary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modelled the location- and setting- specific FOI as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λ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,</m:t>
              </m:r>
              <m:r>
                <m:t>s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β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s</m:t>
                  </m:r>
                </m:sub>
              </m:sSub>
              <m:sSub>
                <m:e>
                  <m:r>
                    <m:t>I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s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s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I</m:t>
            </m:r>
          </m:e>
          <m:sub>
            <m:r>
              <m:t>j</m:t>
            </m:r>
            <m:r>
              <m:rPr>
                <m:sty m:val="p"/>
              </m:rPr>
              <m:t>,</m:t>
            </m:r>
            <m:r>
              <m:t>s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is the number of infectious individuals in location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setting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  <m:r>
              <m:rPr>
                <m:sty m:val="p"/>
              </m:rPr>
              <m:t>,</m:t>
            </m:r>
            <m:r>
              <m:t>s</m:t>
            </m:r>
          </m:sub>
        </m:sSub>
      </m:oMath>
      <w:r>
        <w:t xml:space="preserve"> </w:t>
      </w:r>
      <w:r>
        <w:t xml:space="preserve">is the total occupancy,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  <m:r>
              <m:rPr>
                <m:sty m:val="p"/>
              </m:rPr>
              <m:t>,</m:t>
            </m:r>
            <m:r>
              <m:t>s</m:t>
            </m:r>
          </m:sub>
        </m:sSub>
        <m:r>
          <m:rPr>
            <m:sty m:val="p"/>
          </m:rPr>
          <m:t>=</m:t>
        </m:r>
        <m:sSub>
          <m:e>
            <m:r>
              <m:t>γ</m:t>
            </m:r>
          </m:e>
          <m:sub>
            <m:r>
              <m:t>j</m:t>
            </m:r>
            <m:r>
              <m:rPr>
                <m:sty m:val="p"/>
              </m:rPr>
              <m:t>,</m:t>
            </m:r>
            <m:r>
              <m:t>s</m:t>
            </m:r>
          </m:sub>
        </m:sSub>
        <m:sSub>
          <m:e>
            <m:r>
              <m:t>β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a transmissibility parameter.</w:t>
      </w:r>
      <w:r>
        <w:t xml:space="preserve"> </w:t>
      </w:r>
      <w:r>
        <w:t xml:space="preserve">The term</w:t>
      </w:r>
      <w:r>
        <w:t xml:space="preserve"> </w:t>
      </w:r>
      <m:oMath>
        <m:sSub>
          <m:e>
            <m:r>
              <m:t>β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represents a setting-average transmissibility, while</w:t>
      </w:r>
      <w:r>
        <w:t xml:space="preserve"> </w:t>
      </w:r>
      <m:oMath>
        <m:sSub>
          <m:e>
            <m:r>
              <m:t>γ</m:t>
            </m:r>
          </m:e>
          <m:sub>
            <m:r>
              <m:t>j</m:t>
            </m:r>
            <m:r>
              <m:rPr>
                <m:sty m:val="p"/>
              </m:rPr>
              <m:t>,</m:t>
            </m:r>
            <m:r>
              <m:t>s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Lognormal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>
              <m:e>
                <m:r>
                  <m:t>σ</m:t>
                </m:r>
              </m:e>
              <m:sub>
                <m:r>
                  <m:t>s</m:t>
                </m:r>
              </m:sub>
            </m:sSub>
          </m:e>
        </m:d>
      </m:oMath>
      <w:r>
        <w:t xml:space="preserve"> </w:t>
      </w:r>
      <w:r>
        <w:t xml:space="preserve">captures within-setting heterogeneity in transmission risk arising from variation in ventilation rates and occupancy density.</w:t>
      </w:r>
    </w:p>
    <w:p>
      <w:pPr>
        <w:pStyle w:val="BodyText"/>
      </w:pPr>
      <w:r>
        <w:t xml:space="preserve">We set between-setting transmission rate ratios to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rPr>
                  <m:nor/>
                  <m:sty m:val="p"/>
                </m:rPr>
                <m:t>household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β</m:t>
              </m:r>
            </m:e>
            <m:sub>
              <m:r>
                <m:rPr>
                  <m:nor/>
                  <m:sty m:val="p"/>
                </m:rPr>
                <m:t>school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β</m:t>
              </m:r>
            </m:e>
            <m:sub>
              <m:r>
                <m:rPr>
                  <m:nor/>
                  <m:sty m:val="p"/>
                </m:rPr>
                <m:t>workplace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β</m:t>
              </m:r>
            </m:e>
            <m:sub>
              <m:r>
                <m:rPr>
                  <m:nor/>
                  <m:sty m:val="p"/>
                </m:rPr>
                <m:t>leisure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β</m:t>
              </m:r>
            </m:e>
            <m:sub>
              <m:r>
                <m:rPr>
                  <m:nor/>
                  <m:sty m:val="p"/>
                </m:rPr>
                <m:t>community</m:t>
              </m:r>
            </m:sub>
          </m:sSub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:</m:t>
          </m:r>
          <m:r>
            <m:t>3</m:t>
          </m:r>
          <m:r>
            <m:rPr>
              <m:sty m:val="p"/>
            </m:rPr>
            <m:t>:</m:t>
          </m:r>
          <m:r>
            <m:t>3</m:t>
          </m:r>
          <m:r>
            <m:rPr>
              <m:sty m:val="p"/>
            </m:rPr>
            <m:t>:</m:t>
          </m:r>
          <m:r>
            <m:t>3</m:t>
          </m:r>
          <m:r>
            <m:rPr>
              <m:sty m:val="p"/>
            </m:rPr>
            <m:t>:</m:t>
          </m:r>
          <m:r>
            <m:t>1</m:t>
          </m:r>
        </m:oMath>
      </m:oMathPara>
    </w:p>
    <w:p>
      <w:pPr>
        <w:pStyle w:val="FirstParagraph"/>
      </w:pPr>
      <w:r>
        <w:t xml:space="preserve">based on empirical data on transmission location.</w:t>
      </w:r>
      <w:r>
        <w:t xml:space="preserve"> </w:t>
      </w:r>
      <w:r>
        <w:t xml:space="preserve">The sum of</w:t>
      </w:r>
      <w:r>
        <w:t xml:space="preserve"> </w:t>
      </w:r>
      <m:oMath>
        <m:sSub>
          <m:e>
            <m:r>
              <m:t>β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values were scaled to achieve target effective reproduction numbers for specific pathogen archetypes.</w:t>
      </w:r>
    </w:p>
    <w:bookmarkEnd w:id="22"/>
    <w:bookmarkStart w:id="23" w:name="within-setting-heterogeneity"/>
    <w:p>
      <w:pPr>
        <w:pStyle w:val="Heading2"/>
      </w:pPr>
      <w:r>
        <w:t xml:space="preserve">Within-setting heterogeneity</w:t>
      </w:r>
    </w:p>
    <w:p>
      <w:pPr>
        <w:pStyle w:val="FirstParagraph"/>
      </w:pPr>
      <w:r>
        <w:t xml:space="preserve">To parameterize within-setting variation</w:t>
      </w:r>
      <w:r>
        <w:t xml:space="preserve"> </w:t>
      </w:r>
      <m:oMath>
        <m:sSub>
          <m:e>
            <m:r>
              <m:t>σ</m:t>
            </m:r>
          </m:e>
          <m:sub>
            <m:r>
              <m:t>s</m:t>
            </m:r>
          </m:sub>
        </m:sSub>
      </m:oMath>
      <w:r>
        <w:t xml:space="preserve">, we modeled airborne pathogen concentration</w:t>
      </w:r>
      <w:r>
        <w:t xml:space="preserve"> </w:t>
      </w:r>
      <m:oMath>
        <m:r>
          <m:t>C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using an ordinary differential equation</w:t>
      </w:r>
    </w:p>
    <w:p>
      <w:pPr>
        <w:pStyle w:val="BodyText"/>
      </w:pPr>
      <m:oMathPara>
        <m:oMathParaPr>
          <m:jc m:val="center"/>
        </m:oMathParaPr>
        <m:oMath>
          <m:r>
            <m:t>ν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d</m:t>
              </m:r>
              <m:r>
                <m:t>C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</m:num>
            <m:den>
              <m:r>
                <m:rPr>
                  <m:nor/>
                  <m:sty m:val="p"/>
                </m:rP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Q</m:t>
          </m:r>
          <m:r>
            <m:t>C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t>D</m:t>
              </m:r>
            </m:sub>
          </m:sSub>
          <m:r>
            <m:t>ν</m:t>
          </m:r>
          <m:r>
            <m:t>C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+</m:t>
          </m:r>
          <m:r>
            <m:t>I</m:t>
          </m:r>
          <m:r>
            <m:t>π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room volume,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air flow rate,</w:t>
      </w:r>
      <w:r>
        <w:t xml:space="preserve"> </w:t>
      </w:r>
      <m:oMath>
        <m:sSub>
          <m:e>
            <m:r>
              <m:t>k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0.64</m:t>
        </m:r>
        <m:sSup>
          <m:e>
            <m:r>
              <m:rPr>
                <m:nor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pathogen decay constant, and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27</m:t>
        </m:r>
      </m:oMath>
      <w:r>
        <w:t xml:space="preserve"> </w:t>
      </w:r>
      <w:r>
        <w:t xml:space="preserve">virions per person per hour is the emission rate.</w:t>
      </w:r>
      <w:r>
        <w:t xml:space="preserve"> </w:t>
      </w:r>
      <w:r>
        <w:t xml:space="preserve">We assumed room volume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N</m:t>
        </m:r>
        <m:sSub>
          <m:e>
            <m:r>
              <m:t>D</m:t>
            </m:r>
          </m:e>
          <m:sub>
            <m:r>
              <m:t>s</m:t>
            </m:r>
          </m:sub>
        </m:sSub>
        <m:r>
          <m:t>H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2.5</m:t>
        </m:r>
        <m:r>
          <m:rPr>
            <m:nor/>
            <m:sty m:val="p"/>
          </m:rP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represents setting-specific occupancy density (persons per</w:t>
      </w:r>
      <w:r>
        <w:t xml:space="preserve"> </w:t>
      </w:r>
      <m:oMath>
        <m:r>
          <m:t>100</m:t>
        </m:r>
        <m:sSup>
          <m:e>
            <m:r>
              <m:rPr>
                <m:nor/>
                <m:sty m:val="p"/>
              </m:rPr>
              <m:t>m</m:t>
            </m:r>
          </m:e>
          <m:sup>
            <m:r>
              <m:t>2</m:t>
            </m:r>
          </m:sup>
        </m:sSup>
      </m:oMath>
      <w:r>
        <w:t xml:space="preserve">):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nor/>
                <m:sty m:val="p"/>
              </m:rPr>
              <m:t>household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nor/>
                <m:sty m:val="p"/>
              </m:rPr>
              <m:t>school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nor/>
                <m:sty m:val="p"/>
              </m:rPr>
              <m:t>workplace</m:t>
            </m:r>
          </m:sub>
        </m:sSub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nor/>
                <m:sty m:val="p"/>
              </m:rPr>
              <m:t>leisure</m:t>
            </m:r>
          </m:sub>
        </m:sSub>
        <m:r>
          <m:rPr>
            <m:sty m:val="p"/>
          </m:rPr>
          <m:t>=</m:t>
        </m:r>
        <m:r>
          <m:t>50</m:t>
        </m:r>
      </m:oMath>
      <w:r>
        <w:t xml:space="preserve">.</w:t>
      </w:r>
    </w:p>
    <w:p>
      <w:pPr>
        <w:pStyle w:val="BodyText"/>
      </w:pPr>
      <w:r>
        <w:t xml:space="preserve">The Wells-Riley equation gives individual infection probability after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 concentration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exp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t>r</m:t>
              </m:r>
              <m:r>
                <m:t>B</m:t>
              </m:r>
              <m:r>
                <m:t>C</m:t>
              </m:r>
              <m:r>
                <m:t>t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breathing rate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0.45</m:t>
        </m:r>
        <m:sSup>
          <m:e>
            <m:r>
              <m:rPr>
                <m:nor/>
                <m:sty m:val="p"/>
              </m:rPr>
              <m:t>m</m:t>
            </m:r>
          </m:e>
          <m:sup>
            <m:r>
              <m:t>3</m:t>
            </m:r>
          </m:sup>
        </m:sSup>
        <m:sSup>
          <m:e>
            <m:r>
              <m:rPr>
                <m:nor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 infection probability per virion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1.37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We calculated upper and lower bounds of infection probability using setting-specific ranges of air changes per hour, and assuming individuals spend 12 hours in households, 8 hours in schools/workplaces, 2.5 hours at leisure venues, and 1.5 hours in community settings.</w:t>
      </w:r>
      <w:r>
        <w:t xml:space="preserve"> </w:t>
      </w:r>
      <w:r>
        <w:t xml:space="preserve">A lognormal distribution was fitted to the upper and lower infection probabilities bounds to determine</w:t>
      </w:r>
      <w:r>
        <w:t xml:space="preserve"> </w:t>
      </w:r>
      <m:oMath>
        <m:sSub>
          <m:e>
            <m:r>
              <m:t>σ</m:t>
            </m:r>
          </m:e>
          <m:sub>
            <m:r>
              <m:t>s</m:t>
            </m:r>
          </m:sub>
        </m:sSub>
      </m:oMath>
      <w:r>
        <w:t xml:space="preserve">.</w:t>
      </w:r>
    </w:p>
    <w:bookmarkEnd w:id="23"/>
    <w:bookmarkStart w:id="24" w:name="pathogen-archetypes"/>
    <w:p>
      <w:pPr>
        <w:pStyle w:val="Heading2"/>
      </w:pPr>
      <w:r>
        <w:t xml:space="preserve">Pathogen archetypes</w:t>
      </w:r>
    </w:p>
    <w:p>
      <w:pPr>
        <w:pStyle w:val="FirstParagraph"/>
      </w:pPr>
      <w:r>
        <w:t xml:space="preserve">We simulated two pathogen archetypes approximating influenza (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≈</m:t>
        </m:r>
        <m:r>
          <m:t>1.5</m:t>
        </m:r>
      </m:oMath>
      <w:r>
        <w:t xml:space="preserve">) and SARS-CoV-2 (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≈</m:t>
        </m:r>
        <m:r>
          <m:t>2.5</m:t>
        </m:r>
      </m:oMath>
      <w:r>
        <w:t xml:space="preserve">).</w:t>
      </w:r>
      <w:r>
        <w:t xml:space="preserve"> </w:t>
      </w:r>
      <w:r>
        <w:t xml:space="preserve">Setting-specific transmissibility parameters were calibrated using the</w:t>
      </w:r>
      <w:r>
        <w:t xml:space="preserve"> </w:t>
      </w:r>
      <w:r>
        <w:rPr>
          <w:rStyle w:val="VerbatimChar"/>
        </w:rPr>
        <w:t xml:space="preserve">finalsize</w:t>
      </w:r>
      <w:r>
        <w:t xml:space="preserve"> </w:t>
      </w:r>
      <w:r>
        <w:t xml:space="preserve">R package to reproduce epidemic final sizes corresponding to each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Latent and infectious periods were set to approximate each pathogen’s natural history.</w:t>
      </w:r>
    </w:p>
    <w:bookmarkEnd w:id="24"/>
    <w:bookmarkStart w:id="25" w:name="air-quality-interventions"/>
    <w:p>
      <w:pPr>
        <w:pStyle w:val="Heading2"/>
      </w:pPr>
      <w:r>
        <w:t xml:space="preserve">Air quality interventions</w:t>
      </w:r>
    </w:p>
    <w:p>
      <w:pPr>
        <w:pStyle w:val="FirstParagraph"/>
      </w:pPr>
      <w:r>
        <w:t xml:space="preserve">Air quality interventions (AQIs) were assumed to reduce the location-specific FOI multiplicatively by efficacy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,</m:t>
            </m:r>
            <m:r>
              <m:t>s</m:t>
            </m:r>
          </m:sub>
        </m:sSub>
      </m:oMath>
      <w:r>
        <w:t xml:space="preserve"> </w:t>
      </w:r>
      <w:r>
        <w:t xml:space="preserve">according to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λ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,</m:t>
              </m:r>
              <m:r>
                <m:t>s</m:t>
              </m:r>
            </m:sub>
            <m:sup>
              <m:r>
                <m:rPr>
                  <m:nor/>
                  <m:sty m:val="p"/>
                </m:rPr>
                <m:t>AQI</m:t>
              </m:r>
            </m:sup>
          </m:sSubSup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E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s</m:t>
                  </m:r>
                </m:sub>
              </m:sSub>
            </m:e>
          </m:d>
          <m:r>
            <m:rPr>
              <m:sty m:val="p"/>
            </m:rPr>
            <m:t>×</m:t>
          </m:r>
          <m:sSub>
            <m:e>
              <m:r>
                <m:t>λ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,</m:t>
              </m:r>
              <m:r>
                <m:t>s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evaluated intervention strategies varying by efficacy, coverage level, and allocation strategy (random vs. targeted to highest-risk locations within each setting type).</w:t>
      </w:r>
    </w:p>
    <w:bookmarkEnd w:id="25"/>
    <w:bookmarkStart w:id="28" w:name="simulation-study"/>
    <w:p>
      <w:pPr>
        <w:pStyle w:val="Heading2"/>
      </w:pPr>
      <w:r>
        <w:t xml:space="preserve">Simulation study</w:t>
      </w:r>
    </w:p>
    <w:p>
      <w:pPr>
        <w:pStyle w:val="FirstParagraph"/>
      </w:pPr>
      <w:r>
        <w:t xml:space="preserve">We simulated both endemic and epidemic scenarios for each pathogen archetype under multiple AQI strategies: no AQI (baseline), random allocation at varying coverage levels, and targeted allocation to highest-risk locations within each setting.</w:t>
      </w:r>
      <w:r>
        <w:t xml:space="preserve"> </w:t>
      </w:r>
      <w:r>
        <w:t xml:space="preserve">Each scenario was replicated 10 times.</w:t>
      </w:r>
    </w:p>
    <w:p>
      <w:pPr>
        <w:pStyle w:val="BodyText"/>
      </w:pPr>
      <w:r>
        <w:t xml:space="preserve">For endemic scenarios, we computed annualized disease incidence and average infection prevalence.</w:t>
      </w:r>
      <w:r>
        <w:t xml:space="preserve"> </w:t>
      </w:r>
      <w:r>
        <w:t xml:space="preserve">For epidemic scenarios, we computed epidemic final size and peak infection incidence.</w:t>
      </w:r>
    </w:p>
    <w:p>
      <w:pPr>
        <w:pStyle w:val="BodyText"/>
      </w:pPr>
      <w:r>
        <w:t xml:space="preserve">All simulations were implemented using the open-source</w:t>
      </w:r>
      <w:r>
        <w:t xml:space="preserve"> </w:t>
      </w:r>
      <w:r>
        <w:rPr>
          <w:rStyle w:val="VerbatimChar"/>
        </w:rPr>
        <w:t xml:space="preserve">helios</w:t>
      </w:r>
      <w:r>
        <w:t xml:space="preserve"> </w:t>
      </w:r>
      <w:r>
        <w:t xml:space="preserve">R package built on the</w:t>
      </w:r>
      <w:r>
        <w:t xml:space="preserve"> </w:t>
      </w:r>
      <w:r>
        <w:rPr>
          <w:rStyle w:val="VerbatimChar"/>
        </w:rPr>
        <w:t xml:space="preserve">individual</w:t>
      </w:r>
      <w:r>
        <w:t xml:space="preserve"> </w:t>
      </w:r>
      <w:r>
        <w:t xml:space="preserve">framework, with parallel computing performed using the</w:t>
      </w:r>
      <w:r>
        <w:t xml:space="preserve"> </w:t>
      </w:r>
      <w:r>
        <w:rPr>
          <w:rStyle w:val="VerbatimChar"/>
        </w:rPr>
        <w:t xml:space="preserve">hipercow</w:t>
      </w:r>
      <w:r>
        <w:t xml:space="preserve"> </w:t>
      </w:r>
      <w:r>
        <w:t xml:space="preserve">package on Imperial College London’s high-performance computing cluster.</w:t>
      </w:r>
    </w:p>
    <w:bookmarkStart w:id="27" w:name="refs"/>
    <w:bookmarkStart w:id="26" w:name="ref-ferguson2005strategies"/>
    <w:p>
      <w:pPr>
        <w:pStyle w:val="Bibliography"/>
      </w:pPr>
      <w:r>
        <w:t xml:space="preserve">Ferguson, Neil M, Derek AT Cummings, Simon Cauchemez, Christophe Fraser, Steven Riley, Aronrag Meeyai, Sopon Iamsirithaworn, and Donald S Burke. 2005.</w:t>
      </w:r>
      <w:r>
        <w:t xml:space="preserve"> </w:t>
      </w:r>
      <w:r>
        <w:t xml:space="preserve">“Strategies for Containing an Emerging Influenza Pandemic in</w:t>
      </w:r>
      <w:r>
        <w:t xml:space="preserve"> </w:t>
      </w:r>
      <w:r>
        <w:t xml:space="preserve">Southeast Asia</w:t>
      </w:r>
      <w:r>
        <w:t xml:space="preserve">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437 (7056): 209–14.</w:t>
      </w:r>
    </w:p>
    <w:bookmarkEnd w:id="26"/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Methods section</dc:title>
  <dc:creator/>
  <cp:keywords/>
  <dcterms:created xsi:type="dcterms:W3CDTF">2025-10-11T14:01:37Z</dcterms:created>
  <dcterms:modified xsi:type="dcterms:W3CDTF">2025-10-11T14:01:37Z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>references.bib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