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C2551F"/>
          <w:spacing w:val="60"/>
          <w:sz w:val="20"/>
          <w:szCs w:val="20"/>
        </w:rPr>
        <w:t xml:space="preserve">BIZNIS PLAN — VERZIJA 7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0333B"/>
          <w:sz w:val="64"/>
          <w:szCs w:val="64"/>
        </w:rPr>
        <w:t xml:space="preserve">Klik usluga</w:t>
      </w:r>
    </w:p>
    <w:p>
      <w:pPr>
        <w:spacing w:after="300"/>
      </w:pPr>
      <w:r>
        <w:rPr>
          <w:rFonts w:ascii="Calibri" w:cs="Calibri" w:eastAsia="Calibri" w:hAnsi="Calibri"/>
          <w:color w:val="0E7C86"/>
          <w:sz w:val="26"/>
          <w:szCs w:val="26"/>
        </w:rPr>
        <w:t xml:space="preserve">Digitalna platforma za zanatske usluge i usluge održavanja i čišćenja</w:t>
      </w:r>
    </w:p>
    <w:p>
      <w:pPr>
        <w:spacing w:after="140" w:line="276"/>
      </w:pPr>
      <w:r>
        <w:rPr>
          <w:rFonts w:ascii="Calibri" w:cs="Calibri" w:eastAsia="Calibri" w:hAnsi="Calibri"/>
          <w:color w:val="5B6E73"/>
          <w:sz w:val="21"/>
          <w:szCs w:val="21"/>
        </w:rPr>
        <w:t xml:space="preserve">Dokument za razgovor sa potencijalnim partnerima. Test tržište: Niš, Srbija.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B6E73"/>
          <w:sz w:val="21"/>
          <w:szCs w:val="21"/>
        </w:rPr>
        <w:t xml:space="preserve">Napomena: platforma je do sada nosila radni naziv „KlikMajstor”. Naziv je promenjen u „Klik usluga” jer čišćenje i održavanje čine ravnopravnu polovinu ponude, a stari naziv je korisnika navodio da očekuje isključivo zanatlije.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1. Rezime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Klik usluga je digitalna platforma koja povezuje zanatlije i servise za čišćenje sa korisnicima u Nišu, sa planom širenja na Beograd i druge gradove tek nakon dokazanog modela na jednom tržištu.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Suština plana u jednoj rečenici: platforma se prvo pušta besplatno dok ne stekne kritičnu masu korisnika na obe strane tržišta, a tek onda se uvodi naplata — po istoj logici po kojoj je rastao KupujemProdajem.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0333B"/>
          <w:sz w:val="21"/>
          <w:szCs w:val="21"/>
        </w:rPr>
        <w:t xml:space="preserve">Šta ovaj dokument sadrži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Fazni akcioni plan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konkretni koraci, rokovi i budžeti od validacije ideje do skaliranja.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Rešenje za „cold start” problem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kako platforma istovremeno dobija i ponudu i tražnju, pre uvođenja naplate.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Redosled monetizacije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šta se naplaćuje, kada, i zašto ne od prvog dana.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Finansijske projekcije u tri scenarija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sa jasno izdvojenim pretpostavkama, umesto jedne brojke.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Rizici i odgovori na njih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šta može da ne uspe i šta je plan u tom slučaju.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Uloge i očekivanja od partnera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šta konkretno tražimo i šta partner dobija.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Ključne brojke ukratko</w:t>
      </w:r>
    </w:p>
    <w:tbl>
      <w:tblPr>
        <w:tblW w:type="dxa" w:w="9360"/>
        <w:tblBorders>
          <w:top w:val="single" w:color="D5DEDF" w:sz="2"/>
          <w:left w:val="none" w:sz="0"/>
          <w:bottom w:val="single" w:color="D5DEDF" w:sz="2"/>
          <w:right w:val="none" w:sz="0"/>
          <w:insideH w:val="single" w:color="D5DEDF" w:sz="2"/>
          <w:insideV w:val="none" w:sz="0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Pokazatelj</w:t>
            </w:r>
          </w:p>
        </w:tc>
        <w:tc>
          <w:tcPr>
            <w:tcW w:type="dxa" w:w="376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Vrednost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Test tržište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Grad Niš — 100.274 domaćinstva (Popis 2022)</w:t>
            </w:r>
          </w:p>
        </w:tc>
      </w:tr>
      <w:tr>
        <w:tc>
          <w:tcPr>
            <w:tcW w:type="dxa" w:w="5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Realno dostupno tržište u Fazama 0–2</w:t>
            </w:r>
          </w:p>
        </w:tc>
        <w:tc>
          <w:tcPr>
            <w:tcW w:type="dxa" w:w="3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uže gradsko područje, oko 74.000 domaćinstava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Vreme do prvog prihoda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8–10 meseci od početka</w:t>
            </w:r>
          </w:p>
        </w:tc>
      </w:tr>
      <w:tr>
        <w:tc>
          <w:tcPr>
            <w:tcW w:type="dxa" w:w="5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Potrebno ulaganje u novcu (prvih 12 meseci)</w:t>
            </w:r>
          </w:p>
        </w:tc>
        <w:tc>
          <w:tcPr>
            <w:tcW w:type="dxa" w:w="3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oko 3.000–4.000 EUR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Glavno ulaganje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vreme dvoje osnivača, ne kapital</w:t>
            </w:r>
          </w:p>
        </w:tc>
      </w:tr>
      <w:tr>
        <w:tc>
          <w:tcPr>
            <w:tcW w:type="dxa" w:w="5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Ciljna bruto zarada, Faza 3–4 (Niš)</w:t>
            </w:r>
          </w:p>
        </w:tc>
        <w:tc>
          <w:tcPr>
            <w:tcW w:type="dxa" w:w="3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oko 29.700 EUR godišnje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Ciljna bruto zarada, Godina 2–3 (Niš)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oko 73.500 EUR godišnje</w:t>
            </w:r>
          </w:p>
        </w:tc>
      </w:tr>
    </w:tbl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2. Problem i prilika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Problem korisnika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Pronalaženje pouzdanog majstora ili spremačice u Srbiji danas se odvija kroz preporuke poznanika, Facebook grupe i oglasnike. Sve tri opcije imaju isti nedostatak: korisnik ne zna unapred da li je čovek pouzdan, kada može da dođe i koliko će naplatiti. Rezultat je da se posao odlaže, ili se plaća prvom slobodnom ponuđaču bez ikakve provere.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Problem izvođača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 druge strane, dobar majstor ili mali servis za čišćenje nema stabilan dotok posla. Zavisi od sezone i usmene preporuke, a nema ni vremena ni znanja da se sam oglašava na internetu. Za njega je vredan svaki kanal koji mu donosi klijenta bez ulaganja u marketing.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Prilika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Obe strane imaju problem koji platforma rešava istim potezom: strukturisano spajanje ponude i tražnje, sa profilom, ocenama i istorijom obavljenih poslova kao mehanizmom poverenja. Niš je pogodno test tržište — dovoljno veliko da postoji stalna tražnja, dovoljno malo da se ponuda može izgraditi ličnim kontaktom, bez marketinškog budžeta koji bi bio potreban u Beogradu.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Veličina tržišta</w:t>
      </w:r>
    </w:p>
    <w:tbl>
      <w:tblPr>
        <w:tblW w:type="dxa" w:w="9360"/>
        <w:tblBorders>
          <w:top w:val="single" w:color="D5DEDF" w:sz="2"/>
          <w:left w:val="none" w:sz="0"/>
          <w:bottom w:val="single" w:color="D5DEDF" w:sz="2"/>
          <w:right w:val="none" w:sz="0"/>
          <w:insideH w:val="single" w:color="D5DEDF" w:sz="2"/>
          <w:insideV w:val="none" w:sz="0"/>
        </w:tblBorders>
      </w:tblPr>
      <w:tblGrid>
        <w:gridCol w:w="2800"/>
        <w:gridCol w:w="1900"/>
        <w:gridCol w:w="4660"/>
      </w:tblGrid>
      <w:tr>
        <w:trPr>
          <w:tblHeader/>
        </w:trPr>
        <w:tc>
          <w:tcPr>
            <w:tcW w:type="dxa" w:w="28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Nivo tržišta</w:t>
            </w:r>
          </w:p>
        </w:tc>
        <w:tc>
          <w:tcPr>
            <w:tcW w:type="dxa" w:w="19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Domaćinstava</w:t>
            </w:r>
          </w:p>
        </w:tc>
        <w:tc>
          <w:tcPr>
            <w:tcW w:type="dxa" w:w="466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Grad Niš — cela administrativna teritorija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100.274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Popis 2022; 249.816 stanovnika, prosečno 2,46 člana po domaćinstvu</w:t>
            </w:r>
          </w:p>
        </w:tc>
      </w:tr>
      <w:tr>
        <w:tc>
          <w:tcPr>
            <w:tcW w:type="dxa" w:w="28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Uže gradsko područje</w:t>
            </w:r>
          </w:p>
        </w:tc>
        <w:tc>
          <w:tcPr>
            <w:tcW w:type="dxa" w:w="19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~74.000</w:t>
            </w:r>
          </w:p>
        </w:tc>
        <w:tc>
          <w:tcPr>
            <w:tcW w:type="dxa" w:w="46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Procena: 183.164 stanovnika gradskog naselja podeljeno prosečnom veličinom domaćinstva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Cilj Faze 2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500+ registrovanih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Oko 0,7% domaćinstava užeg gradskog područja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Razlika između ova dva nivoa je bitna i namerno je istaknuta. Prigradska naselja i sela ulaze u zvaničnu statistiku Grada Niša, ali u prvim fazama nisu dostupno tržište — izvođači ne izlaze rado van grada, a tražnja za uslugama poput redovnog čišćenja tamo je znatno niža. Sve projekcije u ovom dokumentu odnose se na uže gradsko područje.</w:t>
      </w:r>
    </w:p>
    <w:p>
      <w:pPr>
        <w:spacing w:after="140" w:line="276"/>
      </w:pPr>
      <w:r>
        <w:rPr>
          <w:rFonts w:ascii="Calibri" w:cs="Calibri" w:eastAsia="Calibri" w:hAnsi="Calibri"/>
          <w:color w:val="5B6E73"/>
          <w:sz w:val="18"/>
          <w:szCs w:val="18"/>
        </w:rPr>
        <w:t xml:space="preserve">Izvor: Republički zavod za statistiku, Popis stanovništva, domaćinstava i stanova 2022.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3. Rešenje — kako platforma radi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Korisnik objavljuje zahtev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 jednoj od kategorija (npr. „krečenje dvosobnog stana”, „generalno čišćenje pred useljenje”), sa opisom, lokacijom i željenim terminom.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Izvođači vide zahtev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javljaju se onima koji im odgovaraju po tipu posla i lokaciji. Korisnik bira na osnovu profila, ocena i prethodnih poslova.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Posao se dogovara direktno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između korisnika i izvođača. Platforma u prvoj fazi ne posreduje u plaćanju — to smanjuje pravnu i tehničku složenost MVP-a.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Nakon posla korisnik ostavlja ocenu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koja gradi profil izvođača. Ocene su ono što platformi daje vrednost koju Facebook grupa nema.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Ključna razlika u odnosu na oglasnik: kod oglasnika korisnik pretražuje i zove desetine brojeva. Ovde izvođači dolaze do korisnika, a poverenje je vidljivo unapred.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4. Katalog usluga — dve vertikale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Platforma namerno pokriva dve komplementarne vertikale. Zanatski poslovi imaju visoku vrednost ali nisku učestalost i izraženu sezonalnost; čišćenje ima nisku vrednost po poslu ali visoku učestalost tokom cele godine. Zajedno rešavaju problem sezonalnosti koji ubija klasične majstorske aplikacije.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A. Zanatsko-građevinski segment (visoka vrednost posla)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Krupni radovi: krečenje, gipsarski i keramičarski radovi, renoviranje kupatila, postavljanje podova, termoizolacija i fasade.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Hitne i sitne intervencije: vodoinstalaterske i električarske usluge, popravke bele tehnike, bravarske usluge.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B. Segment održavanja i čistoće (visoka frekvencija transakcija)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Redovno i generalno čišćenje stanova i kancelarija, pranje prozora, peglanje.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Dubinsko pranje nameštaja i tepiha, auto-detailing na kućnu adresu.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 Fazi 1 se ne otvaraju sve kategorije odjednom — kreće se sa tri do četiri najtraženije koje se identifikuju u Fazi 0.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5. Konkurencija i naša pozicija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Najveća greška bila bi tvrditi da konkurencije nema. Ona postoji, samo nije u obliku direktne platforme.</w:t>
      </w:r>
    </w:p>
    <w:tbl>
      <w:tblPr>
        <w:tblW w:type="dxa" w:w="9360"/>
        <w:tblBorders>
          <w:top w:val="single" w:color="D5DEDF" w:sz="2"/>
          <w:left w:val="none" w:sz="0"/>
          <w:bottom w:val="single" w:color="D5DEDF" w:sz="2"/>
          <w:right w:val="none" w:sz="0"/>
          <w:insideH w:val="single" w:color="D5DEDF" w:sz="2"/>
          <w:insideV w:val="none" w:sz="0"/>
        </w:tblBorders>
      </w:tblPr>
      <w:tblGrid>
        <w:gridCol w:w="2900"/>
        <w:gridCol w:w="3230"/>
        <w:gridCol w:w="3230"/>
      </w:tblGrid>
      <w:tr>
        <w:trPr>
          <w:tblHeader/>
        </w:trPr>
        <w:tc>
          <w:tcPr>
            <w:tcW w:type="dxa" w:w="29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 kim se zapravo takmičimo</w:t>
            </w:r>
          </w:p>
        </w:tc>
        <w:tc>
          <w:tcPr>
            <w:tcW w:type="dxa" w:w="323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Njihova prednost</w:t>
            </w:r>
          </w:p>
        </w:tc>
        <w:tc>
          <w:tcPr>
            <w:tcW w:type="dxa" w:w="323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Naša prednost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Usmena preporuka („imam ja majstora”)</w:t>
            </w:r>
          </w:p>
        </w:tc>
        <w:tc>
          <w:tcPr>
            <w:tcW w:type="dxa" w:w="3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Potpuno poverenje, nula troška</w:t>
            </w:r>
          </w:p>
        </w:tc>
        <w:tc>
          <w:tcPr>
            <w:tcW w:type="dxa" w:w="3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Dostupnost odmah, kada preporuka ne postoji ili je zauzeta</w:t>
            </w:r>
          </w:p>
        </w:tc>
      </w:tr>
      <w:tr>
        <w:tc>
          <w:tcPr>
            <w:tcW w:type="dxa" w:w="29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Facebook grupe za Niš</w:t>
            </w:r>
          </w:p>
        </w:tc>
        <w:tc>
          <w:tcPr>
            <w:tcW w:type="dxa" w:w="323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Postojeća zajednica, besplatno</w:t>
            </w:r>
          </w:p>
        </w:tc>
        <w:tc>
          <w:tcPr>
            <w:tcW w:type="dxa" w:w="323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Struktura, ocene, istorija posla — grupa nema pamćenje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Opšti oglasnici</w:t>
            </w:r>
          </w:p>
        </w:tc>
        <w:tc>
          <w:tcPr>
            <w:tcW w:type="dxa" w:w="3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Ogroman saobraćaj i prepoznatljivost</w:t>
            </w:r>
          </w:p>
        </w:tc>
        <w:tc>
          <w:tcPr>
            <w:tcW w:type="dxa" w:w="32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Specijalizacija: kategorije, filteri i profili pravljeni za usluge</w:t>
            </w:r>
          </w:p>
        </w:tc>
      </w:tr>
      <w:tr>
        <w:tc>
          <w:tcPr>
            <w:tcW w:type="dxa" w:w="29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Postojeće domaće majstorske aplikacije</w:t>
            </w:r>
          </w:p>
        </w:tc>
        <w:tc>
          <w:tcPr>
            <w:tcW w:type="dxa" w:w="323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Prednost prvog na tržištu</w:t>
            </w:r>
          </w:p>
        </w:tc>
        <w:tc>
          <w:tcPr>
            <w:tcW w:type="dxa" w:w="323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Dve vertikale umesto jedne; lokalna posvećenost jednom gradu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i/>
          <w:iCs/>
          <w:color w:val="5B6E73"/>
          <w:sz w:val="21"/>
          <w:szCs w:val="21"/>
        </w:rPr>
        <w:t xml:space="preserve">Obavezan korak pre Faze 1: napraviti pregled aktivnih domaćih i regionalnih platformi ovog tipa — kojim kategorijama pokrivaju, kako naplaćuju i koliko su prisutne u Nišu. Taj pregled ide u prilog ovog dokumenta i partner će ga tražiti.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6. Fazni akcioni plan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Redosled je namerno konzervativan: svaka faza se pokreće tek kada prethodna dostigne svoj KPI. Time se izbegava trošenje budžeta na akviziciju korisnika za platformu koja još nema šta da im ponudi.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Faza 0 — Validacija (mesec 1–2)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Cilj: dokazati da majstori i klijenti uopšte žele ovakvu uslugu, pre nego što se napiše ijedna linija koda.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Ručni „proof of concept”: Google forma, WhatsApp broj i Instagram stranica „Klik usluga Niš”.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Ručno spajanje 10–15 izvođača i 20–30 klijenata kroz lične kontakte i Facebook grupe za Niš.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Beleženje svakog razgovora: koje kategorije se najviše traže, koliko izvođač naplaćuje, koliko brzo odgovara.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Budžet: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do 100 EUR (probni oglasi i domen).</w:t>
      </w:r>
    </w:p>
    <w:p>
      <w:pPr>
        <w:shd w:fill="EAF2F3" w:val="clear"/>
        <w:spacing w:after="160" w:before="60"/>
      </w:pPr>
      <w:r>
        <w:rPr>
          <w:rFonts w:ascii="Calibri" w:cs="Calibri" w:eastAsia="Calibri" w:hAnsi="Calibri"/>
          <w:b/>
          <w:bCs/>
          <w:color w:val="10333B"/>
          <w:sz w:val="20"/>
          <w:szCs w:val="20"/>
        </w:rPr>
        <w:t xml:space="preserve">  KPI: minimum 10 ručno posredovanih i realizovanih poslova  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Faza 1 — Izgradnja MVP-a (mesec 2–4)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Cilj: funkcionalna platforma sa minimalnim skupom funkcija, i dalje potpuno besplatna za obe strane.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Samo osnovno: profil izvođača, objava zahteva klijenta, razmena kontakta i ocenjivanje — bez sistema plaćanja i kredita.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Fokus na 3–4 najtraženije kategorije identifikovane u Fazi 0, ne na svih 10+ iz kataloga.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Paralelno: registracija pravnog lica i potpisivanje osnivačkog ugovora (vidi odeljak 10).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Budžet: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oko 300 EUR (domen, hosting, alati) — razvoj se radi interno.</w:t>
      </w:r>
    </w:p>
    <w:p>
      <w:pPr>
        <w:shd w:fill="EAF2F3" w:val="clear"/>
        <w:spacing w:after="160" w:before="60"/>
      </w:pPr>
      <w:r>
        <w:rPr>
          <w:rFonts w:ascii="Calibri" w:cs="Calibri" w:eastAsia="Calibri" w:hAnsi="Calibri"/>
          <w:b/>
          <w:bCs/>
          <w:color w:val="10333B"/>
          <w:sz w:val="20"/>
          <w:szCs w:val="20"/>
        </w:rPr>
        <w:t xml:space="preserve">  KPI: platforma u produkciji i prvih 20 realnih objava zahteva bez ručne intervencije  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Faza 2 — Lansiranje i akvizicija baze (mesec 4–8)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Cilj: kritična masa korisnika na obe strane tržišta. Ovo je najteža faza i faza u kojoj većina ovakvih projekata propada.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Strana ponude (izvođači):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lična akvizicija — pozivi, zanatske grupe, građevinske pijace, veletrgovine materijalom. Potrebno je manje profila, ali kvalitetnih.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Strana tražnje (klijenti):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lokalno targetirani Facebook i Instagram oglasi za Niš, uz sadržaj sa realnim primerima obavljenih poslova.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Pravilo redosleda: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prvo ponuda, pa tražnja. Klijent koji objavi zahtev i ne dobije nijednu ponudu ne vraća se drugi put.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Budžet: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150–300 EUR mesečno za marketing, ukupno oko 1.200 EUR za fazu.</w:t>
      </w:r>
    </w:p>
    <w:p>
      <w:pPr>
        <w:shd w:fill="EAF2F3" w:val="clear"/>
        <w:spacing w:after="160" w:before="60"/>
      </w:pPr>
      <w:r>
        <w:rPr>
          <w:rFonts w:ascii="Calibri" w:cs="Calibri" w:eastAsia="Calibri" w:hAnsi="Calibri"/>
          <w:b/>
          <w:bCs/>
          <w:color w:val="10333B"/>
          <w:sz w:val="20"/>
          <w:szCs w:val="20"/>
        </w:rPr>
        <w:t xml:space="preserve">  KPI: 50–100 aktivnih izvođača, 500+ registrovanih klijenata, 100+ realizovanih poslova mesečno  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Faza 3 — Monetizacija (mesec 8–10, tek po ostvarenju KPI Faze 2)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Cilj: uvođenje naplate, postepeno i testirano.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Uvođenje lead-modela i TOP promocija; testirati nižu početnu cenu od 300 RSD po lead-u dok se ne potvrdi konverzija.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B2B pretplata za agencije za čišćenje uvodi se prva — najstabilniji je izvor prihoda.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Affiliate partnerstva sa dobavljačima materijala uvode se poslednja — zahtevaju već postojeći saobraćaj da bi imala smisla.</w:t>
      </w:r>
    </w:p>
    <w:p>
      <w:pPr>
        <w:shd w:fill="EAF2F3" w:val="clear"/>
        <w:spacing w:after="160" w:before="60"/>
      </w:pPr>
      <w:r>
        <w:rPr>
          <w:rFonts w:ascii="Calibri" w:cs="Calibri" w:eastAsia="Calibri" w:hAnsi="Calibri"/>
          <w:b/>
          <w:bCs/>
          <w:color w:val="10333B"/>
          <w:sz w:val="20"/>
          <w:szCs w:val="20"/>
        </w:rPr>
        <w:t xml:space="preserve">  KPI: prvih 10 plaćenih B2B pretplata agencija i pozitivan mesečni prihod od leadova  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Faza 4 — Skaliranje na Beograd i regiju (mesec 12+)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Cilj: širenje modela tek kada je Niš profitabilan i ponovljiv, bez svakodnevne ručne intervencije osnivača.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Priprema „priručnika za novi grad”: šta je tačno radilo u Nišu i kojim redosledom.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Razmatranje licencnog/franšiznog modela umesto sopstvenog tima po gradu.</w:t>
      </w:r>
    </w:p>
    <w:p>
      <w:pPr>
        <w:shd w:fill="EAF2F3" w:val="clear"/>
        <w:spacing w:after="160" w:before="60"/>
      </w:pPr>
      <w:r>
        <w:rPr>
          <w:rFonts w:ascii="Calibri" w:cs="Calibri" w:eastAsia="Calibri" w:hAnsi="Calibri"/>
          <w:b/>
          <w:bCs/>
          <w:color w:val="10333B"/>
          <w:sz w:val="20"/>
          <w:szCs w:val="20"/>
        </w:rPr>
        <w:t xml:space="preserve">  KPI: pozitivan neto prihod u Nišu tri uzastopna meseca pre pokretanja novog tržišta 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7. Model monetizacije i finansiranja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Za razliku od ranijih verzija plana, gde se naplata uvodi od prvog dana, model prati logiku po kojoj je rasla platforma KupujemProdajem: dugo je funkcionisala kao besplatan oglasnik dok nije stekla kritičnu masu korisnika, a plaćene funkcije uvedene su kasnije kao dodatna opcija za one koji već imaju koristi od platforme — ne kao uslov za ulazak.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Izvori finansiranja po fazama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Faze 0–2: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samofinansiranje. Trošak razvoja je minimalan jer se kodira interno, a marketing budžet (oko 150–300 EUR mesečno) pokrivaju osnivači iz sopstvenih sredstava.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Faza 3: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prvi prihodi, naročito B2B pretplate agencija, počinju da pokrivaju operativne troškove.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Faza 4: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spoljno finansiranje (investitor ili kredit) razmatra se tek kada postoji dokazan broj korisnika i prihoda. Pregovaračka pozicija je tada neuporedivo bolja nego na startu.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Projekcija prihoda na punom kapacitetu (Faza 3+, Niš)</w:t>
      </w:r>
    </w:p>
    <w:tbl>
      <w:tblPr>
        <w:tblW w:type="dxa" w:w="9360"/>
        <w:tblBorders>
          <w:top w:val="single" w:color="D5DEDF" w:sz="2"/>
          <w:left w:val="none" w:sz="0"/>
          <w:bottom w:val="single" w:color="D5DEDF" w:sz="2"/>
          <w:right w:val="none" w:sz="0"/>
          <w:insideH w:val="single" w:color="D5DEDF" w:sz="2"/>
          <w:insideV w:val="none" w:sz="0"/>
        </w:tblBorders>
      </w:tblPr>
      <w:tblGrid>
        <w:gridCol w:w="2400"/>
        <w:gridCol w:w="3760"/>
        <w:gridCol w:w="1600"/>
        <w:gridCol w:w="1600"/>
      </w:tblGrid>
      <w:tr>
        <w:trPr>
          <w:tblHeader/>
        </w:trPr>
        <w:tc>
          <w:tcPr>
            <w:tcW w:type="dxa" w:w="24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Kanal prihoda</w:t>
            </w:r>
          </w:p>
        </w:tc>
        <w:tc>
          <w:tcPr>
            <w:tcW w:type="dxa" w:w="376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Pretpostavka obima</w:t>
            </w:r>
          </w:p>
        </w:tc>
        <w:tc>
          <w:tcPr>
            <w:tcW w:type="dxa" w:w="16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Godišnje (RSD)</w:t>
            </w:r>
          </w:p>
        </w:tc>
        <w:tc>
          <w:tcPr>
            <w:tcW w:type="dxa" w:w="16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Godišnje (EUR)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Zanatski B2B leadovi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2.500 projekata × 2 izvođača × 300 RSD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1.500.000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~12.800</w:t>
            </w:r>
          </w:p>
        </w:tc>
      </w:tr>
      <w:tr>
        <w:tc>
          <w:tcPr>
            <w:tcW w:type="dxa" w:w="24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Zanatske TOP promocije</w:t>
            </w:r>
          </w:p>
        </w:tc>
        <w:tc>
          <w:tcPr>
            <w:tcW w:type="dxa" w:w="3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 premijum profila × 2.500 RSD × 12 meseci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900.000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~7.700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Leadovi za čišćenje i pranje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2.000 instant poslova × 150 RSD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300.000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~2.550</w:t>
            </w:r>
          </w:p>
        </w:tc>
      </w:tr>
      <w:tr>
        <w:tc>
          <w:tcPr>
            <w:tcW w:type="dxa" w:w="24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B2B pretplata (agencije)</w:t>
            </w:r>
          </w:p>
        </w:tc>
        <w:tc>
          <w:tcPr>
            <w:tcW w:type="dxa" w:w="3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 servisa × 3.500 RSD × 12 meseci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420.000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~3.600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Affiliate partnerstva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Procenat od prodaje materijala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360.000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~3.050</w:t>
            </w:r>
          </w:p>
        </w:tc>
      </w:tr>
      <w:tr>
        <w:tc>
          <w:tcPr>
            <w:tcW w:type="dxa" w:w="24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UKUPAN BRUTO PRIHOD</w:t>
            </w:r>
          </w:p>
        </w:tc>
        <w:tc>
          <w:tcPr>
            <w:tcW w:type="dxa" w:w="376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Integrisani ekosistem — Niš</w:t>
            </w:r>
          </w:p>
        </w:tc>
        <w:tc>
          <w:tcPr>
            <w:tcW w:type="dxa" w:w="16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3.480.000</w:t>
            </w:r>
          </w:p>
        </w:tc>
        <w:tc>
          <w:tcPr>
            <w:tcW w:type="dxa" w:w="16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~29.700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i/>
          <w:iCs/>
          <w:color w:val="5B6E73"/>
          <w:sz w:val="21"/>
          <w:szCs w:val="21"/>
        </w:rPr>
        <w:t xml:space="preserve">Ovo nije prognoza za prvu godinu, već ciljno stanje kada platforma radi na punom kapacitetu u Nišu. Vreme potrebno da se do njega stigne je 18–24 meseca od početka.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0333B"/>
          <w:sz w:val="21"/>
          <w:szCs w:val="21"/>
        </w:rPr>
        <w:t xml:space="preserve">Provera brojki u odnosu na veličinu tržišta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Projekcija je građena odozdo, iz pretpostavki o obimu po kanalu, pa je vredi uporediti sa stvarnim brojem domaćinstava iz odeljka 2: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2.500 zanatskih projekata godišnje odgovara otprilike 3,4% od ~74.000 domaćinstava užeg gradskog područja.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2.000 poslova čišćenja godišnje je manje od 3% domaćinstava ako je reč o jednokratnim poslovima, ili oko 170 domaćinstava ako se radi o mesečnoj pretplati.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Cilj Faze 2 od 500 registrovanih klijenata je ispod 1% domaćinstava — dostižno, ali samo uz aktivnu akviziciju, ne samo od sebe.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Zaključak: udeli nisu nerealni po redu veličine, ali počivaju na pretpostavci koliko često domaćinstvo uopšte angažuje majstora ili spremačicu. Taj podatak nemamo i on je jedna od stvari koje se mere u Fazi 0 — dok se ne izmeri, sve brojke u ovoj tabeli treba tretirati kao ciljeve, ne kao prognozu.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Operativni troškovi (OPEX)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Serveri, API ključevi i infrastruktura: oko 600 EUR godišnje.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Lokalni marketing (Niš): oko 2.400 EUR godišnje (oko 200 EUR mesečno za akviziciju obe strane tržišta).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Administracija i knjigovodstvo: oko 500 EUR godišnje.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Ukupno: oko 3.500 EUR godišnje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svedeno na minimum zahvaljujući automatizaciji (AI korisnička podrška, automatsko alociranje kredita i fakturisanje).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U ovaj iznos nije uračunata naknada za rad osnivača; taj deo je obrađen u odeljku 10.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Tri scenarija umesto jedne brojke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Puni kapacitet je cilj, ne pretpostavka. Realnije je pokazati raspon:</w:t>
      </w:r>
    </w:p>
    <w:tbl>
      <w:tblPr>
        <w:tblW w:type="dxa" w:w="9360"/>
        <w:tblBorders>
          <w:top w:val="single" w:color="D5DEDF" w:sz="2"/>
          <w:left w:val="none" w:sz="0"/>
          <w:bottom w:val="single" w:color="D5DEDF" w:sz="2"/>
          <w:right w:val="none" w:sz="0"/>
          <w:insideH w:val="single" w:color="D5DEDF" w:sz="2"/>
          <w:insideV w:val="none" w:sz="0"/>
        </w:tblBorders>
      </w:tblPr>
      <w:tblGrid>
        <w:gridCol w:w="2200"/>
        <w:gridCol w:w="3160"/>
        <w:gridCol w:w="2000"/>
        <w:gridCol w:w="2000"/>
      </w:tblGrid>
      <w:tr>
        <w:trPr>
          <w:tblHeader/>
        </w:trPr>
        <w:tc>
          <w:tcPr>
            <w:tcW w:type="dxa" w:w="22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16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Ostvareni obim</w:t>
            </w:r>
          </w:p>
        </w:tc>
        <w:tc>
          <w:tcPr>
            <w:tcW w:type="dxa" w:w="20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Bruto prihod (EUR)</w:t>
            </w:r>
          </w:p>
        </w:tc>
        <w:tc>
          <w:tcPr>
            <w:tcW w:type="dxa" w:w="20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Neto dobit (EUR)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Konzervativan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50% projektovanog obima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~14.850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~11.350</w:t>
            </w:r>
          </w:p>
        </w:tc>
      </w:tr>
      <w:tr>
        <w:tc>
          <w:tcPr>
            <w:tcW w:type="dxa" w:w="22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Umeren</w:t>
            </w:r>
          </w:p>
        </w:tc>
        <w:tc>
          <w:tcPr>
            <w:tcW w:type="dxa" w:w="31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75% projektovanog obima</w:t>
            </w:r>
          </w:p>
        </w:tc>
        <w:tc>
          <w:tcPr>
            <w:tcW w:type="dxa" w:w="20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~22.275</w:t>
            </w:r>
          </w:p>
        </w:tc>
        <w:tc>
          <w:tcPr>
            <w:tcW w:type="dxa" w:w="20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~18.775</w:t>
            </w:r>
          </w:p>
        </w:tc>
      </w:tr>
      <w:tr>
        <w:tc>
          <w:tcPr>
            <w:tcW w:type="dxa" w:w="22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Ciljni</w:t>
            </w:r>
          </w:p>
        </w:tc>
        <w:tc>
          <w:tcPr>
            <w:tcW w:type="dxa" w:w="316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100% projektovanog obima</w:t>
            </w:r>
          </w:p>
        </w:tc>
        <w:tc>
          <w:tcPr>
            <w:tcW w:type="dxa" w:w="20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~29.700</w:t>
            </w:r>
          </w:p>
        </w:tc>
        <w:tc>
          <w:tcPr>
            <w:tcW w:type="dxa" w:w="20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~26.200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Čak i konzervativni scenario ostaje profitabilan, jer su fiksni troškovi izuzetno niski. To je najjača strana ovog modela: rizik nije bankrot, rizik je sporiji rast od očekivanog.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8. Plan rasta prihoda (Godina 2–3)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Prihod iz odeljka 7 je realan prvi cilj, ali nije plafon. Udvostručavanje broja korisnika u Nišu je jedan način da se prihod uveća, ali je spor i skup put — svaki novi korisnik košta isto koliko i prethodni, a broj domaćinstava u gradu je ograničen. Stavke ispod ne zavise od toga koliko korisnika ima platforma — one menjaju koliko se zarađuje po transakciji ili uvode potpuno nove, stabilnije tokove prihoda.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A. Veći prihod po transakciji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Success fee za krupne poslove: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za projekte iznad određenog praga (renoviranje kupatila, fasade), umesto fiksnih 300 RSD po lead-u, uzeti mali procenat od vrednosti posla — ista akvizicija, znatno veći prihod po poslu.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Garancija posla kao dodatna usluga: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klijent plaća malu premiju za posredničku garanciju kvaliteta i roka — dodatni prihod i istovremeno diferencijator poverenja.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B. Novi tokovi prihoda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Finansiranje radova na rate: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partnerstvo sa bankom ili mikrofinansijskom institucijom — provizija po svakom odobrenom kreditu za skupe radove.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Fiksni oglasni prostor za dobavljače materijala: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stabilan mesečni prihod nezavisan od konverzije, uz postojeći affiliate procenat.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C. B2B ugovori umesto pojedinačnih transakcija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Stambene zajednice (kućni saveti):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godišnji ugovor za redovno održavanje zgrade — stabilniji i veći prihod po klijentu, mala prodajna baza sa velikim tiketom.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Korporativni facility management: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kancelarije i poslovni prostori kao mesečni paket redovnog čišćenja i hitnih intervencija.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D. Geografsko širenje bez proporcionalnog rasta troškova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Umesto sopstvenog tima za svaki novi grad, model licenciranja ili franšize — partneri u drugim gradovima plaćaju za pristup platformi i brendu, dok Klik usluga zadržava procenat prihoda. Ovo nije uključeno u procenu ispod jer zavisi od pregovora sa budućim partnerima.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Procena dodatnog potencijala (konzervativne pretpostavke, Godina 2–3)</w:t>
      </w:r>
    </w:p>
    <w:tbl>
      <w:tblPr>
        <w:tblW w:type="dxa" w:w="9360"/>
        <w:tblBorders>
          <w:top w:val="single" w:color="D5DEDF" w:sz="2"/>
          <w:left w:val="none" w:sz="0"/>
          <w:bottom w:val="single" w:color="D5DEDF" w:sz="2"/>
          <w:right w:val="none" w:sz="0"/>
          <w:insideH w:val="single" w:color="D5DEDF" w:sz="2"/>
          <w:insideV w:val="none" w:sz="0"/>
        </w:tblBorders>
      </w:tblPr>
      <w:tblGrid>
        <w:gridCol w:w="2400"/>
        <w:gridCol w:w="3760"/>
        <w:gridCol w:w="1600"/>
        <w:gridCol w:w="1600"/>
      </w:tblGrid>
      <w:tr>
        <w:trPr>
          <w:tblHeader/>
        </w:trPr>
        <w:tc>
          <w:tcPr>
            <w:tcW w:type="dxa" w:w="24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Nova stavka prihoda</w:t>
            </w:r>
          </w:p>
        </w:tc>
        <w:tc>
          <w:tcPr>
            <w:tcW w:type="dxa" w:w="376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Pretpostavka obima</w:t>
            </w:r>
          </w:p>
        </w:tc>
        <w:tc>
          <w:tcPr>
            <w:tcW w:type="dxa" w:w="16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Godišnje (RSD)</w:t>
            </w:r>
          </w:p>
        </w:tc>
        <w:tc>
          <w:tcPr>
            <w:tcW w:type="dxa" w:w="16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Godišnje (EUR)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Success fee — krupni projekti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150 projekata × 150.000 RSD × 4% provizije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900.000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~7.700</w:t>
            </w:r>
          </w:p>
        </w:tc>
      </w:tr>
      <w:tr>
        <w:tc>
          <w:tcPr>
            <w:tcW w:type="dxa" w:w="24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B2B ugovori — stambene zgrade</w:t>
            </w:r>
          </w:p>
        </w:tc>
        <w:tc>
          <w:tcPr>
            <w:tcW w:type="dxa" w:w="3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zgrada × 8.000 RSD mesečno × 12 meseci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1.920.000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~16.300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Facility management — kancelarije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prostora × 10.000 RSD mesečno × 12 meseci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1.800.000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~15.300</w:t>
            </w:r>
          </w:p>
        </w:tc>
      </w:tr>
      <w:tr>
        <w:tc>
          <w:tcPr>
            <w:tcW w:type="dxa" w:w="24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Provizija od finansiranja radova</w:t>
            </w:r>
          </w:p>
        </w:tc>
        <w:tc>
          <w:tcPr>
            <w:tcW w:type="dxa" w:w="3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odobrenih rata × 150.000 RSD × 2%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150.000</w:t>
            </w:r>
          </w:p>
        </w:tc>
        <w:tc>
          <w:tcPr>
            <w:tcW w:type="dxa" w:w="16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~1.300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Fiksni oglasni prostor dobavljača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 dobavljača × 3.000 RSD mesečno × 12 meseci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360.000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~3.050</w:t>
            </w:r>
          </w:p>
        </w:tc>
      </w:tr>
      <w:tr>
        <w:tc>
          <w:tcPr>
            <w:tcW w:type="dxa" w:w="24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DODATNI POTENCIJAL</w:t>
            </w:r>
          </w:p>
        </w:tc>
        <w:tc>
          <w:tcPr>
            <w:tcW w:type="dxa" w:w="376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Godina 2–3, po dostizanju Faze 4</w:t>
            </w:r>
          </w:p>
        </w:tc>
        <w:tc>
          <w:tcPr>
            <w:tcW w:type="dxa" w:w="16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5.130.000</w:t>
            </w:r>
          </w:p>
        </w:tc>
        <w:tc>
          <w:tcPr>
            <w:tcW w:type="dxa" w:w="1600"/>
            <w:shd w:fill="EAF2F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~43.650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Uz dodatne operativne troškove za upravljanje partnerstvima i ugovorima (oko 1.000–1.500 EUR godišnje), ovaj sloj otprilike udvostručuje neto dobit u odnosu na osnovni plan — sa oko 26.200 EUR na okvirno 65.000–70.000 EUR godišnje. Ovo je ilustrativna procena koja se gradi postepeno kroz Godinu 2 i 3, a ne odjednom, i ne uključuje franšizne prihode.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9. Rizici i odgovori</w:t>
      </w:r>
    </w:p>
    <w:tbl>
      <w:tblPr>
        <w:tblW w:type="dxa" w:w="9360"/>
        <w:tblBorders>
          <w:top w:val="single" w:color="D5DEDF" w:sz="2"/>
          <w:left w:val="none" w:sz="0"/>
          <w:bottom w:val="single" w:color="D5DEDF" w:sz="2"/>
          <w:right w:val="none" w:sz="0"/>
          <w:insideH w:val="single" w:color="D5DEDF" w:sz="2"/>
          <w:insideV w:val="none" w:sz="0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Rizik</w:t>
            </w:r>
          </w:p>
        </w:tc>
        <w:tc>
          <w:tcPr>
            <w:tcW w:type="dxa" w:w="180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Koliko je verovatan</w:t>
            </w:r>
          </w:p>
        </w:tc>
        <w:tc>
          <w:tcPr>
            <w:tcW w:type="dxa" w:w="4760"/>
            <w:shd w:fill="10333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Naš odgovor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Cold start: klijent objavi zahtev i ne dobije nijednu ponudu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Visok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Ponuda se gradi pre tražnje. U Fazi 2 osnivači ručno zovu izvođače na svaki zahtev koji ostane bez odgovora, dok baza ne postane samoodrživa.</w:t>
            </w:r>
          </w:p>
        </w:tc>
      </w:tr>
      <w:tr>
        <w:tc>
          <w:tcPr>
            <w:tcW w:type="dxa" w:w="28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Zaobilaženje platforme (posao se dogovori i nastavi mimo nje)</w:t>
            </w:r>
          </w:p>
        </w:tc>
        <w:tc>
          <w:tcPr>
            <w:tcW w:type="dxa" w:w="18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Visok</w:t>
            </w:r>
          </w:p>
        </w:tc>
        <w:tc>
          <w:tcPr>
            <w:tcW w:type="dxa" w:w="4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Neizbežno kod prvog posla i ne treba se boriti protiv toga. Naplata se veže za pristup novom klijentu, ne za transakciju. Vrednost platforme je stalan dotok novih klijenata.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Izvođači ne žele da plaćaju leadove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Srednji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Naplata se uvodi tek kada izvođač već dobija poslove besplatno i vidi vrednost. Početna cena se testira naniže. B2B pretplata agencija je stabilniji prvi izvor.</w:t>
            </w:r>
          </w:p>
        </w:tc>
      </w:tr>
      <w:tr>
        <w:tc>
          <w:tcPr>
            <w:tcW w:type="dxa" w:w="28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Loš kvalitet usluge kvari reputaciju platforme</w:t>
            </w:r>
          </w:p>
        </w:tc>
        <w:tc>
          <w:tcPr>
            <w:tcW w:type="dxa" w:w="18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Srednji</w:t>
            </w:r>
          </w:p>
        </w:tc>
        <w:tc>
          <w:tcPr>
            <w:tcW w:type="dxa" w:w="4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Provera pri registraciji, obavezno ocenjivanje, uklanjanje izvođača ispod praga ocene. Bolje 50 proverenih nego 300 nasumičnih profila.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Veći igrač ulazi na tržište Niša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Nizak u prve dve godine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Prednost lokalne posvećenosti i ličnog odnosa sa izvođačima. Baza proverenih izvođača je ono što se ne kopira preko noći.</w:t>
            </w:r>
          </w:p>
        </w:tc>
      </w:tr>
      <w:tr>
        <w:tc>
          <w:tcPr>
            <w:tcW w:type="dxa" w:w="28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Osnivači nemaju dovoljno vremena uz redovan posao</w:t>
            </w:r>
          </w:p>
        </w:tc>
        <w:tc>
          <w:tcPr>
            <w:tcW w:type="dxa" w:w="180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Visok</w:t>
            </w:r>
          </w:p>
        </w:tc>
        <w:tc>
          <w:tcPr>
            <w:tcW w:type="dxa" w:w="4760"/>
            <w:shd w:fill="F6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Najozbiljniji rizik. Rešava se jasnom podelom uloga i realnim rokovima; faze su namerno raspoređene tako da traju 2 meseca, a ne 2 nedelje.</w:t>
            </w:r>
          </w:p>
        </w:tc>
      </w:tr>
    </w:tbl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10. Uloge, ulaganje i šta tražimo od partnera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Iskren prikaz zarade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Ovo je deo koji treba postaviti otvoreno, jer je prvo pitanje koje svaki ozbiljan partner postavi.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Neto dobit od oko 26.200 EUR godišnje je dobit platforme, a ne plata po osnivaču.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 prvih 12–18 meseci projekat ne isplaćuje naknadu ni jednom osnivaču. Svi rade uz postojeći posao, a prihodi se reinvestiraju u marketing i razvoj.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Tek nakon što se dostigne stabilna Faza 3 razmatra se prelazak jednog osnivača na puno radno vreme, i to iz ostvarenog prihoda, ne iz projekcije.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Osnovni plan iz odeljka 7 nije dovoljan za dvoje ljudi sa punim angažovanjem. Sloj rasta iz odeljka 8 jeste — i zato je on deo plana, a ne dodatak.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Postavljanjem ovoga otvoreno štitimo se od najgoreg scenarija: partnera koji uđe sa pogrešnim očekivanjem i izađe posle šest meseci.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Šta se očekuje od partnera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Popuniti pre slanja konkretnoj osobi — u zavisnosti od toga da li je reč o operativnom partneru, ulagaču ili partneru za nabavku: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Uloga: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[koja oblast — razvoj, prodaja i akvizicija izvođača, marketing, operativa]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Vremenski angažman: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[broj sati nedeljno u Fazama 0–2]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Novčano ulaganje: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[iznos ili „bez novčanog uloga”]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Šta partner dobija: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[procenat vlasništva, način sticanja tokom vremena, prava odlučivanja]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Pravni okvir — pre početka, ne posle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Registracija pravnog lica (DOO ili preduzetnik) sa jasno definisanim vlasničkim udelima.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Pisani osnivački ugovor: podela udela, šta se dešava ako neko odustane, kome ostaje kod i baza korisnika, kako se donose odluke pri neslaganju.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Usklađenost sa propisima o zaštiti podataka o ličnosti — platforma obrađuje podatke i korisnika i izvođača.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Provera dostupnosti domena i naziva i zaštita žiga pre ulaganja u brend.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Ovo deluje kao formalnost, ali je najčešći uzrok raspada partnerstava u ranoj fazi. Rešava se za dve nedelje na početku, a nerešeno košta ceo projekat.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0333B"/>
          <w:sz w:val="30"/>
          <w:szCs w:val="30"/>
        </w:rPr>
        <w:t xml:space="preserve">11. Zaključak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Klik usluga ima realan prvi cilj od oko 26.200 EUR neto godišnje na test tržištu Niša, do kojeg se stiže kroz proveren fazni put: validacija bez koda, besplatan MVP, izgradnja baze na obe strane, pa tek onda monetizacija i skaliranje.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Odeljak 8 pokazuje da to nije plafon — kroz veći prihod po transakciji, nove tokove prihoda i B2B ugovore, ista platforma u istom gradu ima realan put do 65.000–70.000 EUR neto godišnje u Godini 2–3, bez čekanja na osvajanje novih tržišta.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Ulazna barijera je niska u novcu (3.000–4.000 EUR za prvih 12 meseci) i visoka u vremenu. Zato je izbor partnera važniji od izbora tehnologije.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C86"/>
          <w:sz w:val="24"/>
          <w:szCs w:val="24"/>
        </w:rPr>
        <w:t xml:space="preserve">Sledeći koraci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Dogovor o ulogama i udelima, pisano.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Pokretanje Faze 0 — Instagram stranica i prvih 10 ručno posredovanih poslova.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Pregled konkurencije na domaćem tržištu kao prilog ovom dokumentu.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Registracija pravnog lica i zaštita naziva.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E73"/>
        <w:sz w:val="16"/>
        <w:szCs w:val="16"/>
      </w:rPr>
      <w:t xml:space="preserve">Klik usluga — Biznis plan v7   |   </w:t>
    </w:r>
    <w:r>
      <w:rPr>
        <w:rFonts w:ascii="Calibri" w:cs="Calibri" w:eastAsia="Calibri" w:hAnsi="Calibri"/>
        <w:color w:val="5B6E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Klik usluga — Biznis plan v7</dc:title>
  <dc:creator>Klik usluga</dc:creator>
  <cp:lastModifiedBy>Un-named</cp:lastModifiedBy>
  <cp:revision>1</cp:revision>
  <dcterms:created xsi:type="dcterms:W3CDTF">2026-08-11T16:06:34.085Z</dcterms:created>
  <dcterms:modified xsi:type="dcterms:W3CDTF">2026-08-11T16:06:34.098Z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