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Default="00C66594" w:rsidP="00C66594">
      <w:pPr>
        <w:spacing w:after="0" w:line="240" w:lineRule="auto"/>
        <w:jc w:val="center"/>
        <w:rPr>
          <w:rFonts w:ascii="Verdana" w:hAnsi="Verdana"/>
          <w:b/>
          <w:sz w:val="20"/>
          <w:szCs w:val="20"/>
        </w:rPr>
      </w:pPr>
    </w:p>
    <w:p w14:paraId="437ACDEA" w14:textId="2A4C0851" w:rsidR="00C66594" w:rsidRPr="00AE648C" w:rsidRDefault="00000000" w:rsidP="00AE648C">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93A6379" w14:textId="77777777" w:rsidR="00C66594" w:rsidRPr="00B8701D" w:rsidRDefault="00C66594" w:rsidP="00C66594">
      <w:pPr>
        <w:spacing w:after="0" w:line="240" w:lineRule="auto"/>
        <w:rPr>
          <w:rFonts w:ascii="Verdana" w:hAnsi="Verdana"/>
          <w:i/>
          <w:sz w:val="20"/>
          <w:szCs w:val="20"/>
        </w:rPr>
      </w:pPr>
    </w:p>
    <w:p w14:paraId="3006EE27" w14:textId="385D6542" w:rsidR="00C66594" w:rsidRPr="00E864E0" w:rsidRDefault="00000000"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031C50">
            <w:rPr>
              <w:rFonts w:ascii="Verdana" w:hAnsi="Verdana"/>
              <w:sz w:val="20"/>
              <w:szCs w:val="20"/>
            </w:rPr>
            <w:t>Petra Bier</w:t>
          </w:r>
          <w:r w:rsidR="00031C50">
            <w:rPr>
              <w:rFonts w:ascii="Verdana" w:hAnsi="Verdana"/>
              <w:sz w:val="20"/>
              <w:szCs w:val="20"/>
            </w:rPr>
            <w:tab/>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0CF678FC" w:rsidR="00C66594" w:rsidRPr="00E864E0" w:rsidRDefault="00000000"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031C50">
                <w:rPr>
                  <w:rStyle w:val="margin--left--10"/>
                </w:rPr>
                <w:t>011093668</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490B2636" w:rsidR="00C66594" w:rsidRPr="00E864E0" w:rsidRDefault="00000000"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031C50">
            <w:rPr>
              <w:rFonts w:ascii="Verdana" w:hAnsi="Verdana"/>
              <w:sz w:val="20"/>
              <w:szCs w:val="20"/>
            </w:rPr>
            <w:t>Random Forest Regression Model to Determine Hidden Hypoxemia</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00BC196D" w:rsidR="00C66594" w:rsidRDefault="00000000"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031C50">
            <w:rPr>
              <w:rFonts w:ascii="Verdana" w:hAnsi="Verdana"/>
              <w:sz w:val="20"/>
              <w:szCs w:val="20"/>
            </w:rPr>
            <w:t>Random Forest model to detect hidden hypoxemia</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13E2B658"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F27524">
            <w:rPr>
              <w:rFonts w:ascii="MS Gothic" w:eastAsia="MS Gothic" w:hAnsi="MS Gothic" w:hint="eastAsia"/>
              <w:b/>
              <w:bCs/>
              <w:sz w:val="20"/>
              <w:szCs w:val="20"/>
            </w:rPr>
            <w:t>☒</w:t>
          </w:r>
        </w:sdtContent>
      </w:sdt>
      <w:r w:rsidR="009D175B">
        <w:rPr>
          <w:rFonts w:ascii="Verdana" w:hAnsi="Verdana"/>
          <w:b/>
          <w:bCs/>
          <w:sz w:val="20"/>
          <w:szCs w:val="20"/>
        </w:rPr>
        <w:t xml:space="preserve">  </w:t>
      </w:r>
      <w:r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78B841A7" w:rsidR="00C66594" w:rsidRPr="00E864E0" w:rsidRDefault="00000000"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031C50">
            <w:rPr>
              <w:rFonts w:ascii="Verdana" w:hAnsi="Verdana"/>
              <w:sz w:val="20"/>
              <w:szCs w:val="20"/>
            </w:rPr>
            <w:t xml:space="preserve">Can a random forest regression </w:t>
          </w:r>
          <w:r w:rsidR="00AC202F">
            <w:rPr>
              <w:rFonts w:ascii="Verdana" w:hAnsi="Verdana"/>
              <w:sz w:val="20"/>
              <w:szCs w:val="20"/>
            </w:rPr>
            <w:t xml:space="preserve">(RFR) </w:t>
          </w:r>
          <w:r w:rsidR="00031C50">
            <w:rPr>
              <w:rFonts w:ascii="Verdana" w:hAnsi="Verdana"/>
              <w:sz w:val="20"/>
              <w:szCs w:val="20"/>
            </w:rPr>
            <w:t xml:space="preserve">model </w:t>
          </w:r>
          <w:r w:rsidR="00572F27">
            <w:rPr>
              <w:rFonts w:ascii="Verdana" w:hAnsi="Verdana"/>
              <w:sz w:val="20"/>
              <w:szCs w:val="20"/>
            </w:rPr>
            <w:t xml:space="preserve">predict the difference between a pulse oximeter (SpO2) and arterial </w:t>
          </w:r>
          <w:r w:rsidR="00AE419C">
            <w:rPr>
              <w:rFonts w:ascii="Verdana" w:hAnsi="Verdana"/>
              <w:sz w:val="20"/>
              <w:szCs w:val="20"/>
            </w:rPr>
            <w:t>oxygen saturation</w:t>
          </w:r>
          <w:r w:rsidR="00572F27">
            <w:rPr>
              <w:rFonts w:ascii="Verdana" w:hAnsi="Verdana"/>
              <w:sz w:val="20"/>
              <w:szCs w:val="20"/>
            </w:rPr>
            <w:t xml:space="preserve"> (SaO2) reading</w:t>
          </w:r>
          <w:r w:rsidR="00AE419C">
            <w:rPr>
              <w:rFonts w:ascii="Verdana" w:hAnsi="Verdana"/>
              <w:sz w:val="20"/>
              <w:szCs w:val="20"/>
            </w:rPr>
            <w:t xml:space="preserve"> </w:t>
          </w:r>
          <w:r w:rsidR="00572F27">
            <w:rPr>
              <w:rFonts w:ascii="Verdana" w:hAnsi="Verdana"/>
              <w:sz w:val="20"/>
              <w:szCs w:val="20"/>
            </w:rPr>
            <w:t>using</w:t>
          </w:r>
          <w:r w:rsidR="00031C50">
            <w:rPr>
              <w:rFonts w:ascii="Verdana" w:hAnsi="Verdana"/>
              <w:sz w:val="20"/>
              <w:szCs w:val="20"/>
            </w:rPr>
            <w:t xml:space="preserve"> the given data set?</w:t>
          </w:r>
        </w:sdtContent>
      </w:sdt>
    </w:p>
    <w:p w14:paraId="086200CF" w14:textId="77777777" w:rsidR="00C66594" w:rsidRPr="00E864E0" w:rsidRDefault="00C66594" w:rsidP="00C66594">
      <w:pPr>
        <w:spacing w:after="0" w:line="240" w:lineRule="auto"/>
        <w:rPr>
          <w:rFonts w:ascii="Verdana" w:hAnsi="Verdana"/>
          <w:b/>
          <w:sz w:val="20"/>
          <w:szCs w:val="20"/>
        </w:rPr>
      </w:pPr>
    </w:p>
    <w:p w14:paraId="6AAD9D71" w14:textId="6EA2477B" w:rsidR="00DA60D8" w:rsidRDefault="00000000" w:rsidP="00DA60D8">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w:t>
      </w:r>
    </w:p>
    <w:p w14:paraId="453CE2EA" w14:textId="77777777" w:rsidR="00DA60D8" w:rsidRDefault="00DA60D8" w:rsidP="00DA60D8">
      <w:pPr>
        <w:spacing w:after="0" w:line="240" w:lineRule="auto"/>
        <w:ind w:left="360" w:firstLine="360"/>
        <w:rPr>
          <w:rFonts w:ascii="Verdana" w:hAnsi="Verdana"/>
          <w:sz w:val="20"/>
          <w:szCs w:val="20"/>
        </w:rPr>
      </w:pPr>
    </w:p>
    <w:p w14:paraId="01DB98E3" w14:textId="11B5C270" w:rsidR="00DA60D8" w:rsidRDefault="00000000" w:rsidP="00DA60D8">
      <w:pPr>
        <w:spacing w:after="0" w:line="240" w:lineRule="auto"/>
        <w:ind w:left="720"/>
        <w:rPr>
          <w:rFonts w:ascii="Verdana" w:hAnsi="Verdana"/>
          <w:sz w:val="20"/>
          <w:szCs w:val="20"/>
        </w:rPr>
      </w:pPr>
      <w:r w:rsidRPr="00E41B44">
        <w:rPr>
          <w:rFonts w:ascii="Verdana" w:hAnsi="Verdana"/>
          <w:b/>
          <w:sz w:val="20"/>
          <w:szCs w:val="20"/>
        </w:rPr>
        <w:t>Null hypothesis</w:t>
      </w:r>
      <w:r>
        <w:rPr>
          <w:rFonts w:ascii="Verdana" w:hAnsi="Verdana"/>
          <w:sz w:val="20"/>
          <w:szCs w:val="20"/>
        </w:rPr>
        <w:t xml:space="preserve">- A random forest model cannot </w:t>
      </w:r>
      <w:r w:rsidR="00572F27">
        <w:rPr>
          <w:rFonts w:ascii="Verdana" w:hAnsi="Verdana"/>
          <w:sz w:val="20"/>
          <w:szCs w:val="20"/>
        </w:rPr>
        <w:t xml:space="preserve">detect the difference between the SpO2 and the SaO2 with an RMSE of less than </w:t>
      </w:r>
      <w:r w:rsidR="00EC31E4">
        <w:rPr>
          <w:rFonts w:ascii="Verdana" w:hAnsi="Verdana"/>
          <w:sz w:val="20"/>
          <w:szCs w:val="20"/>
        </w:rPr>
        <w:t>3</w:t>
      </w:r>
      <w:r w:rsidR="00AE419C">
        <w:rPr>
          <w:rFonts w:ascii="Verdana" w:hAnsi="Verdana"/>
          <w:sz w:val="20"/>
          <w:szCs w:val="20"/>
        </w:rPr>
        <w:t xml:space="preserve"> percentage points</w:t>
      </w:r>
      <w:r w:rsidR="00572F27">
        <w:rPr>
          <w:rFonts w:ascii="Verdana" w:hAnsi="Verdana"/>
          <w:sz w:val="20"/>
          <w:szCs w:val="20"/>
        </w:rPr>
        <w:t>.</w:t>
      </w:r>
    </w:p>
    <w:p w14:paraId="668F936A" w14:textId="2D793FE7" w:rsidR="00C66594" w:rsidRDefault="00000000" w:rsidP="00572F27">
      <w:pPr>
        <w:spacing w:after="0" w:line="240" w:lineRule="auto"/>
        <w:ind w:left="720"/>
        <w:rPr>
          <w:rFonts w:ascii="Verdana" w:hAnsi="Verdana"/>
          <w:sz w:val="20"/>
          <w:szCs w:val="20"/>
        </w:rPr>
      </w:pPr>
      <w:r>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 xml:space="preserve">- </w:t>
      </w:r>
      <w:r w:rsidR="00572F27">
        <w:rPr>
          <w:rFonts w:ascii="Verdana" w:hAnsi="Verdana"/>
          <w:sz w:val="20"/>
          <w:szCs w:val="20"/>
        </w:rPr>
        <w:t xml:space="preserve">A random forest model can detect the difference between the SpO2 and the SaO2 with an RMSE of less than </w:t>
      </w:r>
      <w:r w:rsidR="00EC31E4">
        <w:rPr>
          <w:rFonts w:ascii="Verdana" w:hAnsi="Verdana"/>
          <w:sz w:val="20"/>
          <w:szCs w:val="20"/>
        </w:rPr>
        <w:t>3</w:t>
      </w:r>
      <w:r w:rsidR="00AE419C">
        <w:rPr>
          <w:rFonts w:ascii="Verdana" w:hAnsi="Verdana"/>
          <w:sz w:val="20"/>
          <w:szCs w:val="20"/>
        </w:rPr>
        <w:t xml:space="preserve"> percentage points</w:t>
      </w:r>
      <w:r w:rsidR="00572F27">
        <w:rPr>
          <w:rFonts w:ascii="Verdana" w:hAnsi="Verdana"/>
          <w:sz w:val="20"/>
          <w:szCs w:val="20"/>
        </w:rPr>
        <w:t>.</w:t>
      </w:r>
    </w:p>
    <w:p w14:paraId="0235C357" w14:textId="77777777" w:rsidR="00572F27" w:rsidRPr="00B8701D" w:rsidRDefault="00572F27" w:rsidP="00572F27">
      <w:pPr>
        <w:spacing w:after="0" w:line="240" w:lineRule="auto"/>
        <w:ind w:left="720"/>
        <w:rPr>
          <w:rFonts w:ascii="Verdana" w:hAnsi="Verdana"/>
          <w:b/>
          <w:sz w:val="20"/>
          <w:szCs w:val="20"/>
        </w:rPr>
      </w:pPr>
    </w:p>
    <w:p w14:paraId="6010D40E" w14:textId="664355B4" w:rsidR="00B074AA" w:rsidRDefault="00000000" w:rsidP="00A41C69">
      <w:pPr>
        <w:spacing w:after="0" w:line="240" w:lineRule="auto"/>
        <w:rPr>
          <w:rFonts w:ascii="Verdana" w:hAnsi="Verdana"/>
          <w:i/>
          <w:sz w:val="20"/>
          <w:szCs w:val="20"/>
        </w:rPr>
      </w:pPr>
      <w:r w:rsidRPr="00B8701D">
        <w:rPr>
          <w:rFonts w:ascii="Verdana" w:hAnsi="Verdana"/>
          <w:b/>
          <w:sz w:val="20"/>
          <w:szCs w:val="20"/>
        </w:rPr>
        <w:t>Context:</w:t>
      </w:r>
    </w:p>
    <w:p w14:paraId="39C72F7B" w14:textId="0A6143AF" w:rsidR="00A41C69" w:rsidRPr="00E864E0" w:rsidRDefault="00000000" w:rsidP="00A41C69">
      <w:pPr>
        <w:spacing w:after="0" w:line="240" w:lineRule="auto"/>
        <w:rPr>
          <w:rFonts w:ascii="Verdana" w:hAnsi="Verdana"/>
          <w:sz w:val="20"/>
          <w:szCs w:val="20"/>
        </w:rPr>
      </w:pPr>
      <w:r>
        <w:rPr>
          <w:rFonts w:ascii="Verdana" w:hAnsi="Verdana"/>
          <w:iCs/>
          <w:sz w:val="20"/>
          <w:szCs w:val="20"/>
        </w:rPr>
        <w:t xml:space="preserve"> </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9537CE">
            <w:rPr>
              <w:rFonts w:ascii="Verdana" w:hAnsi="Verdana"/>
              <w:iCs/>
              <w:sz w:val="20"/>
              <w:szCs w:val="20"/>
            </w:rPr>
            <w:t>The contribution of this study to the field of data analytics and the Western Governors University MSDA program is to create a predictive model that can predict the SpO2 – SaO2 gap to determine the accuracy of the SpO2 measurement. SpO2 is a convenient, non-invasive measurement of the blood's oxygen levels. A major benefit of SpO2 reading is that it can be done continuously. Pulse oximetry is only required to be accurate within 2-3% of SaO2 levels and only two-thirds of the time, according to FDA requirements (Wong et al., 2021). The gold standard for blood oxygen saturation is SaO2, which is collected via arterial blood gas (ABG). This is an invasive procedure where blood is drawn from an artery with inherent risks, such as bleeding, infection, and blood clots. Since it is not a continuous measurement, multiple draws are often required. Research has demonstrated that SpO2 does not always correlate accurately with SaO2, especially at lower levels (</w:t>
          </w:r>
          <w:r w:rsidR="009537CE" w:rsidRPr="001E3922">
            <w:rPr>
              <w:rFonts w:ascii="Verdana" w:hAnsi="Verdana"/>
              <w:iCs/>
              <w:sz w:val="20"/>
              <w:szCs w:val="20"/>
            </w:rPr>
            <w:t>Sjoding</w:t>
          </w:r>
          <w:r w:rsidR="009537CE">
            <w:rPr>
              <w:rFonts w:ascii="Verdana" w:hAnsi="Verdana"/>
              <w:iCs/>
              <w:sz w:val="20"/>
              <w:szCs w:val="20"/>
            </w:rPr>
            <w:t xml:space="preserve"> et al., 2023). Hidden hypoxemia, which is when SpO2 is &gt; 88% yet the SaO2 is &lt;88%, may be present and remain undetected if solely relying on SpO2 readings, leading to inaccurate diagnosis and delayed treatment of hypoxemia. A Random Forest regression model will be used to analyze non-linear relationships from the chosen predictor variables to predict SpO2 accuracy in alignment with the FDA error requirements. </w:t>
          </w:r>
        </w:sdtContent>
      </w:sdt>
    </w:p>
    <w:p w14:paraId="4E333EFE" w14:textId="362ACCE8" w:rsidR="00C66594" w:rsidRPr="00B8701D" w:rsidRDefault="00C66594" w:rsidP="00C66594">
      <w:pPr>
        <w:spacing w:after="0" w:line="240" w:lineRule="auto"/>
        <w:rPr>
          <w:rFonts w:ascii="Verdana" w:hAnsi="Verdana"/>
          <w:b/>
          <w:sz w:val="20"/>
          <w:szCs w:val="20"/>
        </w:rPr>
      </w:pPr>
    </w:p>
    <w:p w14:paraId="1296330A" w14:textId="132DED16" w:rsidR="009A3997" w:rsidRPr="006E7BDF" w:rsidRDefault="00000000" w:rsidP="0028760B">
      <w:pPr>
        <w:spacing w:after="0" w:line="240" w:lineRule="auto"/>
        <w:rPr>
          <w:rFonts w:ascii="Verdana" w:hAnsi="Verdana"/>
          <w:b/>
          <w:sz w:val="20"/>
          <w:szCs w:val="20"/>
        </w:rPr>
      </w:pPr>
      <w:r w:rsidRPr="00B8701D">
        <w:rPr>
          <w:rFonts w:ascii="Verdana" w:hAnsi="Verdana"/>
          <w:b/>
          <w:sz w:val="20"/>
          <w:szCs w:val="20"/>
        </w:rPr>
        <w:t xml:space="preserve">Data: </w:t>
      </w:r>
    </w:p>
    <w:p w14:paraId="47E8FD9A" w14:textId="47F9EB22" w:rsidR="0028760B" w:rsidRPr="0068717E" w:rsidRDefault="00000000" w:rsidP="0028760B">
      <w:pPr>
        <w:spacing w:after="0" w:line="240" w:lineRule="auto"/>
        <w:ind w:firstLine="360"/>
        <w:rPr>
          <w:rFonts w:ascii="Verdana" w:hAnsi="Verdana"/>
          <w:sz w:val="20"/>
          <w:szCs w:val="20"/>
        </w:rPr>
      </w:pPr>
      <w:r w:rsidRPr="0068717E">
        <w:rPr>
          <w:rFonts w:ascii="Verdana" w:hAnsi="Verdana"/>
          <w:sz w:val="20"/>
          <w:szCs w:val="20"/>
        </w:rPr>
        <w:t>The data used for this analysis was sourced from the Physionet BOLD data set (Goldberger et al., 2000; Matos et al., 2023</w:t>
      </w:r>
      <w:r w:rsidR="00F65306">
        <w:rPr>
          <w:rFonts w:ascii="Verdana" w:hAnsi="Verdana"/>
          <w:sz w:val="20"/>
          <w:szCs w:val="20"/>
        </w:rPr>
        <w:t>a</w:t>
      </w:r>
      <w:r w:rsidRPr="0068717E">
        <w:rPr>
          <w:rFonts w:ascii="Verdana" w:hAnsi="Verdana"/>
          <w:sz w:val="20"/>
          <w:szCs w:val="20"/>
        </w:rPr>
        <w:t>).</w:t>
      </w:r>
      <w:r w:rsidR="002D3D25" w:rsidRPr="0068717E">
        <w:rPr>
          <w:rFonts w:ascii="Verdana" w:hAnsi="Verdana"/>
          <w:sz w:val="20"/>
          <w:szCs w:val="20"/>
        </w:rPr>
        <w:t xml:space="preserve"> The data was accessed after completing the required training and data usage agreement(DUA). </w:t>
      </w:r>
      <w:r w:rsidR="00020EDA" w:rsidRPr="0068717E">
        <w:rPr>
          <w:rFonts w:ascii="Verdana" w:hAnsi="Verdana"/>
          <w:sz w:val="20"/>
          <w:szCs w:val="20"/>
        </w:rPr>
        <w:t xml:space="preserve">While Physionet does have data that can be considered identifiable, this particular data set was de-identified for public </w:t>
      </w:r>
      <w:r w:rsidRPr="0068717E">
        <w:rPr>
          <w:rFonts w:ascii="Verdana" w:hAnsi="Verdana"/>
          <w:sz w:val="20"/>
          <w:szCs w:val="20"/>
        </w:rPr>
        <w:t>usage. The</w:t>
      </w:r>
      <w:r w:rsidR="00020EDA" w:rsidRPr="0068717E">
        <w:rPr>
          <w:rFonts w:ascii="Verdana" w:hAnsi="Verdana"/>
          <w:sz w:val="20"/>
          <w:szCs w:val="20"/>
        </w:rPr>
        <w:t xml:space="preserve"> blood-gas and oximetry linked dataset (BOLD</w:t>
      </w:r>
      <w:r w:rsidR="002D3D25" w:rsidRPr="0068717E">
        <w:rPr>
          <w:rFonts w:ascii="Verdana" w:hAnsi="Verdana"/>
          <w:sz w:val="20"/>
          <w:szCs w:val="20"/>
        </w:rPr>
        <w:t xml:space="preserve">) </w:t>
      </w:r>
      <w:r w:rsidR="00020EDA" w:rsidRPr="0068717E">
        <w:rPr>
          <w:rFonts w:ascii="Verdana" w:hAnsi="Verdana"/>
          <w:sz w:val="20"/>
          <w:szCs w:val="20"/>
        </w:rPr>
        <w:t>found</w:t>
      </w:r>
      <w:r w:rsidR="00020EDA" w:rsidRPr="0068717E">
        <w:rPr>
          <w:rFonts w:ascii="Verdana" w:hAnsi="Verdana"/>
          <w:b/>
          <w:bCs/>
          <w:sz w:val="20"/>
          <w:szCs w:val="20"/>
        </w:rPr>
        <w:t xml:space="preserve"> </w:t>
      </w:r>
      <w:r w:rsidR="00020EDA" w:rsidRPr="0068717E">
        <w:rPr>
          <w:rFonts w:ascii="Verdana" w:hAnsi="Verdana"/>
          <w:sz w:val="20"/>
          <w:szCs w:val="20"/>
        </w:rPr>
        <w:t xml:space="preserve">SpO2 readings that were aligned with SaO2 readings taken within a five-minute time frame. </w:t>
      </w:r>
      <w:r w:rsidR="00EC31E4" w:rsidRPr="0068717E">
        <w:rPr>
          <w:rFonts w:ascii="Verdana" w:hAnsi="Verdana"/>
          <w:sz w:val="20"/>
          <w:szCs w:val="20"/>
        </w:rPr>
        <w:t xml:space="preserve">Variables across the three datasets were standardized, with only those available across all databases being used to reduce the number of null values. </w:t>
      </w:r>
      <w:r w:rsidRPr="0068717E">
        <w:rPr>
          <w:rFonts w:ascii="Verdana" w:hAnsi="Verdana"/>
          <w:sz w:val="20"/>
          <w:szCs w:val="20"/>
        </w:rPr>
        <w:t>A link to the data set can be found here:</w:t>
      </w:r>
    </w:p>
    <w:p w14:paraId="3C6207BC" w14:textId="77777777" w:rsidR="0028760B" w:rsidRPr="0068717E" w:rsidRDefault="0028760B" w:rsidP="0028760B">
      <w:pPr>
        <w:spacing w:after="0" w:line="240" w:lineRule="auto"/>
        <w:ind w:firstLine="360"/>
        <w:rPr>
          <w:rFonts w:ascii="Verdana" w:hAnsi="Verdana"/>
          <w:sz w:val="20"/>
          <w:szCs w:val="20"/>
        </w:rPr>
      </w:pPr>
    </w:p>
    <w:p w14:paraId="4E9BAFE4" w14:textId="3148AAFD" w:rsidR="0028760B" w:rsidRPr="0068717E" w:rsidRDefault="0028760B" w:rsidP="0028760B">
      <w:pPr>
        <w:spacing w:after="0" w:line="240" w:lineRule="auto"/>
        <w:ind w:firstLine="360"/>
        <w:rPr>
          <w:rFonts w:ascii="Verdana" w:hAnsi="Verdana"/>
          <w:sz w:val="20"/>
          <w:szCs w:val="20"/>
        </w:rPr>
      </w:pPr>
      <w:hyperlink r:id="rId9" w:history="1">
        <w:r w:rsidRPr="0068717E">
          <w:rPr>
            <w:rStyle w:val="Hyperlink"/>
            <w:rFonts w:ascii="Verdana" w:hAnsi="Verdana"/>
            <w:sz w:val="20"/>
            <w:szCs w:val="20"/>
          </w:rPr>
          <w:t>https://physionet.org/content/blood-gas-oximetry/1.0/</w:t>
        </w:r>
      </w:hyperlink>
    </w:p>
    <w:p w14:paraId="31A5FFC4" w14:textId="77777777" w:rsidR="0028760B" w:rsidRPr="0068717E" w:rsidRDefault="0028760B" w:rsidP="0028760B">
      <w:pPr>
        <w:spacing w:after="0" w:line="240" w:lineRule="auto"/>
        <w:ind w:firstLine="360"/>
        <w:rPr>
          <w:rFonts w:ascii="Verdana" w:hAnsi="Verdana"/>
          <w:sz w:val="20"/>
          <w:szCs w:val="20"/>
        </w:rPr>
      </w:pPr>
    </w:p>
    <w:p w14:paraId="0559DBDB" w14:textId="5466BAD4" w:rsidR="0028760B" w:rsidRPr="0068717E" w:rsidRDefault="00000000" w:rsidP="0028760B">
      <w:pPr>
        <w:spacing w:after="0" w:line="240" w:lineRule="auto"/>
        <w:ind w:firstLine="360"/>
        <w:rPr>
          <w:rFonts w:ascii="Verdana" w:hAnsi="Verdana"/>
          <w:sz w:val="20"/>
          <w:szCs w:val="20"/>
        </w:rPr>
      </w:pPr>
      <w:r w:rsidRPr="0068717E">
        <w:rPr>
          <w:rFonts w:ascii="Verdana" w:hAnsi="Verdana"/>
          <w:sz w:val="20"/>
          <w:szCs w:val="20"/>
          <w:u w:val="single"/>
        </w:rPr>
        <w:t>Data Gathering</w:t>
      </w:r>
      <w:r w:rsidRPr="0068717E">
        <w:rPr>
          <w:rFonts w:ascii="Verdana" w:hAnsi="Verdana"/>
          <w:sz w:val="20"/>
          <w:szCs w:val="20"/>
        </w:rPr>
        <w:t>: The data was collected from three Electronic Health Record (EHR) databases (MIMIC-III, MIMIC-IV, eICU-CRD). These are large, publicly available data sets that have retrospectively gathered data from ICUs at large hospitals, and all patient information had been de-identified within each database.</w:t>
      </w:r>
    </w:p>
    <w:p w14:paraId="1D52292E" w14:textId="77777777" w:rsidR="00FF247F" w:rsidRPr="0068717E" w:rsidRDefault="00FF247F" w:rsidP="0028760B">
      <w:pPr>
        <w:spacing w:after="0" w:line="240" w:lineRule="auto"/>
        <w:ind w:firstLine="360"/>
        <w:rPr>
          <w:rFonts w:ascii="Verdana" w:hAnsi="Verdana"/>
          <w:sz w:val="20"/>
          <w:szCs w:val="20"/>
        </w:rPr>
      </w:pPr>
    </w:p>
    <w:p w14:paraId="18DCE46E" w14:textId="5AA2C4A0" w:rsidR="00C66594" w:rsidRPr="0068717E" w:rsidRDefault="00000000" w:rsidP="00020EDA">
      <w:pPr>
        <w:spacing w:line="240" w:lineRule="auto"/>
        <w:ind w:firstLine="720"/>
        <w:rPr>
          <w:rFonts w:ascii="Verdana" w:hAnsi="Verdana"/>
          <w:sz w:val="20"/>
          <w:szCs w:val="20"/>
        </w:rPr>
      </w:pPr>
      <w:r w:rsidRPr="0068717E">
        <w:rPr>
          <w:rFonts w:ascii="Verdana" w:hAnsi="Verdana"/>
          <w:sz w:val="20"/>
          <w:szCs w:val="20"/>
        </w:rPr>
        <w:t>The original data set had 49,09</w:t>
      </w:r>
      <w:r w:rsidR="00685ACF" w:rsidRPr="0068717E">
        <w:rPr>
          <w:rFonts w:ascii="Verdana" w:hAnsi="Verdana"/>
          <w:sz w:val="20"/>
          <w:szCs w:val="20"/>
        </w:rPr>
        <w:t>3</w:t>
      </w:r>
      <w:r w:rsidRPr="0068717E">
        <w:rPr>
          <w:rFonts w:ascii="Verdana" w:hAnsi="Verdana"/>
          <w:sz w:val="20"/>
          <w:szCs w:val="20"/>
        </w:rPr>
        <w:t xml:space="preserve"> rows and </w:t>
      </w:r>
      <w:r w:rsidR="00E82CBC" w:rsidRPr="0068717E">
        <w:rPr>
          <w:rFonts w:ascii="Verdana" w:hAnsi="Verdana"/>
          <w:sz w:val="20"/>
          <w:szCs w:val="20"/>
        </w:rPr>
        <w:t xml:space="preserve">142 variables. </w:t>
      </w:r>
      <w:r w:rsidR="00360956" w:rsidRPr="0068717E">
        <w:rPr>
          <w:rFonts w:ascii="Verdana" w:hAnsi="Verdana"/>
          <w:sz w:val="20"/>
          <w:szCs w:val="20"/>
        </w:rPr>
        <w:t xml:space="preserve">It contained approximately </w:t>
      </w:r>
      <w:r w:rsidR="003F2187" w:rsidRPr="003F2187">
        <w:rPr>
          <w:rFonts w:ascii="Verdana" w:hAnsi="Verdana"/>
          <w:sz w:val="20"/>
          <w:szCs w:val="20"/>
        </w:rPr>
        <w:t>1</w:t>
      </w:r>
      <w:r w:rsidR="003F2187">
        <w:rPr>
          <w:rFonts w:ascii="Verdana" w:hAnsi="Verdana"/>
          <w:sz w:val="20"/>
          <w:szCs w:val="20"/>
        </w:rPr>
        <w:t>,</w:t>
      </w:r>
      <w:r w:rsidR="003F2187" w:rsidRPr="003F2187">
        <w:rPr>
          <w:rFonts w:ascii="Verdana" w:hAnsi="Verdana"/>
          <w:sz w:val="20"/>
          <w:szCs w:val="20"/>
        </w:rPr>
        <w:t>719</w:t>
      </w:r>
      <w:r w:rsidR="003F2187">
        <w:rPr>
          <w:rFonts w:ascii="Verdana" w:hAnsi="Verdana"/>
          <w:sz w:val="20"/>
          <w:szCs w:val="20"/>
        </w:rPr>
        <w:t>,</w:t>
      </w:r>
      <w:r w:rsidR="003F2187" w:rsidRPr="003F2187">
        <w:rPr>
          <w:rFonts w:ascii="Verdana" w:hAnsi="Verdana"/>
          <w:sz w:val="20"/>
          <w:szCs w:val="20"/>
        </w:rPr>
        <w:t>765</w:t>
      </w:r>
      <w:r w:rsidR="003F2187">
        <w:rPr>
          <w:rFonts w:ascii="Verdana" w:hAnsi="Verdana"/>
          <w:sz w:val="20"/>
          <w:szCs w:val="20"/>
        </w:rPr>
        <w:t xml:space="preserve"> </w:t>
      </w:r>
      <w:r w:rsidR="00360956" w:rsidRPr="0068717E">
        <w:rPr>
          <w:rFonts w:ascii="Verdana" w:hAnsi="Verdana"/>
          <w:sz w:val="20"/>
          <w:szCs w:val="20"/>
        </w:rPr>
        <w:t>NaN values out of 6,971,206 total values (</w:t>
      </w:r>
      <w:r w:rsidR="008A0322" w:rsidRPr="008A0322">
        <w:rPr>
          <w:rFonts w:ascii="Verdana" w:hAnsi="Verdana"/>
          <w:sz w:val="20"/>
          <w:szCs w:val="20"/>
        </w:rPr>
        <w:t>24.67%</w:t>
      </w:r>
      <w:r w:rsidR="00360956" w:rsidRPr="0068717E">
        <w:rPr>
          <w:rFonts w:ascii="Verdana" w:hAnsi="Verdana"/>
          <w:sz w:val="20"/>
          <w:szCs w:val="20"/>
        </w:rPr>
        <w:t xml:space="preserve">). </w:t>
      </w:r>
      <w:r w:rsidR="00E82CBC" w:rsidRPr="0068717E">
        <w:rPr>
          <w:rFonts w:ascii="Verdana" w:hAnsi="Verdana"/>
          <w:sz w:val="20"/>
          <w:szCs w:val="20"/>
        </w:rPr>
        <w:t xml:space="preserve">After cleaning and feature engineering, the final data set will </w:t>
      </w:r>
      <w:r w:rsidR="002D3D25" w:rsidRPr="0068717E">
        <w:rPr>
          <w:rFonts w:ascii="Verdana" w:hAnsi="Verdana"/>
          <w:sz w:val="20"/>
          <w:szCs w:val="20"/>
        </w:rPr>
        <w:t>contain</w:t>
      </w:r>
      <w:r w:rsidR="00AA0B45">
        <w:rPr>
          <w:rFonts w:ascii="Verdana" w:hAnsi="Verdana"/>
          <w:sz w:val="20"/>
          <w:szCs w:val="20"/>
        </w:rPr>
        <w:t xml:space="preserve"> </w:t>
      </w:r>
      <w:r w:rsidR="0098460F">
        <w:rPr>
          <w:rFonts w:ascii="Verdana" w:hAnsi="Verdana"/>
          <w:sz w:val="20"/>
          <w:szCs w:val="20"/>
        </w:rPr>
        <w:t>49,093</w:t>
      </w:r>
      <w:r w:rsidR="00E82CBC" w:rsidRPr="0068717E">
        <w:rPr>
          <w:rFonts w:ascii="Verdana" w:hAnsi="Verdana"/>
          <w:sz w:val="20"/>
          <w:szCs w:val="20"/>
        </w:rPr>
        <w:t xml:space="preserve"> rows and </w:t>
      </w:r>
      <w:r w:rsidR="0028760B" w:rsidRPr="0068717E">
        <w:rPr>
          <w:rFonts w:ascii="Verdana" w:hAnsi="Verdana"/>
          <w:sz w:val="20"/>
          <w:szCs w:val="20"/>
        </w:rPr>
        <w:t>3</w:t>
      </w:r>
      <w:r w:rsidR="0098460F">
        <w:rPr>
          <w:rFonts w:ascii="Verdana" w:hAnsi="Verdana"/>
          <w:sz w:val="20"/>
          <w:szCs w:val="20"/>
        </w:rPr>
        <w:t>8</w:t>
      </w:r>
      <w:r w:rsidR="00E82CBC" w:rsidRPr="0068717E">
        <w:rPr>
          <w:rFonts w:ascii="Verdana" w:hAnsi="Verdana"/>
          <w:sz w:val="20"/>
          <w:szCs w:val="20"/>
        </w:rPr>
        <w:t xml:space="preserve"> columns. </w:t>
      </w:r>
      <w:r w:rsidR="008A0322">
        <w:rPr>
          <w:rFonts w:ascii="Verdana" w:hAnsi="Verdana"/>
          <w:sz w:val="20"/>
          <w:szCs w:val="20"/>
        </w:rPr>
        <w:t xml:space="preserve">The sparsity of the </w:t>
      </w:r>
      <w:r w:rsidR="00F1500E">
        <w:rPr>
          <w:rFonts w:ascii="Verdana" w:hAnsi="Verdana"/>
          <w:sz w:val="20"/>
          <w:szCs w:val="20"/>
        </w:rPr>
        <w:t xml:space="preserve">cleaned </w:t>
      </w:r>
      <w:r w:rsidR="00881870">
        <w:rPr>
          <w:rFonts w:ascii="Verdana" w:hAnsi="Verdana"/>
          <w:sz w:val="20"/>
          <w:szCs w:val="20"/>
        </w:rPr>
        <w:t>data frame</w:t>
      </w:r>
      <w:r w:rsidR="008A0322">
        <w:rPr>
          <w:rFonts w:ascii="Verdana" w:hAnsi="Verdana"/>
          <w:sz w:val="20"/>
          <w:szCs w:val="20"/>
        </w:rPr>
        <w:t xml:space="preserve"> </w:t>
      </w:r>
      <w:r w:rsidR="0098460F">
        <w:rPr>
          <w:rFonts w:ascii="Verdana" w:hAnsi="Verdana"/>
          <w:sz w:val="20"/>
          <w:szCs w:val="20"/>
        </w:rPr>
        <w:t>is 19.15%.</w:t>
      </w:r>
    </w:p>
    <w:p w14:paraId="241B2BFD" w14:textId="77777777" w:rsidR="00360956" w:rsidRPr="0068717E" w:rsidRDefault="00360956" w:rsidP="00020EDA">
      <w:pPr>
        <w:spacing w:line="240" w:lineRule="auto"/>
        <w:ind w:firstLine="720"/>
        <w:rPr>
          <w:rFonts w:ascii="Verdana" w:hAnsi="Verdana"/>
          <w:sz w:val="20"/>
          <w:szCs w:val="20"/>
        </w:rPr>
      </w:pPr>
    </w:p>
    <w:tbl>
      <w:tblPr>
        <w:tblStyle w:val="GridTable2-Accent41"/>
        <w:tblW w:w="0" w:type="auto"/>
        <w:tblInd w:w="5" w:type="dxa"/>
        <w:tblLook w:val="04A0" w:firstRow="1" w:lastRow="0" w:firstColumn="1" w:lastColumn="0" w:noHBand="0" w:noVBand="1"/>
      </w:tblPr>
      <w:tblGrid>
        <w:gridCol w:w="2335"/>
        <w:gridCol w:w="2070"/>
        <w:gridCol w:w="2070"/>
        <w:gridCol w:w="2880"/>
      </w:tblGrid>
      <w:tr w:rsidR="00E6479F" w14:paraId="783CA750" w14:textId="77777777" w:rsidTr="00E64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0A7E9E"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color w:val="000000"/>
                <w:sz w:val="20"/>
                <w:szCs w:val="20"/>
              </w:rPr>
              <w:lastRenderedPageBreak/>
              <w:t>Variable</w:t>
            </w:r>
          </w:p>
        </w:tc>
        <w:tc>
          <w:tcPr>
            <w:tcW w:w="2070" w:type="dxa"/>
          </w:tcPr>
          <w:p w14:paraId="51A87972" w14:textId="77777777" w:rsidR="0028760B" w:rsidRPr="0068717E" w:rsidRDefault="00000000" w:rsidP="0028760B">
            <w:pPr>
              <w:spacing w:after="0" w:line="240" w:lineRule="auto"/>
              <w:cnfStyle w:val="100000000000" w:firstRow="1"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Variable Type</w:t>
            </w:r>
          </w:p>
        </w:tc>
        <w:tc>
          <w:tcPr>
            <w:tcW w:w="2070" w:type="dxa"/>
          </w:tcPr>
          <w:p w14:paraId="4747E29B" w14:textId="77777777" w:rsidR="0028760B" w:rsidRPr="0068717E" w:rsidRDefault="00000000" w:rsidP="0028760B">
            <w:pPr>
              <w:spacing w:after="0" w:line="240" w:lineRule="auto"/>
              <w:cnfStyle w:val="100000000000" w:firstRow="1"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Feature Engineering</w:t>
            </w:r>
          </w:p>
        </w:tc>
        <w:tc>
          <w:tcPr>
            <w:tcW w:w="2880" w:type="dxa"/>
          </w:tcPr>
          <w:p w14:paraId="2BCD2622" w14:textId="77777777" w:rsidR="0028760B" w:rsidRPr="0068717E" w:rsidRDefault="00000000" w:rsidP="0028760B">
            <w:pPr>
              <w:spacing w:after="0" w:line="240" w:lineRule="auto"/>
              <w:cnfStyle w:val="100000000000" w:firstRow="1" w:lastRow="0" w:firstColumn="0" w:lastColumn="0" w:oddVBand="0" w:evenVBand="0" w:oddHBand="0"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Variable Type</w:t>
            </w:r>
          </w:p>
        </w:tc>
      </w:tr>
      <w:tr w:rsidR="00E6479F" w14:paraId="786D196D"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EB9469"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color w:val="000000"/>
                <w:sz w:val="20"/>
                <w:szCs w:val="20"/>
              </w:rPr>
              <w:t>admission_age</w:t>
            </w:r>
          </w:p>
        </w:tc>
        <w:tc>
          <w:tcPr>
            <w:tcW w:w="2070" w:type="dxa"/>
          </w:tcPr>
          <w:p w14:paraId="6DA94CA5"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Numeric</w:t>
            </w:r>
          </w:p>
        </w:tc>
        <w:tc>
          <w:tcPr>
            <w:tcW w:w="2070" w:type="dxa"/>
          </w:tcPr>
          <w:p w14:paraId="12EE413E"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No</w:t>
            </w:r>
          </w:p>
        </w:tc>
        <w:tc>
          <w:tcPr>
            <w:tcW w:w="2880" w:type="dxa"/>
          </w:tcPr>
          <w:p w14:paraId="59499F32"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28C9842D"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0C7569C1"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color w:val="000000"/>
                <w:sz w:val="20"/>
                <w:szCs w:val="20"/>
              </w:rPr>
              <w:t>sex_female</w:t>
            </w:r>
          </w:p>
        </w:tc>
        <w:tc>
          <w:tcPr>
            <w:tcW w:w="2070" w:type="dxa"/>
          </w:tcPr>
          <w:p w14:paraId="0F66CE09"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Categorical</w:t>
            </w:r>
          </w:p>
        </w:tc>
        <w:tc>
          <w:tcPr>
            <w:tcW w:w="2070" w:type="dxa"/>
          </w:tcPr>
          <w:p w14:paraId="75FAD63B"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No</w:t>
            </w:r>
          </w:p>
        </w:tc>
        <w:tc>
          <w:tcPr>
            <w:tcW w:w="2880" w:type="dxa"/>
          </w:tcPr>
          <w:p w14:paraId="32F980A8"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3B2A2CD3"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5E06F57"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color w:val="000000"/>
                <w:sz w:val="20"/>
                <w:szCs w:val="20"/>
              </w:rPr>
              <w:t>race_ethnicity</w:t>
            </w:r>
          </w:p>
        </w:tc>
        <w:tc>
          <w:tcPr>
            <w:tcW w:w="2070" w:type="dxa"/>
          </w:tcPr>
          <w:p w14:paraId="1E1C30E7"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Categorical</w:t>
            </w:r>
          </w:p>
        </w:tc>
        <w:tc>
          <w:tcPr>
            <w:tcW w:w="2070" w:type="dxa"/>
          </w:tcPr>
          <w:p w14:paraId="3A8CCEA8"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No</w:t>
            </w:r>
          </w:p>
        </w:tc>
        <w:tc>
          <w:tcPr>
            <w:tcW w:w="2880" w:type="dxa"/>
          </w:tcPr>
          <w:p w14:paraId="46E0DA79"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5C83A4F3"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5C065E76"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color w:val="000000"/>
                <w:sz w:val="20"/>
                <w:szCs w:val="20"/>
              </w:rPr>
              <w:t>spo2</w:t>
            </w:r>
          </w:p>
        </w:tc>
        <w:tc>
          <w:tcPr>
            <w:tcW w:w="2070" w:type="dxa"/>
          </w:tcPr>
          <w:p w14:paraId="7B62BD77"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Numeric</w:t>
            </w:r>
          </w:p>
        </w:tc>
        <w:tc>
          <w:tcPr>
            <w:tcW w:w="2070" w:type="dxa"/>
          </w:tcPr>
          <w:p w14:paraId="160B6DF4"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No</w:t>
            </w:r>
          </w:p>
        </w:tc>
        <w:tc>
          <w:tcPr>
            <w:tcW w:w="2880" w:type="dxa"/>
          </w:tcPr>
          <w:p w14:paraId="4F85D686"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2D04D275"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5BE90D" w14:textId="77777777" w:rsidR="0028760B" w:rsidRPr="0098460F" w:rsidRDefault="00000000" w:rsidP="0028760B">
            <w:pPr>
              <w:spacing w:after="0" w:line="240" w:lineRule="auto"/>
              <w:rPr>
                <w:rFonts w:ascii="Verdana" w:eastAsia="Aptos" w:hAnsi="Verdana" w:cs="Calibri"/>
                <w:i/>
                <w:iCs/>
                <w:sz w:val="20"/>
                <w:szCs w:val="20"/>
              </w:rPr>
            </w:pPr>
            <w:r w:rsidRPr="0098460F">
              <w:rPr>
                <w:rFonts w:ascii="Verdana" w:eastAsia="Aptos" w:hAnsi="Verdana" w:cs="Calibri"/>
                <w:i/>
                <w:iCs/>
                <w:sz w:val="20"/>
                <w:szCs w:val="20"/>
              </w:rPr>
              <w:t>gap</w:t>
            </w:r>
          </w:p>
        </w:tc>
        <w:tc>
          <w:tcPr>
            <w:tcW w:w="2070" w:type="dxa"/>
          </w:tcPr>
          <w:p w14:paraId="7E086B57" w14:textId="77777777" w:rsidR="0028760B" w:rsidRPr="0098460F"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i/>
                <w:iCs/>
                <w:sz w:val="20"/>
                <w:szCs w:val="20"/>
              </w:rPr>
            </w:pPr>
            <w:r w:rsidRPr="0098460F">
              <w:rPr>
                <w:rFonts w:ascii="Verdana" w:eastAsia="Aptos" w:hAnsi="Verdana" w:cs="Calibri"/>
                <w:i/>
                <w:iCs/>
                <w:sz w:val="20"/>
                <w:szCs w:val="20"/>
              </w:rPr>
              <w:t>Numeric</w:t>
            </w:r>
          </w:p>
        </w:tc>
        <w:tc>
          <w:tcPr>
            <w:tcW w:w="2070" w:type="dxa"/>
          </w:tcPr>
          <w:p w14:paraId="240ADDB8" w14:textId="77777777" w:rsidR="0028760B" w:rsidRPr="0098460F"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i/>
                <w:iCs/>
                <w:sz w:val="20"/>
                <w:szCs w:val="20"/>
              </w:rPr>
            </w:pPr>
            <w:r w:rsidRPr="0098460F">
              <w:rPr>
                <w:rFonts w:ascii="Verdana" w:eastAsia="Aptos" w:hAnsi="Verdana" w:cs="Calibri"/>
                <w:i/>
                <w:iCs/>
                <w:sz w:val="20"/>
                <w:szCs w:val="20"/>
              </w:rPr>
              <w:t>Yes</w:t>
            </w:r>
          </w:p>
        </w:tc>
        <w:tc>
          <w:tcPr>
            <w:tcW w:w="2880" w:type="dxa"/>
          </w:tcPr>
          <w:p w14:paraId="4FE8B216" w14:textId="77777777" w:rsidR="0028760B" w:rsidRPr="0098460F"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i/>
                <w:iCs/>
                <w:sz w:val="20"/>
                <w:szCs w:val="20"/>
              </w:rPr>
            </w:pPr>
            <w:r w:rsidRPr="0098460F">
              <w:rPr>
                <w:rFonts w:ascii="Verdana" w:eastAsia="Aptos" w:hAnsi="Verdana" w:cs="Calibri"/>
                <w:i/>
                <w:iCs/>
                <w:sz w:val="20"/>
                <w:szCs w:val="20"/>
              </w:rPr>
              <w:t>Dependent</w:t>
            </w:r>
          </w:p>
        </w:tc>
      </w:tr>
      <w:tr w:rsidR="00E6479F" w14:paraId="5131EEEC"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2D0A8B87"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vitals_heart_rate</w:t>
            </w:r>
          </w:p>
        </w:tc>
        <w:tc>
          <w:tcPr>
            <w:tcW w:w="2070" w:type="dxa"/>
          </w:tcPr>
          <w:p w14:paraId="0897764A"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35A1A9DC"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15FE2083"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6A60E36A"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A7A975"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vitals_sbp_ni</w:t>
            </w:r>
          </w:p>
        </w:tc>
        <w:tc>
          <w:tcPr>
            <w:tcW w:w="2070" w:type="dxa"/>
          </w:tcPr>
          <w:p w14:paraId="521C9930"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E2D9C4F"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26D23C52"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30656F4F"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22013A3E"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cbc_hemoglobin</w:t>
            </w:r>
          </w:p>
        </w:tc>
        <w:tc>
          <w:tcPr>
            <w:tcW w:w="2070" w:type="dxa"/>
          </w:tcPr>
          <w:p w14:paraId="2424231C"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1963A0B2"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1E1896FF"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6AC1BADE"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6BE5CB"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cbc_hematocrit</w:t>
            </w:r>
          </w:p>
        </w:tc>
        <w:tc>
          <w:tcPr>
            <w:tcW w:w="2070" w:type="dxa"/>
          </w:tcPr>
          <w:p w14:paraId="4C5B6A26"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6A03FFA1"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3672BCCC"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378AC631"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252AD1E8"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o2_carry</w:t>
            </w:r>
          </w:p>
        </w:tc>
        <w:tc>
          <w:tcPr>
            <w:tcW w:w="2070" w:type="dxa"/>
          </w:tcPr>
          <w:p w14:paraId="76C38366"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4594E341"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Yes</w:t>
            </w:r>
          </w:p>
        </w:tc>
        <w:tc>
          <w:tcPr>
            <w:tcW w:w="2880" w:type="dxa"/>
          </w:tcPr>
          <w:p w14:paraId="7BDF108C"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68E2B5E5"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E21EE4"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cbc_mch</w:t>
            </w:r>
          </w:p>
        </w:tc>
        <w:tc>
          <w:tcPr>
            <w:tcW w:w="2070" w:type="dxa"/>
          </w:tcPr>
          <w:p w14:paraId="3AC7E98B"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25755BC"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0B80D7C7"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70C72AFF"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5C6912C4"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cbc_mchc</w:t>
            </w:r>
          </w:p>
        </w:tc>
        <w:tc>
          <w:tcPr>
            <w:tcW w:w="2070" w:type="dxa"/>
          </w:tcPr>
          <w:p w14:paraId="4601DDB7"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50A3A0A1"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30561097"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7A06AD92"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3C9770B"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cbc_mcv</w:t>
            </w:r>
          </w:p>
        </w:tc>
        <w:tc>
          <w:tcPr>
            <w:tcW w:w="2070" w:type="dxa"/>
          </w:tcPr>
          <w:p w14:paraId="02E8A4F6"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320D1B2E"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3BD874D4"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75683E14"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6D3DC1F5"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cbc_rbc</w:t>
            </w:r>
          </w:p>
        </w:tc>
        <w:tc>
          <w:tcPr>
            <w:tcW w:w="2070" w:type="dxa"/>
          </w:tcPr>
          <w:p w14:paraId="7546C0DF"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3662285E"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6EB373A4"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5FE11745"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B228DDC"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cbc_rdw</w:t>
            </w:r>
          </w:p>
        </w:tc>
        <w:tc>
          <w:tcPr>
            <w:tcW w:w="2070" w:type="dxa"/>
          </w:tcPr>
          <w:p w14:paraId="37A90FDB"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6BD223B7"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77B1178B"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32EE3597"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5946A1EF"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bmp_sodium</w:t>
            </w:r>
          </w:p>
        </w:tc>
        <w:tc>
          <w:tcPr>
            <w:tcW w:w="2070" w:type="dxa"/>
          </w:tcPr>
          <w:p w14:paraId="05BF2EEF"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127849E3"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2BB752BF"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5E4DA29E"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78AB147"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bmp_potassium</w:t>
            </w:r>
          </w:p>
        </w:tc>
        <w:tc>
          <w:tcPr>
            <w:tcW w:w="2070" w:type="dxa"/>
          </w:tcPr>
          <w:p w14:paraId="1EBFDF51"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41E6D6E8"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4FCF49C3"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372B516F"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63646D00"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bmp_bicarbonate</w:t>
            </w:r>
          </w:p>
        </w:tc>
        <w:tc>
          <w:tcPr>
            <w:tcW w:w="2070" w:type="dxa"/>
          </w:tcPr>
          <w:p w14:paraId="1EB67E88"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5A20DF9A"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3A2EF9A0"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7E096E19"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DFCECB"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bmp_bun</w:t>
            </w:r>
          </w:p>
        </w:tc>
        <w:tc>
          <w:tcPr>
            <w:tcW w:w="2070" w:type="dxa"/>
          </w:tcPr>
          <w:p w14:paraId="0C0CEF75"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674B0756"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4465520C"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44F8F6D7"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4AD1A9D2"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bmp_creatinine</w:t>
            </w:r>
          </w:p>
        </w:tc>
        <w:tc>
          <w:tcPr>
            <w:tcW w:w="2070" w:type="dxa"/>
          </w:tcPr>
          <w:p w14:paraId="686CB6FA"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DB47EEC"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0075DF02"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4648EB9B"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E2268E8"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bmp_glucose</w:t>
            </w:r>
          </w:p>
        </w:tc>
        <w:tc>
          <w:tcPr>
            <w:tcW w:w="2070" w:type="dxa"/>
          </w:tcPr>
          <w:p w14:paraId="291F4035"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EEF0660"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22D4518A"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Independent</w:t>
            </w:r>
          </w:p>
        </w:tc>
      </w:tr>
      <w:tr w:rsidR="00E6479F" w14:paraId="631CF038"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7683764B"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bmp_anion_gap</w:t>
            </w:r>
          </w:p>
        </w:tc>
        <w:tc>
          <w:tcPr>
            <w:tcW w:w="2070" w:type="dxa"/>
          </w:tcPr>
          <w:p w14:paraId="2C5E050C"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DF4631E"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138B53DD"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3FDDAA33"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8387141"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bun_cr_ration</w:t>
            </w:r>
          </w:p>
        </w:tc>
        <w:tc>
          <w:tcPr>
            <w:tcW w:w="2070" w:type="dxa"/>
          </w:tcPr>
          <w:p w14:paraId="585DAD71"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1CD3B84C"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Yes</w:t>
            </w:r>
          </w:p>
        </w:tc>
        <w:tc>
          <w:tcPr>
            <w:tcW w:w="2880" w:type="dxa"/>
          </w:tcPr>
          <w:p w14:paraId="0151F2D6"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202CB838"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35D731AF"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bmp_calcium</w:t>
            </w:r>
          </w:p>
        </w:tc>
        <w:tc>
          <w:tcPr>
            <w:tcW w:w="2070" w:type="dxa"/>
          </w:tcPr>
          <w:p w14:paraId="1B99CCA2"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764C3652"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64CCCEF7"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10E40943"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A3F1B1"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bmp_lactate</w:t>
            </w:r>
          </w:p>
        </w:tc>
        <w:tc>
          <w:tcPr>
            <w:tcW w:w="2070" w:type="dxa"/>
          </w:tcPr>
          <w:p w14:paraId="227BF9BB"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09283A1A"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6749AFA4"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439BC306"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17440B49"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hfp_albumin</w:t>
            </w:r>
          </w:p>
        </w:tc>
        <w:tc>
          <w:tcPr>
            <w:tcW w:w="2070" w:type="dxa"/>
          </w:tcPr>
          <w:p w14:paraId="2871AEFC"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C52CD9E"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7FA6F897"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04C00E74"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9594EC"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weight_winz</w:t>
            </w:r>
          </w:p>
        </w:tc>
        <w:tc>
          <w:tcPr>
            <w:tcW w:w="2070" w:type="dxa"/>
          </w:tcPr>
          <w:p w14:paraId="0A7EF01D"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42CE3BDC"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7CDB5104"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6661842C"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56F71F54"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height_winz</w:t>
            </w:r>
          </w:p>
        </w:tc>
        <w:tc>
          <w:tcPr>
            <w:tcW w:w="2070" w:type="dxa"/>
          </w:tcPr>
          <w:p w14:paraId="6179B347"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14DF9BDD"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616B246E"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322F72DC"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18819F"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bmi_winz</w:t>
            </w:r>
          </w:p>
        </w:tc>
        <w:tc>
          <w:tcPr>
            <w:tcW w:w="2070" w:type="dxa"/>
          </w:tcPr>
          <w:p w14:paraId="35319158"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49A1BBFA"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5CB54BF2"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1557A915"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615623A2"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pbw</w:t>
            </w:r>
          </w:p>
        </w:tc>
        <w:tc>
          <w:tcPr>
            <w:tcW w:w="2070" w:type="dxa"/>
          </w:tcPr>
          <w:p w14:paraId="40A1E328"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1D943F30"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Yes</w:t>
            </w:r>
          </w:p>
        </w:tc>
        <w:tc>
          <w:tcPr>
            <w:tcW w:w="2880" w:type="dxa"/>
          </w:tcPr>
          <w:p w14:paraId="5B48DD1E"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1CDF19D0"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FE54A8"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resp_winz</w:t>
            </w:r>
          </w:p>
        </w:tc>
        <w:tc>
          <w:tcPr>
            <w:tcW w:w="2070" w:type="dxa"/>
          </w:tcPr>
          <w:p w14:paraId="5E029C8D"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53CC02A"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26A4D729"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color w:val="000000"/>
                <w:sz w:val="20"/>
                <w:szCs w:val="20"/>
              </w:rPr>
            </w:pPr>
            <w:r w:rsidRPr="0068717E">
              <w:rPr>
                <w:rFonts w:ascii="Verdana" w:eastAsia="Aptos" w:hAnsi="Verdana" w:cs="Calibri"/>
                <w:color w:val="000000"/>
                <w:sz w:val="20"/>
                <w:szCs w:val="20"/>
              </w:rPr>
              <w:t>Independent</w:t>
            </w:r>
          </w:p>
        </w:tc>
      </w:tr>
      <w:tr w:rsidR="00E6479F" w14:paraId="70FB1AF5"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35EDF2D7"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mbp_winz</w:t>
            </w:r>
          </w:p>
        </w:tc>
        <w:tc>
          <w:tcPr>
            <w:tcW w:w="2070" w:type="dxa"/>
          </w:tcPr>
          <w:p w14:paraId="0489F761"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3BE3EC7A"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31F3CC8D"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3AAC0FD8"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C460BC2"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temp_winz</w:t>
            </w:r>
          </w:p>
        </w:tc>
        <w:tc>
          <w:tcPr>
            <w:tcW w:w="2070" w:type="dxa"/>
          </w:tcPr>
          <w:p w14:paraId="563DFAC0"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22C97989"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264831D2"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5BCAFB67"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75E8A10A"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wbc_winz</w:t>
            </w:r>
          </w:p>
        </w:tc>
        <w:tc>
          <w:tcPr>
            <w:tcW w:w="2070" w:type="dxa"/>
          </w:tcPr>
          <w:p w14:paraId="7876F916"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073EB5F6"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0BD74050"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6A99E232"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1B7D0E"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alt_winz</w:t>
            </w:r>
          </w:p>
        </w:tc>
        <w:tc>
          <w:tcPr>
            <w:tcW w:w="2070" w:type="dxa"/>
          </w:tcPr>
          <w:p w14:paraId="5A99455F"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45072BB2"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3F2431DE"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51385B54" w14:textId="77777777" w:rsidTr="00E6479F">
        <w:tc>
          <w:tcPr>
            <w:cnfStyle w:val="001000000000" w:firstRow="0" w:lastRow="0" w:firstColumn="1" w:lastColumn="0" w:oddVBand="0" w:evenVBand="0" w:oddHBand="0" w:evenHBand="0" w:firstRowFirstColumn="0" w:firstRowLastColumn="0" w:lastRowFirstColumn="0" w:lastRowLastColumn="0"/>
            <w:tcW w:w="2335" w:type="dxa"/>
          </w:tcPr>
          <w:p w14:paraId="2C877C1F"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alp_winz</w:t>
            </w:r>
          </w:p>
        </w:tc>
        <w:tc>
          <w:tcPr>
            <w:tcW w:w="2070" w:type="dxa"/>
          </w:tcPr>
          <w:p w14:paraId="64B17093"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0638A3E7"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45F488FE" w14:textId="77777777" w:rsidR="0028760B" w:rsidRPr="0068717E" w:rsidRDefault="00000000" w:rsidP="0028760B">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r w:rsidR="00E6479F" w14:paraId="60A579B8" w14:textId="77777777" w:rsidTr="00E6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14844C" w14:textId="77777777" w:rsidR="0028760B" w:rsidRPr="0068717E" w:rsidRDefault="00000000" w:rsidP="0028760B">
            <w:pPr>
              <w:spacing w:after="0" w:line="240" w:lineRule="auto"/>
              <w:rPr>
                <w:rFonts w:ascii="Verdana" w:eastAsia="Aptos" w:hAnsi="Verdana" w:cs="Calibri"/>
                <w:sz w:val="20"/>
                <w:szCs w:val="20"/>
              </w:rPr>
            </w:pPr>
            <w:r w:rsidRPr="0068717E">
              <w:rPr>
                <w:rFonts w:ascii="Verdana" w:eastAsia="Aptos" w:hAnsi="Verdana" w:cs="Calibri"/>
                <w:sz w:val="20"/>
                <w:szCs w:val="20"/>
              </w:rPr>
              <w:t>ast_winz</w:t>
            </w:r>
          </w:p>
        </w:tc>
        <w:tc>
          <w:tcPr>
            <w:tcW w:w="2070" w:type="dxa"/>
          </w:tcPr>
          <w:p w14:paraId="00244F33"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Numeric</w:t>
            </w:r>
          </w:p>
        </w:tc>
        <w:tc>
          <w:tcPr>
            <w:tcW w:w="2070" w:type="dxa"/>
          </w:tcPr>
          <w:p w14:paraId="0BFF071C"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sz w:val="20"/>
                <w:szCs w:val="20"/>
              </w:rPr>
              <w:t>No</w:t>
            </w:r>
          </w:p>
        </w:tc>
        <w:tc>
          <w:tcPr>
            <w:tcW w:w="2880" w:type="dxa"/>
          </w:tcPr>
          <w:p w14:paraId="51C07DC3" w14:textId="77777777" w:rsidR="0028760B" w:rsidRPr="0068717E" w:rsidRDefault="00000000" w:rsidP="0028760B">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Aptos" w:hAnsi="Verdana" w:cs="Calibri"/>
                <w:sz w:val="20"/>
                <w:szCs w:val="20"/>
              </w:rPr>
            </w:pPr>
            <w:r w:rsidRPr="0068717E">
              <w:rPr>
                <w:rFonts w:ascii="Verdana" w:eastAsia="Aptos" w:hAnsi="Verdana" w:cs="Calibri"/>
                <w:color w:val="000000"/>
                <w:sz w:val="20"/>
                <w:szCs w:val="20"/>
              </w:rPr>
              <w:t>Independent</w:t>
            </w:r>
          </w:p>
        </w:tc>
      </w:tr>
    </w:tbl>
    <w:p w14:paraId="11F13287" w14:textId="77777777" w:rsidR="0028760B" w:rsidRPr="0068717E" w:rsidRDefault="0028760B" w:rsidP="00020EDA">
      <w:pPr>
        <w:spacing w:line="240" w:lineRule="auto"/>
        <w:ind w:firstLine="720"/>
        <w:rPr>
          <w:rFonts w:ascii="Verdana" w:hAnsi="Verdana"/>
          <w:b/>
          <w:bCs/>
          <w:sz w:val="20"/>
          <w:szCs w:val="20"/>
        </w:rPr>
      </w:pPr>
    </w:p>
    <w:p w14:paraId="2FBD4939" w14:textId="41735710" w:rsidR="00237B77" w:rsidRPr="0068717E" w:rsidRDefault="00000000" w:rsidP="00C66594">
      <w:pPr>
        <w:spacing w:after="0" w:line="240" w:lineRule="auto"/>
        <w:rPr>
          <w:rFonts w:ascii="Verdana" w:hAnsi="Verdana"/>
          <w:sz w:val="20"/>
          <w:szCs w:val="20"/>
        </w:rPr>
      </w:pPr>
      <w:r w:rsidRPr="0068717E">
        <w:rPr>
          <w:rFonts w:ascii="Verdana" w:hAnsi="Verdana"/>
          <w:sz w:val="20"/>
          <w:szCs w:val="20"/>
          <w:u w:val="single"/>
        </w:rPr>
        <w:t>Limitations</w:t>
      </w:r>
      <w:r w:rsidR="000921FB" w:rsidRPr="0068717E">
        <w:rPr>
          <w:rFonts w:ascii="Verdana" w:hAnsi="Verdana"/>
          <w:sz w:val="20"/>
          <w:szCs w:val="20"/>
        </w:rPr>
        <w:t xml:space="preserve">: </w:t>
      </w:r>
      <w:r w:rsidR="00360956" w:rsidRPr="0068717E">
        <w:rPr>
          <w:rFonts w:ascii="Verdana" w:hAnsi="Verdana"/>
          <w:sz w:val="20"/>
          <w:szCs w:val="20"/>
        </w:rPr>
        <w:t>The dataset has two significant class imbalances that will present challenges: Patients with hidden hypoxemia represent only 3.5% of the dataset, and patients with a SpO2-SaO2 gap greater than 3% are only present in 23% of the cases.</w:t>
      </w:r>
      <w:r w:rsidR="000921FB" w:rsidRPr="0068717E">
        <w:rPr>
          <w:rFonts w:ascii="Verdana" w:hAnsi="Verdana"/>
          <w:sz w:val="20"/>
          <w:szCs w:val="20"/>
        </w:rPr>
        <w:t xml:space="preserve"> </w:t>
      </w:r>
      <w:r w:rsidR="00FE058C" w:rsidRPr="0068717E">
        <w:rPr>
          <w:rFonts w:ascii="Verdana" w:hAnsi="Verdana"/>
          <w:sz w:val="20"/>
          <w:szCs w:val="20"/>
        </w:rPr>
        <w:t>While the SpO2- SaO2 were collected within a five-minute window, the other lab values were drawn within 24 hours of the SpO2 reading. In an ICU setting, many labs are redrawn within four to six hours so that changes over time can be trended and any changes addressed promptly.</w:t>
      </w:r>
      <w:r w:rsidR="00360956" w:rsidRPr="0068717E">
        <w:rPr>
          <w:rFonts w:ascii="Verdana" w:hAnsi="Verdana"/>
          <w:sz w:val="20"/>
          <w:szCs w:val="20"/>
        </w:rPr>
        <w:t xml:space="preserve"> This data has values that may not be relevant in relation to the time the SaO2 was drawn, which may reduce the predictive power of some features.</w:t>
      </w:r>
    </w:p>
    <w:p w14:paraId="6517A7FE" w14:textId="77777777" w:rsidR="00360956" w:rsidRPr="0068717E" w:rsidRDefault="00360956" w:rsidP="00C66594">
      <w:pPr>
        <w:spacing w:after="0" w:line="240" w:lineRule="auto"/>
        <w:rPr>
          <w:rFonts w:ascii="Verdana" w:hAnsi="Verdana"/>
          <w:sz w:val="20"/>
          <w:szCs w:val="20"/>
        </w:rPr>
      </w:pPr>
    </w:p>
    <w:p w14:paraId="756D4CCF" w14:textId="77777777" w:rsidR="00360956" w:rsidRPr="0068717E" w:rsidRDefault="00360956" w:rsidP="00C66594">
      <w:pPr>
        <w:spacing w:after="0" w:line="240" w:lineRule="auto"/>
        <w:rPr>
          <w:rFonts w:ascii="Verdana" w:hAnsi="Verdana"/>
          <w:sz w:val="20"/>
          <w:szCs w:val="20"/>
        </w:rPr>
      </w:pPr>
    </w:p>
    <w:p w14:paraId="191E311A" w14:textId="68D742A1" w:rsidR="00360956" w:rsidRPr="0068717E" w:rsidRDefault="00000000" w:rsidP="00C66594">
      <w:pPr>
        <w:spacing w:after="0" w:line="240" w:lineRule="auto"/>
        <w:rPr>
          <w:rFonts w:ascii="Verdana" w:hAnsi="Verdana"/>
          <w:sz w:val="20"/>
          <w:szCs w:val="20"/>
        </w:rPr>
      </w:pPr>
      <w:r w:rsidRPr="0068717E">
        <w:rPr>
          <w:rFonts w:ascii="Verdana" w:hAnsi="Verdana"/>
          <w:color w:val="000000" w:themeColor="text1"/>
          <w:sz w:val="20"/>
          <w:szCs w:val="20"/>
          <w:u w:val="single"/>
        </w:rPr>
        <w:t>Delimitations:</w:t>
      </w:r>
      <w:r w:rsidRPr="0068717E">
        <w:rPr>
          <w:rFonts w:ascii="Verdana" w:hAnsi="Verdana"/>
          <w:color w:val="000000" w:themeColor="text1"/>
          <w:sz w:val="20"/>
          <w:szCs w:val="20"/>
        </w:rPr>
        <w:t xml:space="preserve"> </w:t>
      </w:r>
      <w:r w:rsidR="00C96955" w:rsidRPr="0068717E">
        <w:rPr>
          <w:rFonts w:ascii="Verdana" w:hAnsi="Verdana"/>
          <w:sz w:val="20"/>
          <w:szCs w:val="20"/>
        </w:rPr>
        <w:t xml:space="preserve">The data will be delimited by removing any values collected from arterial blood collection. </w:t>
      </w:r>
      <w:r w:rsidR="003957C5" w:rsidRPr="0068717E">
        <w:rPr>
          <w:rFonts w:ascii="Verdana" w:hAnsi="Verdana"/>
          <w:sz w:val="20"/>
          <w:szCs w:val="20"/>
        </w:rPr>
        <w:t>Arterial blood draws are often painful and can lead to bleeding problems and complications (</w:t>
      </w:r>
      <w:r w:rsidR="003957C5" w:rsidRPr="0068717E">
        <w:rPr>
          <w:rFonts w:ascii="Verdana" w:eastAsia="Times New Roman" w:hAnsi="Verdana" w:cs="Calibri"/>
          <w:color w:val="000000" w:themeColor="text1"/>
          <w:sz w:val="20"/>
          <w:szCs w:val="20"/>
        </w:rPr>
        <w:t>Bijapur et al., 2019)</w:t>
      </w:r>
      <w:r w:rsidR="003957C5" w:rsidRPr="0068717E">
        <w:rPr>
          <w:rFonts w:ascii="Verdana" w:hAnsi="Verdana"/>
          <w:sz w:val="20"/>
          <w:szCs w:val="20"/>
        </w:rPr>
        <w:t xml:space="preserve">. Arterial lines for measurement of blood pressure require a specialized skill set, as well as carry an increased risk of infection. The venous </w:t>
      </w:r>
      <w:r w:rsidR="00FA1E13" w:rsidRPr="0068717E">
        <w:rPr>
          <w:rFonts w:ascii="Verdana" w:hAnsi="Verdana"/>
          <w:sz w:val="20"/>
          <w:szCs w:val="20"/>
        </w:rPr>
        <w:t xml:space="preserve">lab </w:t>
      </w:r>
      <w:r w:rsidR="003957C5" w:rsidRPr="0068717E">
        <w:rPr>
          <w:rFonts w:ascii="Verdana" w:hAnsi="Verdana"/>
          <w:sz w:val="20"/>
          <w:szCs w:val="20"/>
        </w:rPr>
        <w:t xml:space="preserve">measurements </w:t>
      </w:r>
      <w:r w:rsidR="00FA1E13" w:rsidRPr="0068717E">
        <w:rPr>
          <w:rFonts w:ascii="Verdana" w:hAnsi="Verdana"/>
          <w:sz w:val="20"/>
          <w:szCs w:val="20"/>
        </w:rPr>
        <w:t xml:space="preserve">and non-invasive blood pressure measurements </w:t>
      </w:r>
      <w:r w:rsidR="003957C5" w:rsidRPr="0068717E">
        <w:rPr>
          <w:rFonts w:ascii="Verdana" w:hAnsi="Verdana"/>
          <w:sz w:val="20"/>
          <w:szCs w:val="20"/>
        </w:rPr>
        <w:t xml:space="preserve">will create a model using data readily available in small hospitals and rural clinics with fewer resources </w:t>
      </w:r>
      <w:r w:rsidR="00EC71A5" w:rsidRPr="0068717E">
        <w:rPr>
          <w:rFonts w:ascii="Verdana" w:hAnsi="Verdana"/>
          <w:sz w:val="20"/>
          <w:szCs w:val="20"/>
        </w:rPr>
        <w:t>(Harrington et al., 2020).</w:t>
      </w:r>
      <w:r w:rsidR="00DB5494" w:rsidRPr="0068717E">
        <w:rPr>
          <w:rFonts w:ascii="Verdana" w:hAnsi="Verdana"/>
          <w:sz w:val="20"/>
          <w:szCs w:val="20"/>
        </w:rPr>
        <w:t xml:space="preserve"> The SaO2 will be used in the project's exploratory data phase but not as a variable for the model.</w:t>
      </w:r>
    </w:p>
    <w:p w14:paraId="50DACAAD" w14:textId="77777777" w:rsidR="00237B77" w:rsidRPr="00E864E0" w:rsidRDefault="00237B77" w:rsidP="00C66594">
      <w:pPr>
        <w:spacing w:after="0" w:line="240" w:lineRule="auto"/>
        <w:rPr>
          <w:rFonts w:ascii="Verdana" w:eastAsia="Times New Roman" w:hAnsi="Verdana" w:cs="Times New Roman"/>
          <w:b/>
          <w:sz w:val="20"/>
          <w:szCs w:val="20"/>
        </w:rPr>
      </w:pPr>
    </w:p>
    <w:p w14:paraId="2BB7943C" w14:textId="46D662A8" w:rsidR="00FA5D3E" w:rsidRPr="006D2435" w:rsidRDefault="00000000"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Pr="00FA5D3E">
        <w:rPr>
          <w:rFonts w:ascii="Verdana" w:hAnsi="Verdana"/>
          <w:bCs/>
          <w:sz w:val="20"/>
          <w:szCs w:val="20"/>
        </w:rPr>
        <w:t xml:space="preserve">The data will be downloaded from the Physionet website in a CSV format and uploaded into a </w:t>
      </w:r>
      <w:r w:rsidR="00D63600">
        <w:rPr>
          <w:rFonts w:ascii="Verdana" w:hAnsi="Verdana"/>
          <w:bCs/>
          <w:sz w:val="20"/>
          <w:szCs w:val="20"/>
        </w:rPr>
        <w:t xml:space="preserve"> Python </w:t>
      </w:r>
      <w:r w:rsidRPr="00FA5D3E">
        <w:rPr>
          <w:rFonts w:ascii="Verdana" w:hAnsi="Verdana"/>
          <w:bCs/>
          <w:sz w:val="20"/>
          <w:szCs w:val="20"/>
        </w:rPr>
        <w:t>Jupyter</w:t>
      </w:r>
      <w:r>
        <w:rPr>
          <w:rFonts w:ascii="Verdana" w:hAnsi="Verdana"/>
          <w:bCs/>
          <w:sz w:val="20"/>
          <w:szCs w:val="20"/>
        </w:rPr>
        <w:t xml:space="preserve"> </w:t>
      </w:r>
      <w:r w:rsidRPr="00FA5D3E">
        <w:rPr>
          <w:rFonts w:ascii="Verdana" w:hAnsi="Verdana"/>
          <w:bCs/>
          <w:sz w:val="20"/>
          <w:szCs w:val="20"/>
        </w:rPr>
        <w:t>notebook.</w:t>
      </w:r>
      <w:r>
        <w:rPr>
          <w:rFonts w:ascii="Verdana" w:hAnsi="Verdana"/>
          <w:bCs/>
          <w:sz w:val="20"/>
          <w:szCs w:val="20"/>
        </w:rPr>
        <w:t xml:space="preserve"> </w:t>
      </w:r>
      <w:r w:rsidR="0068717E">
        <w:rPr>
          <w:rFonts w:ascii="Verdana" w:hAnsi="Verdana"/>
          <w:bCs/>
          <w:sz w:val="20"/>
          <w:szCs w:val="20"/>
        </w:rPr>
        <w:t xml:space="preserve">Many variables will be removed, including all patient stay identifiers, all hospital characteristics, admission data, invasive vital measurements, delta time measurements, and </w:t>
      </w:r>
      <w:r w:rsidR="0068717E" w:rsidRPr="0068717E">
        <w:rPr>
          <w:rFonts w:ascii="Verdana" w:hAnsi="Verdana"/>
          <w:bCs/>
          <w:sz w:val="20"/>
          <w:szCs w:val="20"/>
        </w:rPr>
        <w:t xml:space="preserve">Sequential Organ Failure </w:t>
      </w:r>
      <w:r w:rsidR="0068717E" w:rsidRPr="00D63600">
        <w:rPr>
          <w:rFonts w:ascii="Verdana" w:hAnsi="Verdana"/>
          <w:bCs/>
          <w:sz w:val="20"/>
          <w:szCs w:val="20"/>
        </w:rPr>
        <w:t>Assessment (SOFA) scores</w:t>
      </w:r>
      <w:r w:rsidR="00D51444" w:rsidRPr="00D63600">
        <w:rPr>
          <w:rFonts w:ascii="Verdana" w:hAnsi="Verdana"/>
          <w:bCs/>
          <w:sz w:val="20"/>
          <w:szCs w:val="20"/>
        </w:rPr>
        <w:t xml:space="preserve"> </w:t>
      </w:r>
      <w:r w:rsidR="00D51444" w:rsidRPr="00D63600">
        <w:rPr>
          <w:rFonts w:ascii="Verdana" w:hAnsi="Verdana"/>
          <w:sz w:val="20"/>
          <w:szCs w:val="20"/>
        </w:rPr>
        <w:t>(U.S. Department of Health and Human Services, 2020)</w:t>
      </w:r>
      <w:r w:rsidR="0068717E" w:rsidRPr="00D63600">
        <w:rPr>
          <w:rFonts w:ascii="Verdana" w:hAnsi="Verdana"/>
          <w:bCs/>
          <w:sz w:val="20"/>
          <w:szCs w:val="20"/>
        </w:rPr>
        <w:t>.</w:t>
      </w:r>
      <w:r w:rsidR="0068717E">
        <w:rPr>
          <w:rFonts w:ascii="Verdana" w:hAnsi="Verdana"/>
          <w:bCs/>
          <w:sz w:val="20"/>
          <w:szCs w:val="20"/>
        </w:rPr>
        <w:t xml:space="preserve"> </w:t>
      </w:r>
      <w:r>
        <w:rPr>
          <w:rFonts w:ascii="Verdana" w:hAnsi="Verdana"/>
          <w:bCs/>
          <w:sz w:val="20"/>
          <w:szCs w:val="20"/>
        </w:rPr>
        <w:t xml:space="preserve">All </w:t>
      </w:r>
      <w:r w:rsidR="00D51444">
        <w:rPr>
          <w:rFonts w:ascii="Verdana" w:hAnsi="Verdana"/>
          <w:bCs/>
          <w:sz w:val="20"/>
          <w:szCs w:val="20"/>
        </w:rPr>
        <w:t>v</w:t>
      </w:r>
      <w:r>
        <w:rPr>
          <w:rFonts w:ascii="Verdana" w:hAnsi="Verdana"/>
          <w:bCs/>
          <w:sz w:val="20"/>
          <w:szCs w:val="20"/>
        </w:rPr>
        <w:t xml:space="preserve">ariables with Nan values greater than </w:t>
      </w:r>
      <w:r w:rsidR="00655405">
        <w:rPr>
          <w:rFonts w:ascii="Verdana" w:hAnsi="Verdana"/>
          <w:bCs/>
          <w:sz w:val="20"/>
          <w:szCs w:val="20"/>
        </w:rPr>
        <w:t>50</w:t>
      </w:r>
      <w:r>
        <w:rPr>
          <w:rFonts w:ascii="Verdana" w:hAnsi="Verdana"/>
          <w:bCs/>
          <w:sz w:val="20"/>
          <w:szCs w:val="20"/>
        </w:rPr>
        <w:t xml:space="preserve">% will be removed. Feature </w:t>
      </w:r>
      <w:r w:rsidR="0068717E">
        <w:rPr>
          <w:rFonts w:ascii="Verdana" w:hAnsi="Verdana"/>
          <w:bCs/>
          <w:sz w:val="20"/>
          <w:szCs w:val="20"/>
        </w:rPr>
        <w:t>engineering</w:t>
      </w:r>
      <w:r>
        <w:rPr>
          <w:rFonts w:ascii="Verdana" w:hAnsi="Verdana"/>
          <w:bCs/>
          <w:sz w:val="20"/>
          <w:szCs w:val="20"/>
        </w:rPr>
        <w:t xml:space="preserve"> will include adding the </w:t>
      </w:r>
      <w:r w:rsidR="00665311">
        <w:rPr>
          <w:rFonts w:ascii="Verdana" w:hAnsi="Verdana"/>
          <w:bCs/>
          <w:sz w:val="20"/>
          <w:szCs w:val="20"/>
        </w:rPr>
        <w:t xml:space="preserve">target variable </w:t>
      </w:r>
      <w:r>
        <w:rPr>
          <w:rFonts w:ascii="Verdana" w:hAnsi="Verdana"/>
          <w:bCs/>
          <w:sz w:val="20"/>
          <w:szCs w:val="20"/>
        </w:rPr>
        <w:lastRenderedPageBreak/>
        <w:t>column</w:t>
      </w:r>
      <w:r w:rsidR="00665311">
        <w:rPr>
          <w:rFonts w:ascii="Verdana" w:hAnsi="Verdana"/>
          <w:bCs/>
          <w:sz w:val="20"/>
          <w:szCs w:val="20"/>
        </w:rPr>
        <w:t xml:space="preserve"> of the SpO2-SaO2 gap and medical calculations frequently used for patient assessment, including the BUN/ creatine ratio, the oxygen-carrying capacity, and  Predicted Body Weight (PBW). The data will be treated for outliers using winzorization</w:t>
      </w:r>
      <w:r w:rsidR="00D63600">
        <w:rPr>
          <w:rFonts w:ascii="Verdana" w:hAnsi="Verdana"/>
          <w:bCs/>
          <w:sz w:val="20"/>
          <w:szCs w:val="20"/>
        </w:rPr>
        <w:t xml:space="preserve">. Categorical variables will be one hot encoded with all columns retained if the column contains less than five variables; otherwise, target encoded will be utilized. </w:t>
      </w:r>
      <w:r w:rsidR="00AC202F">
        <w:rPr>
          <w:rFonts w:ascii="Verdana" w:hAnsi="Verdana"/>
          <w:bCs/>
          <w:sz w:val="20"/>
          <w:szCs w:val="20"/>
        </w:rPr>
        <w:t xml:space="preserve">The Nan values will be </w:t>
      </w:r>
      <w:r w:rsidR="009775DD">
        <w:rPr>
          <w:rFonts w:ascii="Verdana" w:hAnsi="Verdana"/>
          <w:bCs/>
          <w:sz w:val="20"/>
          <w:szCs w:val="20"/>
        </w:rPr>
        <w:t>imputed using Basian Ridge imputation.</w:t>
      </w:r>
      <w:r w:rsidR="00AA0B45">
        <w:rPr>
          <w:rFonts w:ascii="Verdana" w:hAnsi="Verdana"/>
          <w:bCs/>
          <w:sz w:val="20"/>
          <w:szCs w:val="20"/>
        </w:rPr>
        <w:t xml:space="preserve"> Graphs, charts, and heat maps will be presented in an industry-standard </w:t>
      </w:r>
      <w:r w:rsidR="00AA0B45" w:rsidRPr="00D96292">
        <w:rPr>
          <w:rFonts w:ascii="Verdana" w:hAnsi="Verdana"/>
          <w:bCs/>
          <w:sz w:val="20"/>
          <w:szCs w:val="20"/>
        </w:rPr>
        <w:t>format</w:t>
      </w:r>
      <w:r w:rsidR="00D96292" w:rsidRPr="00D96292">
        <w:rPr>
          <w:rFonts w:ascii="Verdana" w:eastAsiaTheme="minorHAnsi" w:hAnsi="Verdana" w:cs="System Font"/>
          <w:sz w:val="20"/>
          <w:szCs w:val="20"/>
        </w:rPr>
        <w:t xml:space="preserve"> such as but not limited to PowerPoint</w:t>
      </w:r>
      <w:r w:rsidR="00D96292">
        <w:rPr>
          <w:rFonts w:ascii="Verdana" w:eastAsiaTheme="minorHAnsi" w:hAnsi="Verdana" w:cs="System Font"/>
          <w:sz w:val="20"/>
          <w:szCs w:val="20"/>
        </w:rPr>
        <w:t>.</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7CD1AD4" w14:textId="1A65DD5B" w:rsidR="00F1500E" w:rsidRDefault="00000000"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w:t>
      </w:r>
    </w:p>
    <w:p w14:paraId="3D03B01E" w14:textId="18237048" w:rsidR="00C66594" w:rsidRPr="00E864E0" w:rsidRDefault="00000000" w:rsidP="00C66594">
      <w:pPr>
        <w:spacing w:after="0" w:line="240" w:lineRule="auto"/>
        <w:rPr>
          <w:rFonts w:ascii="Verdana" w:hAnsi="Verdana"/>
          <w:sz w:val="20"/>
          <w:szCs w:val="20"/>
        </w:rPr>
      </w:pPr>
      <w:r w:rsidRPr="00F1500E">
        <w:rPr>
          <w:rFonts w:ascii="Verdana" w:hAnsi="Verdana"/>
          <w:sz w:val="20"/>
          <w:szCs w:val="20"/>
          <w:u w:val="single"/>
        </w:rPr>
        <w:t>Design of the Study</w:t>
      </w:r>
      <w:r w:rsidR="001E0635">
        <w:rPr>
          <w:rFonts w:ascii="Verdana" w:hAnsi="Verdana"/>
          <w:sz w:val="20"/>
          <w:szCs w:val="20"/>
        </w:rPr>
        <w:t xml:space="preserve">: The technique for this analysis will be to build a  Random Forest Regression (RFR) model. This type of analysis is an ensemble machine-learning technique that creates many </w:t>
      </w:r>
      <w:r w:rsidR="00F1500E">
        <w:rPr>
          <w:rFonts w:ascii="Verdana" w:hAnsi="Verdana"/>
          <w:sz w:val="20"/>
          <w:szCs w:val="20"/>
        </w:rPr>
        <w:t>decision</w:t>
      </w:r>
      <w:r w:rsidR="001E0635">
        <w:rPr>
          <w:rFonts w:ascii="Verdana" w:hAnsi="Verdana"/>
          <w:sz w:val="20"/>
          <w:szCs w:val="20"/>
        </w:rPr>
        <w:t xml:space="preserve"> trees and then </w:t>
      </w:r>
      <w:r w:rsidR="00F1500E">
        <w:rPr>
          <w:rFonts w:ascii="Verdana" w:hAnsi="Verdana"/>
          <w:sz w:val="20"/>
          <w:szCs w:val="20"/>
        </w:rPr>
        <w:t>combine</w:t>
      </w:r>
      <w:r w:rsidR="001E0635">
        <w:rPr>
          <w:rFonts w:ascii="Verdana" w:hAnsi="Verdana"/>
          <w:sz w:val="20"/>
          <w:szCs w:val="20"/>
        </w:rPr>
        <w:t xml:space="preserve">s the results. </w:t>
      </w:r>
      <w:r w:rsidR="00D53EA1">
        <w:rPr>
          <w:rFonts w:ascii="Verdana" w:hAnsi="Verdana"/>
          <w:sz w:val="20"/>
          <w:szCs w:val="20"/>
        </w:rPr>
        <w:t>The data was checked for normality using Q-Q plots</w:t>
      </w:r>
      <w:r w:rsidR="00F1500E">
        <w:rPr>
          <w:rFonts w:ascii="Verdana" w:hAnsi="Verdana"/>
          <w:sz w:val="20"/>
          <w:szCs w:val="20"/>
        </w:rPr>
        <w:t>, although</w:t>
      </w:r>
      <w:r w:rsidR="00D53EA1">
        <w:rPr>
          <w:rFonts w:ascii="Verdana" w:hAnsi="Verdana"/>
          <w:sz w:val="20"/>
          <w:szCs w:val="20"/>
        </w:rPr>
        <w:t xml:space="preserve"> RFR models do not have an assumption of normality and can handle non-</w:t>
      </w:r>
      <w:r w:rsidR="00D53EA1" w:rsidRPr="00F1500E">
        <w:rPr>
          <w:rFonts w:ascii="Verdana" w:hAnsi="Verdana"/>
          <w:sz w:val="20"/>
          <w:szCs w:val="20"/>
        </w:rPr>
        <w:t xml:space="preserve">linear data well </w:t>
      </w:r>
      <w:r w:rsidRPr="00F1500E">
        <w:rPr>
          <w:rStyle w:val="citationstylesgno2wrpf"/>
          <w:rFonts w:ascii="Verdana" w:hAnsi="Verdana"/>
          <w:sz w:val="20"/>
          <w:szCs w:val="20"/>
        </w:rPr>
        <w:t>(Sahai, 2023).</w:t>
      </w:r>
      <w:r w:rsidR="00D3334D">
        <w:rPr>
          <w:rStyle w:val="citationstylesgno2wrpf"/>
          <w:rFonts w:ascii="Verdana" w:hAnsi="Verdana"/>
          <w:sz w:val="20"/>
          <w:szCs w:val="20"/>
        </w:rPr>
        <w:t xml:space="preserve"> The model will be split into training and test sets to validate the model at an industry standard of 80/20, respectively</w:t>
      </w:r>
      <w:r w:rsidR="00E60DA5">
        <w:rPr>
          <w:rStyle w:val="citationstylesgno2wrpf"/>
          <w:rFonts w:ascii="Verdana" w:hAnsi="Verdana"/>
          <w:sz w:val="20"/>
          <w:szCs w:val="20"/>
        </w:rPr>
        <w:t xml:space="preserve"> (Baheti, 2021)</w:t>
      </w:r>
      <w:r w:rsidR="00D3334D">
        <w:rPr>
          <w:rStyle w:val="citationstylesgno2wrpf"/>
          <w:rFonts w:ascii="Verdana" w:hAnsi="Verdana"/>
          <w:sz w:val="20"/>
          <w:szCs w:val="20"/>
        </w:rPr>
        <w:t>. Data leakage was addressed by splitting the data early and performing any transformations separately on the training and test sets.</w:t>
      </w:r>
      <w:r w:rsidR="00E60DA5">
        <w:rPr>
          <w:rStyle w:val="citationstylesgno2wrpf"/>
          <w:rFonts w:ascii="Verdana" w:hAnsi="Verdana"/>
          <w:sz w:val="20"/>
          <w:szCs w:val="20"/>
        </w:rPr>
        <w:t xml:space="preserve"> </w:t>
      </w:r>
      <w:r w:rsidR="00E60DA5" w:rsidRPr="00E60DA5">
        <w:rPr>
          <w:rStyle w:val="citationstylesgno2wrpf"/>
          <w:rFonts w:ascii="Verdana" w:hAnsi="Verdana"/>
          <w:sz w:val="20"/>
          <w:szCs w:val="20"/>
        </w:rPr>
        <w:t>Hyperparameter tuning will be done using an Optuna study to find the best fit for the RFR model</w:t>
      </w:r>
      <w:r w:rsidR="00E60DA5" w:rsidRPr="00E60DA5">
        <w:rPr>
          <w:rFonts w:ascii="Verdana" w:hAnsi="Verdana"/>
          <w:sz w:val="20"/>
          <w:szCs w:val="20"/>
        </w:rPr>
        <w:t xml:space="preserve"> (Preferred Networks, Inc., 2024).</w:t>
      </w:r>
      <w:r w:rsidR="00CC41EB">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66B82637" w:rsidR="00C66594" w:rsidRPr="00E864E0" w:rsidRDefault="00000000"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C11991">
        <w:rPr>
          <w:rFonts w:ascii="Verdana" w:hAnsi="Verdana"/>
          <w:sz w:val="20"/>
          <w:szCs w:val="20"/>
        </w:rPr>
        <w:t xml:space="preserve">The RFR analysis will be run using Python in a Jupyter Notebook in Pycharm. Python was </w:t>
      </w:r>
      <w:r w:rsidR="00F65306">
        <w:rPr>
          <w:rFonts w:ascii="Verdana" w:hAnsi="Verdana"/>
          <w:sz w:val="20"/>
          <w:szCs w:val="20"/>
        </w:rPr>
        <w:t xml:space="preserve">also </w:t>
      </w:r>
      <w:r w:rsidR="00C11991">
        <w:rPr>
          <w:rFonts w:ascii="Verdana" w:hAnsi="Verdana"/>
          <w:sz w:val="20"/>
          <w:szCs w:val="20"/>
        </w:rPr>
        <w:t xml:space="preserve">chosen for its ease </w:t>
      </w:r>
      <w:r w:rsidR="00E04894">
        <w:rPr>
          <w:rFonts w:ascii="Verdana" w:hAnsi="Verdana"/>
          <w:sz w:val="20"/>
          <w:szCs w:val="20"/>
        </w:rPr>
        <w:t xml:space="preserve">of use </w:t>
      </w:r>
      <w:r w:rsidR="00C11991">
        <w:rPr>
          <w:rFonts w:ascii="Verdana" w:hAnsi="Verdana"/>
          <w:sz w:val="20"/>
          <w:szCs w:val="20"/>
        </w:rPr>
        <w:t xml:space="preserve">and </w:t>
      </w:r>
      <w:r w:rsidR="00E04894">
        <w:rPr>
          <w:rFonts w:ascii="Verdana" w:hAnsi="Verdana"/>
          <w:sz w:val="20"/>
          <w:szCs w:val="20"/>
        </w:rPr>
        <w:t>the large number of open-source libraries. It is easily scalable for large and small projects, and is strong in general software engineering, allowing analysis tools to be easily integrated into applications and websites</w:t>
      </w:r>
      <w:r w:rsidR="00D33B4D">
        <w:rPr>
          <w:rFonts w:ascii="Verdana" w:hAnsi="Verdana"/>
          <w:sz w:val="20"/>
          <w:szCs w:val="20"/>
        </w:rPr>
        <w:t xml:space="preserve"> </w:t>
      </w:r>
      <w:r w:rsidR="00D33B4D" w:rsidRPr="00D33B4D">
        <w:rPr>
          <w:rFonts w:ascii="Verdana" w:hAnsi="Verdana"/>
          <w:sz w:val="20"/>
          <w:szCs w:val="20"/>
        </w:rPr>
        <w:t>(McKinney, 2022)</w:t>
      </w:r>
      <w:r w:rsidR="00E04894">
        <w:rPr>
          <w:rFonts w:ascii="Verdana" w:hAnsi="Verdana"/>
          <w:sz w:val="20"/>
          <w:szCs w:val="20"/>
        </w:rPr>
        <w:t>.</w:t>
      </w:r>
      <w:r w:rsidR="002546C7">
        <w:rPr>
          <w:rFonts w:ascii="Verdana" w:hAnsi="Verdana"/>
          <w:sz w:val="20"/>
          <w:szCs w:val="20"/>
        </w:rPr>
        <w:t xml:space="preserve"> Python is easily accessible, while SAS </w:t>
      </w:r>
      <w:r w:rsidR="00051281">
        <w:rPr>
          <w:rFonts w:ascii="Verdana" w:hAnsi="Verdana"/>
          <w:sz w:val="20"/>
          <w:szCs w:val="20"/>
        </w:rPr>
        <w:t xml:space="preserve">generally used by large corporations that warehouse data making it </w:t>
      </w:r>
      <w:r w:rsidR="002546C7">
        <w:rPr>
          <w:rFonts w:ascii="Verdana" w:hAnsi="Verdana"/>
          <w:sz w:val="20"/>
          <w:szCs w:val="20"/>
        </w:rPr>
        <w:t xml:space="preserve">difficult to </w:t>
      </w:r>
      <w:r w:rsidR="002546C7" w:rsidRPr="00F65306">
        <w:rPr>
          <w:rFonts w:ascii="Verdana" w:hAnsi="Verdana"/>
          <w:sz w:val="20"/>
          <w:szCs w:val="20"/>
        </w:rPr>
        <w:t>access</w:t>
      </w:r>
      <w:r w:rsidR="00F65306" w:rsidRPr="00F65306">
        <w:rPr>
          <w:rFonts w:ascii="Verdana" w:hAnsi="Verdana"/>
          <w:sz w:val="20"/>
          <w:szCs w:val="20"/>
        </w:rPr>
        <w:t xml:space="preserve"> </w:t>
      </w:r>
      <w:r w:rsidR="00F65306">
        <w:rPr>
          <w:rFonts w:ascii="Verdana" w:hAnsi="Verdana"/>
          <w:sz w:val="20"/>
          <w:szCs w:val="20"/>
        </w:rPr>
        <w:t>for individual users and even small</w:t>
      </w:r>
      <w:r w:rsidR="00051281">
        <w:rPr>
          <w:rFonts w:ascii="Verdana" w:hAnsi="Verdana"/>
          <w:sz w:val="20"/>
          <w:szCs w:val="20"/>
        </w:rPr>
        <w:t>er</w:t>
      </w:r>
      <w:r w:rsidR="00F65306">
        <w:rPr>
          <w:rFonts w:ascii="Verdana" w:hAnsi="Verdana"/>
          <w:sz w:val="20"/>
          <w:szCs w:val="20"/>
        </w:rPr>
        <w:t xml:space="preserve"> companies </w:t>
      </w:r>
      <w:r w:rsidR="00F65306" w:rsidRPr="00F65306">
        <w:rPr>
          <w:rStyle w:val="citationstylesgno2wrpf"/>
          <w:rFonts w:ascii="Verdana" w:hAnsi="Verdana"/>
          <w:sz w:val="20"/>
          <w:szCs w:val="20"/>
        </w:rPr>
        <w:t>(User, 2022).</w:t>
      </w:r>
      <w:r w:rsidR="002546C7">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7DE421B" w14:textId="59BE5E01" w:rsidR="00C66594" w:rsidRPr="002546C7" w:rsidRDefault="00000000" w:rsidP="002546C7">
      <w:pPr>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AA0B45">
        <w:rPr>
          <w:rFonts w:ascii="Verdana" w:hAnsi="Verdana"/>
          <w:sz w:val="20"/>
          <w:szCs w:val="20"/>
        </w:rPr>
        <w:t xml:space="preserve">This analysis aims to create a model in which the most important lab values </w:t>
      </w:r>
      <w:r w:rsidR="006E7BDF">
        <w:rPr>
          <w:rFonts w:ascii="Verdana" w:hAnsi="Verdana"/>
          <w:sz w:val="20"/>
          <w:szCs w:val="20"/>
        </w:rPr>
        <w:t>identified can be input into a model along with the Sp</w:t>
      </w:r>
      <w:r w:rsidR="00F65306">
        <w:rPr>
          <w:rFonts w:ascii="Verdana" w:hAnsi="Verdana"/>
          <w:sz w:val="20"/>
          <w:szCs w:val="20"/>
        </w:rPr>
        <w:t>O</w:t>
      </w:r>
      <w:r w:rsidR="006E7BDF">
        <w:rPr>
          <w:rFonts w:ascii="Verdana" w:hAnsi="Verdana"/>
          <w:sz w:val="20"/>
          <w:szCs w:val="20"/>
        </w:rPr>
        <w:t xml:space="preserve">2 reading to determine an accurate value of a patient's SaO2 without the need to draw an ABG. This would reduce patient </w:t>
      </w:r>
      <w:r w:rsidR="006E7BDF" w:rsidRPr="006E7BDF">
        <w:rPr>
          <w:rFonts w:ascii="Verdana" w:hAnsi="Verdana"/>
          <w:sz w:val="20"/>
          <w:szCs w:val="20"/>
        </w:rPr>
        <w:t>complications while also allowing for an accurate diagnosis of hypoxemia. This type of calculation could be done on a website or application such as MDCalc, a widely used medical reference (</w:t>
      </w:r>
      <w:hyperlink r:id="rId10" w:history="1">
        <w:r w:rsidR="006E7BDF" w:rsidRPr="006E7BDF">
          <w:rPr>
            <w:rStyle w:val="Hyperlink"/>
            <w:rFonts w:ascii="Verdana" w:hAnsi="Verdana"/>
            <w:sz w:val="20"/>
            <w:szCs w:val="20"/>
          </w:rPr>
          <w:t>https://www.mdcalc.com/</w:t>
        </w:r>
      </w:hyperlink>
      <w:r w:rsidR="006E7BDF" w:rsidRPr="006E7BDF">
        <w:rPr>
          <w:rFonts w:ascii="Verdana" w:hAnsi="Verdana"/>
          <w:sz w:val="20"/>
          <w:szCs w:val="20"/>
        </w:rPr>
        <w:t>).</w:t>
      </w:r>
      <w:r w:rsidR="006E7BDF">
        <w:rPr>
          <w:rFonts w:ascii="Verdana" w:hAnsi="Verdana"/>
        </w:rPr>
        <w:t xml:space="preserve"> </w:t>
      </w:r>
      <w:r w:rsidR="006E7BDF">
        <w:rPr>
          <w:rFonts w:ascii="Verdana" w:hAnsi="Verdana"/>
          <w:sz w:val="20"/>
          <w:szCs w:val="20"/>
        </w:rPr>
        <w:t>Lessening the misdiagnosis of hypoxemia would lead to timely interventions and treatments of patients, in turn lessening complications and improving patient outcomes.</w:t>
      </w:r>
      <w:r w:rsidR="000B7656">
        <w:rPr>
          <w:rFonts w:ascii="Verdana" w:hAnsi="Verdana"/>
          <w:sz w:val="20"/>
          <w:szCs w:val="20"/>
        </w:rPr>
        <w:t xml:space="preserve"> The alternative hypothesis that a predictive RFR model can be constructed </w:t>
      </w:r>
      <w:r w:rsidR="002546C7">
        <w:rPr>
          <w:rFonts w:ascii="Verdana" w:hAnsi="Verdana"/>
          <w:sz w:val="20"/>
          <w:szCs w:val="20"/>
        </w:rPr>
        <w:t xml:space="preserve">using the medical data set from the Physionet repository </w:t>
      </w:r>
      <w:r w:rsidR="000B7656">
        <w:rPr>
          <w:rFonts w:ascii="Verdana" w:hAnsi="Verdana"/>
          <w:sz w:val="20"/>
          <w:szCs w:val="20"/>
        </w:rPr>
        <w:t xml:space="preserve">is supported </w:t>
      </w:r>
      <w:r w:rsidR="002546C7">
        <w:rPr>
          <w:rFonts w:ascii="Verdana" w:hAnsi="Verdana"/>
          <w:sz w:val="20"/>
          <w:szCs w:val="20"/>
        </w:rPr>
        <w:t>by Matos (2023</w:t>
      </w:r>
      <w:r w:rsidR="00F65306">
        <w:rPr>
          <w:rFonts w:ascii="Verdana" w:hAnsi="Verdana"/>
          <w:sz w:val="20"/>
          <w:szCs w:val="20"/>
        </w:rPr>
        <w:t>b</w:t>
      </w:r>
      <w:r w:rsidR="002546C7">
        <w:rPr>
          <w:rFonts w:ascii="Verdana" w:hAnsi="Verdana"/>
          <w:sz w:val="20"/>
          <w:szCs w:val="20"/>
        </w:rPr>
        <w:t>).</w:t>
      </w:r>
    </w:p>
    <w:p w14:paraId="349AE0B3" w14:textId="679B29E4" w:rsidR="00C66594" w:rsidRPr="00B8701D" w:rsidRDefault="00000000"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AA0B45">
        <w:rPr>
          <w:rFonts w:ascii="Verdana" w:hAnsi="Verdana"/>
          <w:sz w:val="20"/>
          <w:szCs w:val="20"/>
        </w:rPr>
        <w:t>04/15/2025</w:t>
      </w:r>
    </w:p>
    <w:p w14:paraId="34AAF32B" w14:textId="77777777" w:rsidR="00C66594" w:rsidRDefault="00C66594" w:rsidP="00C66594">
      <w:pPr>
        <w:spacing w:after="0" w:line="240" w:lineRule="auto"/>
        <w:rPr>
          <w:rFonts w:ascii="Verdana" w:hAnsi="Verdana"/>
          <w:b/>
          <w:sz w:val="20"/>
          <w:szCs w:val="20"/>
        </w:rPr>
      </w:pPr>
    </w:p>
    <w:p w14:paraId="4A7A4882" w14:textId="77777777" w:rsidR="006E7BDF" w:rsidRDefault="00000000" w:rsidP="006E7BDF">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3DE6EC35" w14:textId="77777777" w:rsidR="006E7BDF" w:rsidRDefault="006E7BDF" w:rsidP="006E7BDF">
      <w:pPr>
        <w:spacing w:after="0" w:line="240" w:lineRule="auto"/>
        <w:rPr>
          <w:rFonts w:ascii="Verdana" w:hAnsi="Verdana"/>
          <w:sz w:val="20"/>
          <w:szCs w:val="20"/>
        </w:rPr>
      </w:pPr>
    </w:p>
    <w:p w14:paraId="55317495" w14:textId="503C8C80" w:rsidR="006E7BDF" w:rsidRPr="00F65306" w:rsidRDefault="00000000" w:rsidP="006E7BDF">
      <w:pPr>
        <w:spacing w:after="0" w:line="240" w:lineRule="auto"/>
        <w:rPr>
          <w:rFonts w:ascii="Verdana" w:hAnsi="Verdana"/>
          <w:b/>
          <w:color w:val="FF0000"/>
          <w:sz w:val="20"/>
          <w:szCs w:val="20"/>
        </w:rPr>
      </w:pPr>
      <w:r w:rsidRPr="00F65306">
        <w:rPr>
          <w:rFonts w:ascii="Verdana" w:hAnsi="Verdana"/>
          <w:sz w:val="20"/>
          <w:szCs w:val="20"/>
        </w:rPr>
        <w:t xml:space="preserve">Baheti, P. (2021, September 13). Train Test Validation Split: How To &amp; Best Practices. V7. Retrieved February 1, 2025, from </w:t>
      </w:r>
      <w:hyperlink r:id="rId11" w:history="1">
        <w:r w:rsidR="006E7BDF" w:rsidRPr="00F65306">
          <w:rPr>
            <w:rFonts w:ascii="Verdana" w:hAnsi="Verdana"/>
            <w:color w:val="0000FF"/>
            <w:sz w:val="20"/>
            <w:szCs w:val="20"/>
            <w:u w:val="single"/>
          </w:rPr>
          <w:t>https://www.v7labs.com/blog/train-validation-test-set</w:t>
        </w:r>
      </w:hyperlink>
    </w:p>
    <w:p w14:paraId="65526945" w14:textId="77777777" w:rsidR="006E7BDF" w:rsidRPr="00F65306" w:rsidRDefault="006E7BDF" w:rsidP="006E7BDF">
      <w:pPr>
        <w:spacing w:after="0" w:line="240" w:lineRule="auto"/>
        <w:rPr>
          <w:rFonts w:ascii="Verdana" w:hAnsi="Verdana"/>
          <w:b/>
          <w:sz w:val="20"/>
          <w:szCs w:val="20"/>
        </w:rPr>
      </w:pPr>
    </w:p>
    <w:p w14:paraId="259D608C" w14:textId="77777777" w:rsidR="006E7BDF" w:rsidRPr="00F65306" w:rsidRDefault="00000000" w:rsidP="006E7BDF">
      <w:pPr>
        <w:spacing w:after="0"/>
        <w:rPr>
          <w:rFonts w:ascii="Verdana" w:eastAsia="Times New Roman" w:hAnsi="Verdana" w:cs="Calibri"/>
          <w:color w:val="000000" w:themeColor="text1"/>
          <w:sz w:val="20"/>
          <w:szCs w:val="20"/>
        </w:rPr>
      </w:pPr>
      <w:r w:rsidRPr="00F65306">
        <w:rPr>
          <w:rFonts w:ascii="Verdana" w:eastAsia="Times New Roman" w:hAnsi="Verdana" w:cs="Calibri"/>
          <w:color w:val="000000" w:themeColor="text1"/>
          <w:sz w:val="20"/>
          <w:szCs w:val="20"/>
        </w:rPr>
        <w:t>Bijapur MB, Kudligi NA, Asma S. Central Venous Blood Gas Analysis: An Alternative to Arterial Blood Gas Analysis for pH, PCO</w:t>
      </w:r>
      <w:r w:rsidRPr="00F65306">
        <w:rPr>
          <w:rFonts w:ascii="Verdana" w:eastAsia="Times New Roman" w:hAnsi="Verdana" w:cs="Calibri"/>
          <w:color w:val="000000" w:themeColor="text1"/>
          <w:sz w:val="20"/>
          <w:szCs w:val="20"/>
          <w:vertAlign w:val="subscript"/>
        </w:rPr>
        <w:t>2</w:t>
      </w:r>
      <w:r w:rsidRPr="00F65306">
        <w:rPr>
          <w:rFonts w:ascii="Verdana" w:eastAsia="Times New Roman" w:hAnsi="Verdana" w:cs="Calibri"/>
          <w:color w:val="000000" w:themeColor="text1"/>
          <w:sz w:val="20"/>
          <w:szCs w:val="20"/>
        </w:rPr>
        <w:t>, Bicarbonate, Sodium, Potassium and Chloride in the Intensive Care Unit Patients. Indian J Crit Care Med 2019;23(6):258–262.</w:t>
      </w:r>
    </w:p>
    <w:p w14:paraId="218DA497" w14:textId="77777777" w:rsidR="006E7BDF" w:rsidRPr="00F65306" w:rsidRDefault="006E7BDF" w:rsidP="006E7BDF">
      <w:pPr>
        <w:spacing w:after="0" w:line="240" w:lineRule="auto"/>
        <w:rPr>
          <w:rFonts w:ascii="Verdana" w:eastAsia="Times New Roman" w:hAnsi="Verdana" w:cs="Calibri"/>
          <w:color w:val="000000" w:themeColor="text1"/>
          <w:sz w:val="20"/>
          <w:szCs w:val="20"/>
        </w:rPr>
      </w:pPr>
    </w:p>
    <w:p w14:paraId="51F00481" w14:textId="77777777" w:rsidR="006E7BDF" w:rsidRPr="00F65306" w:rsidRDefault="00000000" w:rsidP="006E7BDF">
      <w:pPr>
        <w:spacing w:after="0"/>
        <w:rPr>
          <w:rFonts w:ascii="Verdana" w:eastAsia="Times New Roman" w:hAnsi="Verdana" w:cs="Calibri"/>
          <w:color w:val="000000" w:themeColor="text1"/>
          <w:sz w:val="20"/>
          <w:szCs w:val="20"/>
        </w:rPr>
      </w:pPr>
      <w:r w:rsidRPr="00F65306">
        <w:rPr>
          <w:rFonts w:ascii="Verdana" w:eastAsia="Times New Roman" w:hAnsi="Verdana" w:cs="Calibri"/>
          <w:color w:val="000000" w:themeColor="text1"/>
          <w:sz w:val="20"/>
          <w:szCs w:val="20"/>
        </w:rPr>
        <w:t>Goldberger, A., Amaral, L., Glass, L., Hausdorff, J., Ivanov, P. C., Mark, R., ... &amp; Stanley, H. E. (2000). PhysioBank, PhysioToolkit, and PhysioNet: Components of a new research resource for complex physiologic signals. Circulation [Online]. 101 (23), pp. e215–e220.</w:t>
      </w:r>
    </w:p>
    <w:p w14:paraId="7FE9A5EC" w14:textId="77777777" w:rsidR="006E7BDF" w:rsidRPr="00F65306" w:rsidRDefault="006E7BDF" w:rsidP="006E7BDF">
      <w:pPr>
        <w:spacing w:after="0"/>
        <w:rPr>
          <w:rFonts w:ascii="Verdana" w:eastAsia="Times New Roman" w:hAnsi="Verdana" w:cs="Calibri"/>
          <w:color w:val="000000" w:themeColor="text1"/>
          <w:sz w:val="20"/>
          <w:szCs w:val="20"/>
        </w:rPr>
      </w:pPr>
    </w:p>
    <w:p w14:paraId="418F3F80" w14:textId="77777777" w:rsidR="006E7BDF" w:rsidRPr="00F65306" w:rsidRDefault="00000000" w:rsidP="006E7BDF">
      <w:pPr>
        <w:spacing w:after="0"/>
        <w:rPr>
          <w:rFonts w:ascii="Verdana" w:eastAsia="Times New Roman" w:hAnsi="Verdana" w:cs="Calibri"/>
          <w:color w:val="000000" w:themeColor="text1"/>
          <w:sz w:val="20"/>
          <w:szCs w:val="20"/>
        </w:rPr>
      </w:pPr>
      <w:r w:rsidRPr="00F65306">
        <w:rPr>
          <w:rFonts w:ascii="Verdana" w:eastAsia="Times New Roman" w:hAnsi="Verdana" w:cs="Calibri"/>
          <w:color w:val="000000" w:themeColor="text1"/>
          <w:sz w:val="20"/>
          <w:szCs w:val="20"/>
        </w:rPr>
        <w:t xml:space="preserve">Harrington, R. A., Califf, R. M., Balamurugan, A., Brown, N., Benjamin, R. M., Braund, W. E., Hipp, J., Konig, M., Sanchez, E., &amp; Joynt Maddox, K. E. (2020). Call to Action: Rural Health: A Presidential Advisory From the American Heart Association and American Stroke Association. </w:t>
      </w:r>
      <w:r w:rsidRPr="00F65306">
        <w:rPr>
          <w:rFonts w:ascii="Verdana" w:eastAsia="Times New Roman" w:hAnsi="Verdana" w:cs="Calibri"/>
          <w:i/>
          <w:iCs/>
          <w:color w:val="000000" w:themeColor="text1"/>
          <w:sz w:val="20"/>
          <w:szCs w:val="20"/>
        </w:rPr>
        <w:t>Circulation</w:t>
      </w:r>
      <w:r w:rsidRPr="00F65306">
        <w:rPr>
          <w:rFonts w:ascii="Verdana" w:eastAsia="Times New Roman" w:hAnsi="Verdana" w:cs="Calibri"/>
          <w:color w:val="000000" w:themeColor="text1"/>
          <w:sz w:val="20"/>
          <w:szCs w:val="20"/>
        </w:rPr>
        <w:t xml:space="preserve">, </w:t>
      </w:r>
      <w:r w:rsidRPr="00F65306">
        <w:rPr>
          <w:rFonts w:ascii="Verdana" w:eastAsia="Times New Roman" w:hAnsi="Verdana" w:cs="Calibri"/>
          <w:i/>
          <w:iCs/>
          <w:color w:val="000000" w:themeColor="text1"/>
          <w:sz w:val="20"/>
          <w:szCs w:val="20"/>
        </w:rPr>
        <w:t>141</w:t>
      </w:r>
      <w:r w:rsidRPr="00F65306">
        <w:rPr>
          <w:rFonts w:ascii="Verdana" w:eastAsia="Times New Roman" w:hAnsi="Verdana" w:cs="Calibri"/>
          <w:color w:val="000000" w:themeColor="text1"/>
          <w:sz w:val="20"/>
          <w:szCs w:val="20"/>
        </w:rPr>
        <w:t>(10), e615–e644.</w:t>
      </w:r>
      <w:r w:rsidRPr="00F65306">
        <w:rPr>
          <w:rFonts w:ascii="Verdana" w:hAnsi="Verdana" w:cs="Calibri"/>
          <w:sz w:val="20"/>
          <w:szCs w:val="20"/>
        </w:rPr>
        <w:t xml:space="preserve"> Retrieved February 15, 2025, from</w:t>
      </w:r>
      <w:r w:rsidRPr="00F65306">
        <w:rPr>
          <w:rFonts w:ascii="Verdana" w:eastAsia="Times New Roman" w:hAnsi="Verdana" w:cs="Calibri"/>
          <w:color w:val="000000" w:themeColor="text1"/>
          <w:sz w:val="20"/>
          <w:szCs w:val="20"/>
        </w:rPr>
        <w:t xml:space="preserve"> </w:t>
      </w:r>
      <w:hyperlink r:id="rId12" w:history="1">
        <w:r w:rsidR="006E7BDF" w:rsidRPr="00F65306">
          <w:rPr>
            <w:rStyle w:val="Hyperlink"/>
            <w:rFonts w:ascii="Verdana" w:eastAsia="Times New Roman" w:hAnsi="Verdana" w:cs="Calibri"/>
            <w:sz w:val="20"/>
            <w:szCs w:val="20"/>
          </w:rPr>
          <w:t>https://doi.org/10.1161/CIR.0000000000000753</w:t>
        </w:r>
      </w:hyperlink>
    </w:p>
    <w:p w14:paraId="2F83F994" w14:textId="77777777" w:rsidR="006E7BDF" w:rsidRPr="00F65306" w:rsidRDefault="006E7BDF" w:rsidP="006E7BDF">
      <w:pPr>
        <w:spacing w:after="0"/>
        <w:rPr>
          <w:rFonts w:ascii="Verdana" w:eastAsia="Times New Roman" w:hAnsi="Verdana" w:cs="Calibri"/>
          <w:color w:val="000000" w:themeColor="text1"/>
          <w:sz w:val="20"/>
          <w:szCs w:val="20"/>
        </w:rPr>
      </w:pPr>
    </w:p>
    <w:p w14:paraId="750A61B4" w14:textId="560889C3" w:rsidR="006E7BDF" w:rsidRPr="00F65306" w:rsidRDefault="00000000" w:rsidP="006E7BDF">
      <w:pPr>
        <w:rPr>
          <w:rFonts w:ascii="Verdana" w:hAnsi="Verdana" w:cs="Calibri"/>
          <w:sz w:val="20"/>
          <w:szCs w:val="20"/>
        </w:rPr>
      </w:pPr>
      <w:r w:rsidRPr="00F65306">
        <w:rPr>
          <w:rFonts w:ascii="Verdana" w:hAnsi="Verdana" w:cs="Calibri"/>
          <w:sz w:val="20"/>
          <w:szCs w:val="20"/>
        </w:rPr>
        <w:t>Matos, J., Struja, T., Gallifant, J., Nakayama, L. F., Charpignon, M., Liu, X., dos Santos Cardoso, J., Celi, L. A., &amp; Wong, A. K. (2023</w:t>
      </w:r>
      <w:r w:rsidR="00F65306">
        <w:rPr>
          <w:rFonts w:ascii="Verdana" w:hAnsi="Verdana" w:cs="Calibri"/>
          <w:sz w:val="20"/>
          <w:szCs w:val="20"/>
        </w:rPr>
        <w:t>a</w:t>
      </w:r>
      <w:r w:rsidRPr="00F65306">
        <w:rPr>
          <w:rFonts w:ascii="Verdana" w:hAnsi="Verdana" w:cs="Calibri"/>
          <w:sz w:val="20"/>
          <w:szCs w:val="20"/>
        </w:rPr>
        <w:t xml:space="preserve">). BOLD, a blood-gas and oximetry linked dataset (version 1.0). </w:t>
      </w:r>
      <w:r w:rsidRPr="00F65306">
        <w:rPr>
          <w:rFonts w:ascii="Verdana" w:hAnsi="Verdana" w:cs="Calibri"/>
          <w:i/>
          <w:iCs/>
          <w:sz w:val="20"/>
          <w:szCs w:val="20"/>
        </w:rPr>
        <w:t>PhysioNet</w:t>
      </w:r>
      <w:r w:rsidRPr="00F65306">
        <w:rPr>
          <w:rFonts w:ascii="Verdana" w:hAnsi="Verdana" w:cs="Calibri"/>
          <w:sz w:val="20"/>
          <w:szCs w:val="20"/>
        </w:rPr>
        <w:t xml:space="preserve">. Retrieved February </w:t>
      </w:r>
      <w:r w:rsidR="002546C7" w:rsidRPr="00F65306">
        <w:rPr>
          <w:rFonts w:ascii="Verdana" w:hAnsi="Verdana" w:cs="Calibri"/>
          <w:sz w:val="20"/>
          <w:szCs w:val="20"/>
        </w:rPr>
        <w:t>1</w:t>
      </w:r>
      <w:r w:rsidRPr="00F65306">
        <w:rPr>
          <w:rFonts w:ascii="Verdana" w:hAnsi="Verdana" w:cs="Calibri"/>
          <w:sz w:val="20"/>
          <w:szCs w:val="20"/>
        </w:rPr>
        <w:t xml:space="preserve">, 2025, from </w:t>
      </w:r>
      <w:hyperlink r:id="rId13" w:history="1">
        <w:r w:rsidR="006E7BDF" w:rsidRPr="00F65306">
          <w:rPr>
            <w:rStyle w:val="Hyperlink"/>
            <w:rFonts w:ascii="Verdana" w:hAnsi="Verdana" w:cs="Calibri"/>
            <w:sz w:val="20"/>
            <w:szCs w:val="20"/>
          </w:rPr>
          <w:t>https://doi.org/10.13026/phvt-3277</w:t>
        </w:r>
      </w:hyperlink>
      <w:r w:rsidRPr="00F65306">
        <w:rPr>
          <w:rFonts w:ascii="Verdana" w:hAnsi="Verdana" w:cs="Calibri"/>
          <w:sz w:val="20"/>
          <w:szCs w:val="20"/>
        </w:rPr>
        <w:t>.</w:t>
      </w:r>
    </w:p>
    <w:p w14:paraId="6091B903" w14:textId="2099D12A" w:rsidR="002546C7" w:rsidRPr="00F65306" w:rsidRDefault="002546C7" w:rsidP="006E7BDF">
      <w:pPr>
        <w:rPr>
          <w:rFonts w:ascii="Verdana" w:hAnsi="Verdana" w:cs="Calibri"/>
          <w:sz w:val="20"/>
          <w:szCs w:val="20"/>
        </w:rPr>
      </w:pPr>
      <w:r w:rsidRPr="00F65306">
        <w:rPr>
          <w:rFonts w:ascii="Verdana" w:hAnsi="Verdana"/>
          <w:sz w:val="20"/>
          <w:szCs w:val="20"/>
        </w:rPr>
        <w:t>Matos, J., Struja, T., Restrepo, D. S., Nakayama, L. F., Gallifant, J., Weishaupt, L., Mullangi, N., Loureiro, M., Shapiro, S., Carrel, A., &amp; Celi, L. A. (2023</w:t>
      </w:r>
      <w:r w:rsidR="00F65306">
        <w:rPr>
          <w:rFonts w:ascii="Verdana" w:hAnsi="Verdana"/>
          <w:sz w:val="20"/>
          <w:szCs w:val="20"/>
        </w:rPr>
        <w:t>b</w:t>
      </w:r>
      <w:r w:rsidRPr="00F65306">
        <w:rPr>
          <w:rFonts w:ascii="Verdana" w:hAnsi="Verdana"/>
          <w:sz w:val="20"/>
          <w:szCs w:val="20"/>
        </w:rPr>
        <w:t xml:space="preserve">). MIT Critical Datathon 2023: a MIMIC-IV Derived Dataset for Pulse </w:t>
      </w:r>
      <w:r w:rsidRPr="00F65306">
        <w:rPr>
          <w:rFonts w:ascii="Verdana" w:hAnsi="Verdana"/>
          <w:sz w:val="20"/>
          <w:szCs w:val="20"/>
        </w:rPr>
        <w:lastRenderedPageBreak/>
        <w:t xml:space="preserve">Oximetry Correction Models (version 1.0.0). </w:t>
      </w:r>
      <w:r w:rsidRPr="00F65306">
        <w:rPr>
          <w:rFonts w:ascii="Verdana" w:hAnsi="Verdana"/>
          <w:i/>
          <w:iCs/>
          <w:sz w:val="20"/>
          <w:szCs w:val="20"/>
        </w:rPr>
        <w:t>PhysioNet</w:t>
      </w:r>
      <w:r w:rsidRPr="00F65306">
        <w:rPr>
          <w:rFonts w:ascii="Verdana" w:hAnsi="Verdana"/>
          <w:sz w:val="20"/>
          <w:szCs w:val="20"/>
        </w:rPr>
        <w:t xml:space="preserve">. </w:t>
      </w:r>
      <w:r w:rsidRPr="00F65306">
        <w:rPr>
          <w:rFonts w:ascii="Verdana" w:hAnsi="Verdana" w:cs="Calibri"/>
          <w:sz w:val="20"/>
          <w:szCs w:val="20"/>
        </w:rPr>
        <w:t>Retrieved February 1, 2025, from</w:t>
      </w:r>
      <w:r w:rsidRPr="00F65306">
        <w:rPr>
          <w:rFonts w:ascii="Verdana" w:hAnsi="Verdana"/>
          <w:sz w:val="20"/>
          <w:szCs w:val="20"/>
        </w:rPr>
        <w:t xml:space="preserve"> </w:t>
      </w:r>
      <w:hyperlink r:id="rId14" w:history="1">
        <w:r w:rsidRPr="00F65306">
          <w:rPr>
            <w:rStyle w:val="Hyperlink"/>
            <w:rFonts w:ascii="Verdana" w:hAnsi="Verdana"/>
            <w:sz w:val="20"/>
            <w:szCs w:val="20"/>
          </w:rPr>
          <w:t>https://doi.org/10.13026/jfpc-pz79</w:t>
        </w:r>
      </w:hyperlink>
      <w:r w:rsidRPr="00F65306">
        <w:rPr>
          <w:rFonts w:ascii="Verdana" w:hAnsi="Verdana"/>
          <w:sz w:val="20"/>
          <w:szCs w:val="20"/>
        </w:rPr>
        <w:t>.</w:t>
      </w:r>
    </w:p>
    <w:p w14:paraId="2A532669" w14:textId="77777777" w:rsidR="006E7BDF" w:rsidRPr="00F65306" w:rsidRDefault="00000000" w:rsidP="006E7BDF">
      <w:pPr>
        <w:rPr>
          <w:rFonts w:ascii="Verdana" w:hAnsi="Verdana"/>
          <w:sz w:val="20"/>
          <w:szCs w:val="20"/>
        </w:rPr>
      </w:pPr>
      <w:r w:rsidRPr="00F65306">
        <w:rPr>
          <w:rStyle w:val="citationstylesgno2wrpf"/>
          <w:rFonts w:ascii="Verdana" w:hAnsi="Verdana"/>
          <w:sz w:val="20"/>
          <w:szCs w:val="20"/>
        </w:rPr>
        <w:t xml:space="preserve">McKinney, W. (2022). </w:t>
      </w:r>
      <w:r w:rsidRPr="00F65306">
        <w:rPr>
          <w:rStyle w:val="Emphasis"/>
          <w:rFonts w:ascii="Verdana" w:hAnsi="Verdana"/>
          <w:sz w:val="20"/>
          <w:szCs w:val="20"/>
        </w:rPr>
        <w:t>Python for Data Analysis</w:t>
      </w:r>
      <w:r w:rsidRPr="00F65306">
        <w:rPr>
          <w:rStyle w:val="citationstylesgno2wrpf"/>
          <w:rFonts w:ascii="Verdana" w:hAnsi="Verdana"/>
          <w:sz w:val="20"/>
          <w:szCs w:val="20"/>
        </w:rPr>
        <w:t xml:space="preserve"> (3rd ed.). O'Reilly.</w:t>
      </w:r>
      <w:r w:rsidRPr="00F65306">
        <w:rPr>
          <w:rFonts w:ascii="Verdana" w:hAnsi="Verdana"/>
          <w:sz w:val="20"/>
          <w:szCs w:val="20"/>
        </w:rPr>
        <w:t xml:space="preserve"> </w:t>
      </w:r>
    </w:p>
    <w:p w14:paraId="52F552E6" w14:textId="77777777" w:rsidR="006E7BDF" w:rsidRPr="00F65306" w:rsidRDefault="00000000" w:rsidP="006E7BDF">
      <w:pPr>
        <w:rPr>
          <w:rFonts w:ascii="Verdana" w:hAnsi="Verdana" w:cs="Calibri"/>
          <w:sz w:val="20"/>
          <w:szCs w:val="20"/>
        </w:rPr>
      </w:pPr>
      <w:r w:rsidRPr="00F65306">
        <w:rPr>
          <w:rFonts w:ascii="Verdana" w:hAnsi="Verdana"/>
          <w:sz w:val="20"/>
          <w:szCs w:val="20"/>
        </w:rPr>
        <w:t xml:space="preserve">Preferred Networks, Inc. (2024). Optuna - A hyperparameter optimization framework. Optuna. Retrieved February 15, 2025, from </w:t>
      </w:r>
      <w:hyperlink r:id="rId15" w:history="1">
        <w:r w:rsidR="006E7BDF" w:rsidRPr="00F65306">
          <w:rPr>
            <w:rStyle w:val="Hyperlink"/>
            <w:rFonts w:ascii="Verdana" w:hAnsi="Verdana"/>
            <w:sz w:val="20"/>
            <w:szCs w:val="20"/>
          </w:rPr>
          <w:t>https://optuna.org/</w:t>
        </w:r>
      </w:hyperlink>
    </w:p>
    <w:p w14:paraId="287A29B5" w14:textId="77777777" w:rsidR="006E7BDF" w:rsidRPr="00F65306" w:rsidRDefault="00000000" w:rsidP="006E7BDF">
      <w:pPr>
        <w:rPr>
          <w:rFonts w:ascii="Verdana" w:hAnsi="Verdana" w:cs="Calibri"/>
          <w:sz w:val="20"/>
          <w:szCs w:val="20"/>
        </w:rPr>
      </w:pPr>
      <w:r w:rsidRPr="00F65306">
        <w:rPr>
          <w:rFonts w:ascii="Verdana" w:hAnsi="Verdana" w:cs="Calibri"/>
          <w:sz w:val="20"/>
          <w:szCs w:val="20"/>
        </w:rPr>
        <w:t xml:space="preserve">Sahai, N. (2023, September 6). </w:t>
      </w:r>
      <w:r w:rsidRPr="00F65306">
        <w:rPr>
          <w:rFonts w:ascii="Verdana" w:hAnsi="Verdana" w:cs="Calibri"/>
          <w:i/>
          <w:iCs/>
          <w:sz w:val="20"/>
          <w:szCs w:val="20"/>
        </w:rPr>
        <w:t>Random Forest Regression – How it Helps in Predictive Analytics?</w:t>
      </w:r>
      <w:r w:rsidRPr="00F65306">
        <w:rPr>
          <w:rFonts w:ascii="Verdana" w:hAnsi="Verdana" w:cs="Calibri"/>
          <w:sz w:val="20"/>
          <w:szCs w:val="20"/>
        </w:rPr>
        <w:t xml:space="preserve"> AnalytixLabs. Retrieved February 15, 2025, from https://www.analytixlabs.co.in/blog/random-forest-regression/</w:t>
      </w:r>
    </w:p>
    <w:p w14:paraId="719ECAA9" w14:textId="77777777" w:rsidR="006E7BDF" w:rsidRPr="00F65306" w:rsidRDefault="00000000" w:rsidP="006E7BDF">
      <w:pPr>
        <w:rPr>
          <w:rFonts w:ascii="Verdana" w:hAnsi="Verdana" w:cs="Calibri"/>
          <w:sz w:val="20"/>
          <w:szCs w:val="20"/>
        </w:rPr>
      </w:pPr>
      <w:r w:rsidRPr="00F65306">
        <w:rPr>
          <w:rFonts w:ascii="Verdana" w:hAnsi="Verdana" w:cs="Calibri"/>
          <w:sz w:val="20"/>
          <w:szCs w:val="20"/>
        </w:rPr>
        <w:t xml:space="preserve">Sjoding, M. W., Iwashyna, T. J., &amp; Valley, T. S. (2023). Change the framework for pulse oximeter regulation to ensure clinicians can give patients the oxygen they need. </w:t>
      </w:r>
      <w:r w:rsidRPr="00F65306">
        <w:rPr>
          <w:rFonts w:ascii="Verdana" w:hAnsi="Verdana" w:cs="Calibri"/>
          <w:i/>
          <w:iCs/>
          <w:sz w:val="20"/>
          <w:szCs w:val="20"/>
        </w:rPr>
        <w:t>American journal of respiratory and critical care medicine</w:t>
      </w:r>
      <w:r w:rsidRPr="00F65306">
        <w:rPr>
          <w:rFonts w:ascii="Verdana" w:hAnsi="Verdana" w:cs="Calibri"/>
          <w:sz w:val="20"/>
          <w:szCs w:val="20"/>
        </w:rPr>
        <w:t xml:space="preserve">, </w:t>
      </w:r>
      <w:r w:rsidRPr="00F65306">
        <w:rPr>
          <w:rFonts w:ascii="Verdana" w:hAnsi="Verdana" w:cs="Calibri"/>
          <w:i/>
          <w:iCs/>
          <w:sz w:val="20"/>
          <w:szCs w:val="20"/>
        </w:rPr>
        <w:t>207</w:t>
      </w:r>
      <w:r w:rsidRPr="00F65306">
        <w:rPr>
          <w:rFonts w:ascii="Verdana" w:hAnsi="Verdana" w:cs="Calibri"/>
          <w:sz w:val="20"/>
          <w:szCs w:val="20"/>
        </w:rPr>
        <w:t>(6), 661-664.</w:t>
      </w:r>
    </w:p>
    <w:p w14:paraId="27EBACAF" w14:textId="1DB83BB1" w:rsidR="00C66594" w:rsidRPr="00F65306" w:rsidRDefault="00000000" w:rsidP="006E7BDF">
      <w:pPr>
        <w:rPr>
          <w:rFonts w:ascii="Verdana" w:hAnsi="Verdana" w:cs="Calibri"/>
          <w:sz w:val="20"/>
          <w:szCs w:val="20"/>
        </w:rPr>
      </w:pPr>
      <w:r w:rsidRPr="00F65306">
        <w:rPr>
          <w:rFonts w:ascii="Verdana" w:hAnsi="Verdana" w:cs="Calibri"/>
          <w:sz w:val="20"/>
          <w:szCs w:val="20"/>
        </w:rPr>
        <w:t xml:space="preserve">U.S. Department of Health and Human Services (2020, December 21). </w:t>
      </w:r>
      <w:r w:rsidRPr="00F65306">
        <w:rPr>
          <w:rFonts w:ascii="Verdana" w:hAnsi="Verdana" w:cs="Calibri"/>
          <w:i/>
          <w:iCs/>
          <w:sz w:val="20"/>
          <w:szCs w:val="20"/>
        </w:rPr>
        <w:t>TRACIE SOFA Score: What it is and How to Use it in Triage</w:t>
      </w:r>
      <w:r w:rsidRPr="00F65306">
        <w:rPr>
          <w:rFonts w:ascii="Verdana" w:hAnsi="Verdana" w:cs="Calibri"/>
          <w:sz w:val="20"/>
          <w:szCs w:val="20"/>
        </w:rPr>
        <w:t xml:space="preserve">. Technical Resources, Assistance Center, and Information Exchange (TRACIE). Retrieved March 10, 2025, from </w:t>
      </w:r>
      <w:hyperlink r:id="rId16" w:history="1">
        <w:r w:rsidR="00C66594" w:rsidRPr="00F65306">
          <w:rPr>
            <w:rStyle w:val="Hyperlink"/>
            <w:rFonts w:ascii="Verdana" w:hAnsi="Verdana" w:cs="Calibri"/>
            <w:sz w:val="20"/>
            <w:szCs w:val="20"/>
          </w:rPr>
          <w:t>https://files.asprtracie.hhs.gov/documents/aspr-tracie-sofa-score-fact-sheet.pdf</w:t>
        </w:r>
      </w:hyperlink>
    </w:p>
    <w:p w14:paraId="6311C758" w14:textId="04DB2D48" w:rsidR="006E7BDF" w:rsidRPr="00F65306" w:rsidRDefault="00F65306" w:rsidP="006E7BDF">
      <w:pPr>
        <w:rPr>
          <w:rStyle w:val="citationstylesgno2wrpf"/>
          <w:rFonts w:ascii="Verdana" w:hAnsi="Verdana"/>
          <w:sz w:val="20"/>
          <w:szCs w:val="20"/>
        </w:rPr>
      </w:pPr>
      <w:r w:rsidRPr="00F65306">
        <w:rPr>
          <w:rStyle w:val="citationstylesgno2wrpf"/>
          <w:rFonts w:ascii="Verdana" w:hAnsi="Verdana"/>
          <w:sz w:val="20"/>
          <w:szCs w:val="20"/>
        </w:rPr>
        <w:t xml:space="preserve">User, S. (2022, April 21). </w:t>
      </w:r>
      <w:r w:rsidRPr="00F65306">
        <w:rPr>
          <w:rStyle w:val="Emphasis"/>
          <w:rFonts w:ascii="Verdana" w:hAnsi="Verdana"/>
          <w:sz w:val="20"/>
          <w:szCs w:val="20"/>
        </w:rPr>
        <w:t>Comparison between SAS, R, and Python</w:t>
      </w:r>
      <w:r w:rsidRPr="00F65306">
        <w:rPr>
          <w:rStyle w:val="citationstylesgno2wrpf"/>
          <w:rFonts w:ascii="Verdana" w:hAnsi="Verdana"/>
          <w:sz w:val="20"/>
          <w:szCs w:val="20"/>
        </w:rPr>
        <w:t xml:space="preserve">. Learn SAS Code. Retrieved February 10, 2025, from </w:t>
      </w:r>
      <w:hyperlink r:id="rId17" w:history="1">
        <w:r w:rsidRPr="00F65306">
          <w:rPr>
            <w:rStyle w:val="Hyperlink"/>
            <w:rFonts w:ascii="Verdana" w:hAnsi="Verdana"/>
            <w:sz w:val="20"/>
            <w:szCs w:val="20"/>
          </w:rPr>
          <w:t>https://learnsascode.com/sas-vs-r-vs-python/</w:t>
        </w:r>
      </w:hyperlink>
    </w:p>
    <w:p w14:paraId="449BC8ED" w14:textId="77777777" w:rsidR="00F65306" w:rsidRPr="006E7BDF" w:rsidRDefault="00F65306" w:rsidP="006E7BDF">
      <w:pPr>
        <w:rPr>
          <w:rFonts w:ascii="Calibri" w:hAnsi="Calibri" w:cs="Calibri"/>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000000"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63B8FD9"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572F27">
            <w:rPr>
              <w:rFonts w:ascii="MS Gothic" w:eastAsia="MS Gothic" w:hAnsi="MS Gothic" w:hint="eastAsia"/>
              <w:sz w:val="20"/>
              <w:szCs w:val="20"/>
            </w:rPr>
            <w:t>☒</w:t>
          </w:r>
        </w:sdtContent>
      </w:sdt>
      <w:r>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320EF922" w:rsidR="008F2014" w:rsidRDefault="00F25BC7"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03785F67" wp14:editId="4C6DC653">
                <wp:simplePos x="0" y="0"/>
                <wp:positionH relativeFrom="column">
                  <wp:posOffset>-157114</wp:posOffset>
                </wp:positionH>
                <wp:positionV relativeFrom="paragraph">
                  <wp:posOffset>-1127420</wp:posOffset>
                </wp:positionV>
                <wp:extent cx="3383640" cy="2383560"/>
                <wp:effectExtent l="25400" t="25400" r="33020" b="29845"/>
                <wp:wrapNone/>
                <wp:docPr id="503594279"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3383640" cy="2383560"/>
                      </w14:xfrm>
                    </w14:contentPart>
                  </a:graphicData>
                </a:graphic>
              </wp:anchor>
            </w:drawing>
          </mc:Choice>
          <mc:Fallback>
            <w:pict>
              <v:shapetype w14:anchorId="7BB551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85pt;margin-top:-89.25pt;width:267.45pt;height:18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">
                <v:imagedata r:id="rId19" o:title=""/>
              </v:shape>
            </w:pict>
          </mc:Fallback>
        </mc:AlternateContent>
      </w:r>
      <w:r w:rsidR="00000000">
        <w:rPr>
          <w:rFonts w:ascii="Verdana" w:hAnsi="Verdana"/>
          <w:sz w:val="20"/>
          <w:szCs w:val="20"/>
        </w:rPr>
        <w:t xml:space="preserve">Course </w:t>
      </w:r>
      <w:r w:rsidR="006F351D">
        <w:rPr>
          <w:rFonts w:ascii="Verdana" w:hAnsi="Verdana"/>
          <w:sz w:val="20"/>
          <w:szCs w:val="20"/>
        </w:rPr>
        <w:t>Instructor’s</w:t>
      </w:r>
      <w:r w:rsidR="00000000">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000000">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3A983172"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5-03-17T00:00:00Z">
            <w:dateFormat w:val="M/d/yyyy"/>
            <w:lid w:val="en-US"/>
            <w:storeMappedDataAs w:val="dateTime"/>
            <w:calendar w:val="gregorian"/>
          </w:date>
        </w:sdtPr>
        <w:sdtContent>
          <w:r w:rsidR="00072B83">
            <w:rPr>
              <w:rFonts w:ascii="Verdana" w:hAnsi="Verdana"/>
              <w:sz w:val="20"/>
              <w:szCs w:val="20"/>
            </w:rPr>
            <w:t>3/17/2025</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p w14:paraId="71B3B797" w14:textId="783CCC45" w:rsidR="00C93E4B" w:rsidRDefault="00C93E4B" w:rsidP="00AE648C">
      <w:pPr>
        <w:spacing w:after="0" w:line="240" w:lineRule="auto"/>
        <w:rPr>
          <w:rFonts w:ascii="Verdana" w:hAnsi="Verdana"/>
          <w:b/>
          <w:sz w:val="20"/>
          <w:szCs w:val="20"/>
        </w:rPr>
      </w:pPr>
    </w:p>
    <w:sectPr w:rsidR="00C93E4B"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ADFA049A">
      <w:start w:val="1"/>
      <w:numFmt w:val="bullet"/>
      <w:lvlText w:val=""/>
      <w:lvlJc w:val="left"/>
      <w:pPr>
        <w:ind w:left="720" w:hanging="360"/>
      </w:pPr>
      <w:rPr>
        <w:rFonts w:ascii="Symbol" w:hAnsi="Symbol" w:hint="default"/>
      </w:rPr>
    </w:lvl>
    <w:lvl w:ilvl="1" w:tplc="05363B54" w:tentative="1">
      <w:start w:val="1"/>
      <w:numFmt w:val="bullet"/>
      <w:lvlText w:val="o"/>
      <w:lvlJc w:val="left"/>
      <w:pPr>
        <w:ind w:left="1440" w:hanging="360"/>
      </w:pPr>
      <w:rPr>
        <w:rFonts w:ascii="Courier New" w:hAnsi="Courier New" w:cs="Courier New" w:hint="default"/>
      </w:rPr>
    </w:lvl>
    <w:lvl w:ilvl="2" w:tplc="589CBB50" w:tentative="1">
      <w:start w:val="1"/>
      <w:numFmt w:val="bullet"/>
      <w:lvlText w:val=""/>
      <w:lvlJc w:val="left"/>
      <w:pPr>
        <w:ind w:left="2160" w:hanging="360"/>
      </w:pPr>
      <w:rPr>
        <w:rFonts w:ascii="Wingdings" w:hAnsi="Wingdings" w:hint="default"/>
      </w:rPr>
    </w:lvl>
    <w:lvl w:ilvl="3" w:tplc="796ECD72" w:tentative="1">
      <w:start w:val="1"/>
      <w:numFmt w:val="bullet"/>
      <w:lvlText w:val=""/>
      <w:lvlJc w:val="left"/>
      <w:pPr>
        <w:ind w:left="2880" w:hanging="360"/>
      </w:pPr>
      <w:rPr>
        <w:rFonts w:ascii="Symbol" w:hAnsi="Symbol" w:hint="default"/>
      </w:rPr>
    </w:lvl>
    <w:lvl w:ilvl="4" w:tplc="4B4653AE" w:tentative="1">
      <w:start w:val="1"/>
      <w:numFmt w:val="bullet"/>
      <w:lvlText w:val="o"/>
      <w:lvlJc w:val="left"/>
      <w:pPr>
        <w:ind w:left="3600" w:hanging="360"/>
      </w:pPr>
      <w:rPr>
        <w:rFonts w:ascii="Courier New" w:hAnsi="Courier New" w:cs="Courier New" w:hint="default"/>
      </w:rPr>
    </w:lvl>
    <w:lvl w:ilvl="5" w:tplc="B238C15E" w:tentative="1">
      <w:start w:val="1"/>
      <w:numFmt w:val="bullet"/>
      <w:lvlText w:val=""/>
      <w:lvlJc w:val="left"/>
      <w:pPr>
        <w:ind w:left="4320" w:hanging="360"/>
      </w:pPr>
      <w:rPr>
        <w:rFonts w:ascii="Wingdings" w:hAnsi="Wingdings" w:hint="default"/>
      </w:rPr>
    </w:lvl>
    <w:lvl w:ilvl="6" w:tplc="C3DC4ACA" w:tentative="1">
      <w:start w:val="1"/>
      <w:numFmt w:val="bullet"/>
      <w:lvlText w:val=""/>
      <w:lvlJc w:val="left"/>
      <w:pPr>
        <w:ind w:left="5040" w:hanging="360"/>
      </w:pPr>
      <w:rPr>
        <w:rFonts w:ascii="Symbol" w:hAnsi="Symbol" w:hint="default"/>
      </w:rPr>
    </w:lvl>
    <w:lvl w:ilvl="7" w:tplc="89923AB8" w:tentative="1">
      <w:start w:val="1"/>
      <w:numFmt w:val="bullet"/>
      <w:lvlText w:val="o"/>
      <w:lvlJc w:val="left"/>
      <w:pPr>
        <w:ind w:left="5760" w:hanging="360"/>
      </w:pPr>
      <w:rPr>
        <w:rFonts w:ascii="Courier New" w:hAnsi="Courier New" w:cs="Courier New" w:hint="default"/>
      </w:rPr>
    </w:lvl>
    <w:lvl w:ilvl="8" w:tplc="2CEEF8E2"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8C80749C">
      <w:numFmt w:val="bullet"/>
      <w:lvlText w:val="-"/>
      <w:lvlJc w:val="left"/>
      <w:pPr>
        <w:ind w:left="1080" w:hanging="360"/>
      </w:pPr>
      <w:rPr>
        <w:rFonts w:ascii="Calibri" w:eastAsiaTheme="minorEastAsia" w:hAnsi="Calibri" w:cs="Calibri" w:hint="default"/>
        <w:sz w:val="22"/>
      </w:rPr>
    </w:lvl>
    <w:lvl w:ilvl="1" w:tplc="1C7C1126" w:tentative="1">
      <w:start w:val="1"/>
      <w:numFmt w:val="bullet"/>
      <w:lvlText w:val="o"/>
      <w:lvlJc w:val="left"/>
      <w:pPr>
        <w:ind w:left="1800" w:hanging="360"/>
      </w:pPr>
      <w:rPr>
        <w:rFonts w:ascii="Courier New" w:hAnsi="Courier New" w:cs="Courier New" w:hint="default"/>
      </w:rPr>
    </w:lvl>
    <w:lvl w:ilvl="2" w:tplc="61F8BB40" w:tentative="1">
      <w:start w:val="1"/>
      <w:numFmt w:val="bullet"/>
      <w:lvlText w:val=""/>
      <w:lvlJc w:val="left"/>
      <w:pPr>
        <w:ind w:left="2520" w:hanging="360"/>
      </w:pPr>
      <w:rPr>
        <w:rFonts w:ascii="Wingdings" w:hAnsi="Wingdings" w:hint="default"/>
      </w:rPr>
    </w:lvl>
    <w:lvl w:ilvl="3" w:tplc="2D0A38D8" w:tentative="1">
      <w:start w:val="1"/>
      <w:numFmt w:val="bullet"/>
      <w:lvlText w:val=""/>
      <w:lvlJc w:val="left"/>
      <w:pPr>
        <w:ind w:left="3240" w:hanging="360"/>
      </w:pPr>
      <w:rPr>
        <w:rFonts w:ascii="Symbol" w:hAnsi="Symbol" w:hint="default"/>
      </w:rPr>
    </w:lvl>
    <w:lvl w:ilvl="4" w:tplc="0BF40C18" w:tentative="1">
      <w:start w:val="1"/>
      <w:numFmt w:val="bullet"/>
      <w:lvlText w:val="o"/>
      <w:lvlJc w:val="left"/>
      <w:pPr>
        <w:ind w:left="3960" w:hanging="360"/>
      </w:pPr>
      <w:rPr>
        <w:rFonts w:ascii="Courier New" w:hAnsi="Courier New" w:cs="Courier New" w:hint="default"/>
      </w:rPr>
    </w:lvl>
    <w:lvl w:ilvl="5" w:tplc="743CB7AC" w:tentative="1">
      <w:start w:val="1"/>
      <w:numFmt w:val="bullet"/>
      <w:lvlText w:val=""/>
      <w:lvlJc w:val="left"/>
      <w:pPr>
        <w:ind w:left="4680" w:hanging="360"/>
      </w:pPr>
      <w:rPr>
        <w:rFonts w:ascii="Wingdings" w:hAnsi="Wingdings" w:hint="default"/>
      </w:rPr>
    </w:lvl>
    <w:lvl w:ilvl="6" w:tplc="D9CE3AA0" w:tentative="1">
      <w:start w:val="1"/>
      <w:numFmt w:val="bullet"/>
      <w:lvlText w:val=""/>
      <w:lvlJc w:val="left"/>
      <w:pPr>
        <w:ind w:left="5400" w:hanging="360"/>
      </w:pPr>
      <w:rPr>
        <w:rFonts w:ascii="Symbol" w:hAnsi="Symbol" w:hint="default"/>
      </w:rPr>
    </w:lvl>
    <w:lvl w:ilvl="7" w:tplc="5BE4D606" w:tentative="1">
      <w:start w:val="1"/>
      <w:numFmt w:val="bullet"/>
      <w:lvlText w:val="o"/>
      <w:lvlJc w:val="left"/>
      <w:pPr>
        <w:ind w:left="6120" w:hanging="360"/>
      </w:pPr>
      <w:rPr>
        <w:rFonts w:ascii="Courier New" w:hAnsi="Courier New" w:cs="Courier New" w:hint="default"/>
      </w:rPr>
    </w:lvl>
    <w:lvl w:ilvl="8" w:tplc="20FA8D6A"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B88C73F6">
      <w:start w:val="1"/>
      <w:numFmt w:val="decimal"/>
      <w:lvlText w:val="%1."/>
      <w:lvlJc w:val="left"/>
      <w:pPr>
        <w:ind w:left="720" w:hanging="360"/>
      </w:pPr>
      <w:rPr>
        <w:rFonts w:hint="default"/>
        <w:b w:val="0"/>
      </w:rPr>
    </w:lvl>
    <w:lvl w:ilvl="1" w:tplc="FE20C0D8" w:tentative="1">
      <w:start w:val="1"/>
      <w:numFmt w:val="lowerLetter"/>
      <w:lvlText w:val="%2."/>
      <w:lvlJc w:val="left"/>
      <w:pPr>
        <w:ind w:left="1440" w:hanging="360"/>
      </w:pPr>
    </w:lvl>
    <w:lvl w:ilvl="2" w:tplc="A6B29CF4" w:tentative="1">
      <w:start w:val="1"/>
      <w:numFmt w:val="lowerRoman"/>
      <w:lvlText w:val="%3."/>
      <w:lvlJc w:val="right"/>
      <w:pPr>
        <w:ind w:left="2160" w:hanging="180"/>
      </w:pPr>
    </w:lvl>
    <w:lvl w:ilvl="3" w:tplc="AD869D2A" w:tentative="1">
      <w:start w:val="1"/>
      <w:numFmt w:val="decimal"/>
      <w:lvlText w:val="%4."/>
      <w:lvlJc w:val="left"/>
      <w:pPr>
        <w:ind w:left="2880" w:hanging="360"/>
      </w:pPr>
    </w:lvl>
    <w:lvl w:ilvl="4" w:tplc="FCECAF66" w:tentative="1">
      <w:start w:val="1"/>
      <w:numFmt w:val="lowerLetter"/>
      <w:lvlText w:val="%5."/>
      <w:lvlJc w:val="left"/>
      <w:pPr>
        <w:ind w:left="3600" w:hanging="360"/>
      </w:pPr>
    </w:lvl>
    <w:lvl w:ilvl="5" w:tplc="6974143E" w:tentative="1">
      <w:start w:val="1"/>
      <w:numFmt w:val="lowerRoman"/>
      <w:lvlText w:val="%6."/>
      <w:lvlJc w:val="right"/>
      <w:pPr>
        <w:ind w:left="4320" w:hanging="180"/>
      </w:pPr>
    </w:lvl>
    <w:lvl w:ilvl="6" w:tplc="08725C0C" w:tentative="1">
      <w:start w:val="1"/>
      <w:numFmt w:val="decimal"/>
      <w:lvlText w:val="%7."/>
      <w:lvlJc w:val="left"/>
      <w:pPr>
        <w:ind w:left="5040" w:hanging="360"/>
      </w:pPr>
    </w:lvl>
    <w:lvl w:ilvl="7" w:tplc="9B64CF2A" w:tentative="1">
      <w:start w:val="1"/>
      <w:numFmt w:val="lowerLetter"/>
      <w:lvlText w:val="%8."/>
      <w:lvlJc w:val="left"/>
      <w:pPr>
        <w:ind w:left="5760" w:hanging="360"/>
      </w:pPr>
    </w:lvl>
    <w:lvl w:ilvl="8" w:tplc="3418E95C"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20EDA"/>
    <w:rsid w:val="00031C50"/>
    <w:rsid w:val="00051281"/>
    <w:rsid w:val="000628C4"/>
    <w:rsid w:val="00072B83"/>
    <w:rsid w:val="00085722"/>
    <w:rsid w:val="000921FB"/>
    <w:rsid w:val="000B7656"/>
    <w:rsid w:val="000C719D"/>
    <w:rsid w:val="000E5B45"/>
    <w:rsid w:val="000F1192"/>
    <w:rsid w:val="0010479F"/>
    <w:rsid w:val="0016032D"/>
    <w:rsid w:val="0016225A"/>
    <w:rsid w:val="00177519"/>
    <w:rsid w:val="00196C73"/>
    <w:rsid w:val="00197A3C"/>
    <w:rsid w:val="001C7686"/>
    <w:rsid w:val="001E0635"/>
    <w:rsid w:val="001E3922"/>
    <w:rsid w:val="00237B77"/>
    <w:rsid w:val="002546C7"/>
    <w:rsid w:val="0028760B"/>
    <w:rsid w:val="002D3D25"/>
    <w:rsid w:val="00326ADA"/>
    <w:rsid w:val="00344167"/>
    <w:rsid w:val="00360956"/>
    <w:rsid w:val="003957C5"/>
    <w:rsid w:val="003D5154"/>
    <w:rsid w:val="003E3DDA"/>
    <w:rsid w:val="003F2187"/>
    <w:rsid w:val="00404053"/>
    <w:rsid w:val="00432452"/>
    <w:rsid w:val="004542C9"/>
    <w:rsid w:val="00463AF9"/>
    <w:rsid w:val="004A0AAE"/>
    <w:rsid w:val="00514A5A"/>
    <w:rsid w:val="00521738"/>
    <w:rsid w:val="0052179D"/>
    <w:rsid w:val="00572F27"/>
    <w:rsid w:val="005B4AB1"/>
    <w:rsid w:val="005E5B8E"/>
    <w:rsid w:val="00655405"/>
    <w:rsid w:val="00665311"/>
    <w:rsid w:val="0067541F"/>
    <w:rsid w:val="00685ACF"/>
    <w:rsid w:val="0068717E"/>
    <w:rsid w:val="006D2435"/>
    <w:rsid w:val="006E1399"/>
    <w:rsid w:val="006E7BDF"/>
    <w:rsid w:val="006F351D"/>
    <w:rsid w:val="006F3A39"/>
    <w:rsid w:val="0070110C"/>
    <w:rsid w:val="00771E84"/>
    <w:rsid w:val="0078419D"/>
    <w:rsid w:val="008120B0"/>
    <w:rsid w:val="00821140"/>
    <w:rsid w:val="00881870"/>
    <w:rsid w:val="008A0322"/>
    <w:rsid w:val="008B7825"/>
    <w:rsid w:val="008F2014"/>
    <w:rsid w:val="008F7EF7"/>
    <w:rsid w:val="00926D6B"/>
    <w:rsid w:val="0092705C"/>
    <w:rsid w:val="00937A79"/>
    <w:rsid w:val="009537CE"/>
    <w:rsid w:val="0095550C"/>
    <w:rsid w:val="009602F2"/>
    <w:rsid w:val="009744C6"/>
    <w:rsid w:val="009775DD"/>
    <w:rsid w:val="0098460F"/>
    <w:rsid w:val="00987588"/>
    <w:rsid w:val="009A3997"/>
    <w:rsid w:val="009D175B"/>
    <w:rsid w:val="00A02757"/>
    <w:rsid w:val="00A0345E"/>
    <w:rsid w:val="00A41C69"/>
    <w:rsid w:val="00A507BD"/>
    <w:rsid w:val="00A95AF8"/>
    <w:rsid w:val="00A9627A"/>
    <w:rsid w:val="00AA0B45"/>
    <w:rsid w:val="00AB334F"/>
    <w:rsid w:val="00AC202F"/>
    <w:rsid w:val="00AE419C"/>
    <w:rsid w:val="00AE5FF2"/>
    <w:rsid w:val="00AE648C"/>
    <w:rsid w:val="00B074AA"/>
    <w:rsid w:val="00B27303"/>
    <w:rsid w:val="00B83728"/>
    <w:rsid w:val="00B8701D"/>
    <w:rsid w:val="00BC1541"/>
    <w:rsid w:val="00BD7FD3"/>
    <w:rsid w:val="00C11991"/>
    <w:rsid w:val="00C52C84"/>
    <w:rsid w:val="00C61B51"/>
    <w:rsid w:val="00C66594"/>
    <w:rsid w:val="00C93E4B"/>
    <w:rsid w:val="00C96955"/>
    <w:rsid w:val="00CC41EB"/>
    <w:rsid w:val="00D3334D"/>
    <w:rsid w:val="00D33B4D"/>
    <w:rsid w:val="00D51444"/>
    <w:rsid w:val="00D53EA1"/>
    <w:rsid w:val="00D63600"/>
    <w:rsid w:val="00D96292"/>
    <w:rsid w:val="00DA60D8"/>
    <w:rsid w:val="00DB5494"/>
    <w:rsid w:val="00DC1945"/>
    <w:rsid w:val="00DF06A2"/>
    <w:rsid w:val="00DF7E28"/>
    <w:rsid w:val="00E042F3"/>
    <w:rsid w:val="00E04894"/>
    <w:rsid w:val="00E20946"/>
    <w:rsid w:val="00E337FF"/>
    <w:rsid w:val="00E36FBC"/>
    <w:rsid w:val="00E41B44"/>
    <w:rsid w:val="00E60DA5"/>
    <w:rsid w:val="00E6479F"/>
    <w:rsid w:val="00E82CBC"/>
    <w:rsid w:val="00E864E0"/>
    <w:rsid w:val="00EC31E4"/>
    <w:rsid w:val="00EC71A5"/>
    <w:rsid w:val="00EF49D0"/>
    <w:rsid w:val="00F05749"/>
    <w:rsid w:val="00F1500E"/>
    <w:rsid w:val="00F23166"/>
    <w:rsid w:val="00F25BC7"/>
    <w:rsid w:val="00F26E69"/>
    <w:rsid w:val="00F27524"/>
    <w:rsid w:val="00F65306"/>
    <w:rsid w:val="00FA1E13"/>
    <w:rsid w:val="00FA5D3E"/>
    <w:rsid w:val="00FB6BB1"/>
    <w:rsid w:val="00FC1A8E"/>
    <w:rsid w:val="00FE058C"/>
    <w:rsid w:val="00FE0F7B"/>
    <w:rsid w:val="00FE7E47"/>
    <w:rsid w:val="00FF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020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10">
    <w:name w:val="margin--left--10"/>
    <w:basedOn w:val="DefaultParagraphFont"/>
    <w:rsid w:val="00031C50"/>
  </w:style>
  <w:style w:type="character" w:customStyle="1" w:styleId="al-author-delim">
    <w:name w:val="al-author-delim"/>
    <w:basedOn w:val="DefaultParagraphFont"/>
    <w:rsid w:val="00C93E4B"/>
  </w:style>
  <w:style w:type="character" w:styleId="Emphasis">
    <w:name w:val="Emphasis"/>
    <w:basedOn w:val="DefaultParagraphFont"/>
    <w:uiPriority w:val="20"/>
    <w:qFormat/>
    <w:rsid w:val="00C93E4B"/>
    <w:rPr>
      <w:i/>
      <w:iCs/>
    </w:rPr>
  </w:style>
  <w:style w:type="character" w:customStyle="1" w:styleId="Heading1Char">
    <w:name w:val="Heading 1 Char"/>
    <w:basedOn w:val="DefaultParagraphFont"/>
    <w:link w:val="Heading1"/>
    <w:uiPriority w:val="9"/>
    <w:rsid w:val="00020ED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8760B"/>
    <w:rPr>
      <w:color w:val="605E5C"/>
      <w:shd w:val="clear" w:color="auto" w:fill="E1DFDD"/>
    </w:rPr>
  </w:style>
  <w:style w:type="table" w:customStyle="1" w:styleId="GridTable2-Accent41">
    <w:name w:val="Grid Table 2 - Accent 41"/>
    <w:basedOn w:val="TableNormal"/>
    <w:next w:val="GridTable2-Accent4"/>
    <w:uiPriority w:val="47"/>
    <w:rsid w:val="0028760B"/>
    <w:pPr>
      <w:spacing w:after="0" w:line="240" w:lineRule="auto"/>
    </w:pPr>
    <w:rPr>
      <w:kern w:val="2"/>
      <w:sz w:val="24"/>
      <w:szCs w:val="24"/>
      <w14:ligatures w14:val="standardContextual"/>
    </w:rPr>
    <w:tblPr>
      <w:tblStyleRowBandSize w:val="1"/>
      <w:tblStyleColBandSize w:val="1"/>
      <w:tblBorders>
        <w:top w:val="single" w:sz="2" w:space="0" w:color="60CAF3"/>
        <w:bottom w:val="single" w:sz="2" w:space="0" w:color="60CAF3"/>
        <w:insideH w:val="single" w:sz="2" w:space="0" w:color="60CAF3"/>
        <w:insideV w:val="single" w:sz="2" w:space="0" w:color="60CAF3"/>
      </w:tblBorders>
    </w:tblPr>
    <w:tblStylePr w:type="firstRow">
      <w:rPr>
        <w:b/>
        <w:bCs/>
      </w:rPr>
      <w:tblPr/>
      <w:tcPr>
        <w:tcBorders>
          <w:top w:val="nil"/>
          <w:bottom w:val="single" w:sz="12" w:space="0" w:color="60CAF3"/>
          <w:insideH w:val="nil"/>
          <w:insideV w:val="nil"/>
        </w:tcBorders>
        <w:shd w:val="clear" w:color="auto" w:fill="FFFFFF"/>
      </w:tcPr>
    </w:tblStylePr>
    <w:tblStylePr w:type="lastRow">
      <w:rPr>
        <w:b/>
        <w:bCs/>
      </w:rPr>
      <w:tblPr/>
      <w:tcPr>
        <w:tcBorders>
          <w:top w:val="double" w:sz="2" w:space="0" w:color="60CAF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AEDFB"/>
      </w:tcPr>
    </w:tblStylePr>
    <w:tblStylePr w:type="band1Horz">
      <w:tblPr/>
      <w:tcPr>
        <w:shd w:val="clear" w:color="auto" w:fill="CAEDFB"/>
      </w:tcPr>
    </w:tblStylePr>
  </w:style>
  <w:style w:type="table" w:styleId="GridTable2-Accent4">
    <w:name w:val="Grid Table 2 Accent 4"/>
    <w:basedOn w:val="TableNormal"/>
    <w:uiPriority w:val="47"/>
    <w:rsid w:val="0028760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citationstylesgno2wrpf">
    <w:name w:val="citationstyles_gno2wrpf"/>
    <w:basedOn w:val="DefaultParagraphFont"/>
    <w:rsid w:val="0016225A"/>
  </w:style>
  <w:style w:type="character" w:styleId="FollowedHyperlink">
    <w:name w:val="FollowedHyperlink"/>
    <w:basedOn w:val="DefaultParagraphFont"/>
    <w:uiPriority w:val="99"/>
    <w:semiHidden/>
    <w:unhideWhenUsed/>
    <w:rsid w:val="00E60DA5"/>
    <w:rPr>
      <w:color w:val="954F72" w:themeColor="followedHyperlink"/>
      <w:u w:val="single"/>
    </w:rPr>
  </w:style>
  <w:style w:type="paragraph" w:styleId="HTMLPreformatted">
    <w:name w:val="HTML Preformatted"/>
    <w:basedOn w:val="Normal"/>
    <w:link w:val="HTMLPreformattedChar"/>
    <w:uiPriority w:val="99"/>
    <w:semiHidden/>
    <w:unhideWhenUsed/>
    <w:rsid w:val="006E7BD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E7BDF"/>
    <w:rPr>
      <w:rFonts w:ascii="Consolas" w:eastAsiaTheme="minorEastAsia"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3026/phvt-3277" TargetMode="External"/><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doi.org/10.1161/CIR.0000000000000753" TargetMode="External"/><Relationship Id="rId17" Type="http://schemas.openxmlformats.org/officeDocument/2006/relationships/hyperlink" Target="https://learnsascode.com/sas-vs-r-vs-python/" TargetMode="External"/><Relationship Id="rId2" Type="http://schemas.openxmlformats.org/officeDocument/2006/relationships/customXml" Target="../customXml/item2.xml"/><Relationship Id="rId16" Type="http://schemas.openxmlformats.org/officeDocument/2006/relationships/hyperlink" Target="https://files.asprtracie.hhs.gov/documents/aspr-tracie-sofa-score-fact-shee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7labs.com/blog/train-validation-test-set" TargetMode="External"/><Relationship Id="rId5" Type="http://schemas.openxmlformats.org/officeDocument/2006/relationships/numbering" Target="numbering.xml"/><Relationship Id="rId15" Type="http://schemas.openxmlformats.org/officeDocument/2006/relationships/hyperlink" Target="https://optuna.org/" TargetMode="External"/><Relationship Id="rId10" Type="http://schemas.openxmlformats.org/officeDocument/2006/relationships/hyperlink" Target="https://www.mdcalc.com/"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physionet.org/content/blood-gas-oximetry/1.0/" TargetMode="External"/><Relationship Id="rId14" Type="http://schemas.openxmlformats.org/officeDocument/2006/relationships/hyperlink" Target="https://doi.org/10.13026/jfpc-pz79"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000000"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000000"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000000"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000000"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000000"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000000" w:rsidP="0010479F">
          <w:pPr>
            <w:pStyle w:val="1578984DA03B4FD691375605FBFB512B1"/>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000000"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000000"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000000" w:rsidP="0010479F">
          <w:pPr>
            <w:pStyle w:val="ABBC2778A02E43AFBC10C7DCDF0AEEE2"/>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197A3C"/>
    <w:rsid w:val="001D795A"/>
    <w:rsid w:val="00255931"/>
    <w:rsid w:val="003259DB"/>
    <w:rsid w:val="003B6597"/>
    <w:rsid w:val="003C506B"/>
    <w:rsid w:val="00463AF9"/>
    <w:rsid w:val="00532B5E"/>
    <w:rsid w:val="006E1399"/>
    <w:rsid w:val="007A1C6D"/>
    <w:rsid w:val="008B7825"/>
    <w:rsid w:val="00937A79"/>
    <w:rsid w:val="00A8476F"/>
    <w:rsid w:val="00B23326"/>
    <w:rsid w:val="00BD6C1D"/>
    <w:rsid w:val="00CE7C3B"/>
    <w:rsid w:val="00EC5596"/>
    <w:rsid w:val="00EF0903"/>
    <w:rsid w:val="00F26E69"/>
    <w:rsid w:val="00FE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76F"/>
    <w:rPr>
      <w:color w:val="808080"/>
    </w:rPr>
  </w:style>
  <w:style w:type="paragraph" w:customStyle="1" w:styleId="09C49FA8560647618624C4CE2FB24DF9">
    <w:name w:val="09C49FA8560647618624C4CE2FB24DF9"/>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1:45:38.288"/>
    </inkml:context>
    <inkml:brush xml:id="br0">
      <inkml:brushProperty name="width" value="0.035" units="cm"/>
      <inkml:brushProperty name="height" value="0.035" units="cm"/>
    </inkml:brush>
  </inkml:definitions>
  <inkml:trace contextRef="#ctx0" brushRef="#br0">4043 4691 24575,'1'8'0,"-4"8"0,-10 14 0,-3 6 0,-5 7 0,-2 6 0,1 0 0,-3 6 0,6-12 0,5-7 0,4-7 0,5-7 0,1-2 0,7-9 0,30-21 0,10-13 0,9-8-1403,2-2 0,6-4 1,4-3 1402,0-1 0,4-3 0,3-2 0,2-1-1078,-5 3 0,2-2 0,1-2 0,0 1 0,-1 0 1078,13-8 0,-2-1 0,0 1 0,0 1 0,-2 0 0,0 0 0,-1 1 0,-3 1-518,-11 8 1,-1 1-1,-2 0 1,-2 2 517,12-9 0,-2 2 0,-1 0-358,0 1 1,-1 1 0,-3 1 357,13-10 0,-4 2 744,-8 5 0,-3 4-744,-17 12 0,-4 1 4571,29-22-4571,-27 20 3241,-33 18-3241,-93 61 0,21-10 0,-11 6 0,-7 5-814,8-5 1,-5 3 0,-4 3 0,-4 2 0,-2 1 813,9-5 0,-2 2 0,-3 2 0,-1 0 0,-3 1 0,0 1 0,-2 0-424,11-6 0,0 0 0,-1 0 0,-1 0 0,-2 1 1,-1 1-1,-3 1 0,-2 1 0,-2 1 424,15-9 0,-4 2 0,-1 1 0,-3 1 0,-2 0 0,0 2 0,-2-1 0,1 1 0,0-1 0,0-1 0,2 0 0,2-1 0,2-2 0,2-1-304,-10 6 1,3-3-1,2 0 1,2-2 0,0 0-1,1-1 1,-1 0 0,0 1-1,-3 1 1,-1 0 303,4-2 0,-4 2 0,-2 1 0,-1 1 0,-2 0 0,1-1 0,1 0 0,3-2 0,2-1 0,4-3 0,5-3 0,6-3-406,-25 11 0,10-7 1,6-2-1,1-3 0,0 1 406,-17 6 0,2 0 0,2-3 0,4-3 231,-4 0 0,5-4 0,3-1-231,7-3 0,3-1 0,1-2 1026,-27 8 1,9-8-1027,28-9 0,12-16 0,6-70 0,52-11 0,27-20 0,-7 39 0,8-6 0,7-5 0,5-4 0,4-2 0,1 0 0,-6 10 0,3-2 0,2-2 0,3-1 0,3-2 0,1 0 0,3-2 0,1 1 0,2-1 0,-11 15 0,1-1 0,2 0 0,1-1 0,2 0 0,1-1 0,1 0 0,1-1 0,2 1 0,0-1 0,0 1 0,2 0 0,0-1 0,-3 4 0,2 0 0,0-1 0,2-1 0,0 1 0,1 0 0,0-1 0,2 1 0,0 0 0,1 0 0,0 0 0,2 1 0,-1 1 0,2 1 0,-1 0-62,0 2 0,0 1 0,1 1 0,0-1 0,2 1 0,-1 1 1,2 0-1,0 0 0,0 0 0,1 2 0,1-1 0,0 1 0,1 0 1,0 1-1,0 0 0,1 0 62,-3 3 0,2-1 0,0 1 0,2 1 0,-1-1 0,1 1 0,1 0 0,0 1 0,0 0 0,1 1 0,-1 0 0,1 1 0,-1 0 0,0 1 0,0 1 0,0 0 0,0 1-110,0 0 0,1 0 0,-1 1 1,1 0-1,-1 2 0,0-1 1,1 1-1,-1 1 0,1 0 0,-1 1 1,1 1-1,-1 0 0,1 1 1,0 0-1,-1 1 0,1 1 110,4-1 0,1 1 0,2 0 0,0 0 0,1 2 0,0-1 0,0 2 0,-1 0 0,-1 1 0,-2 1 0,-2 1 0,-2 1 0,-4 1 0,-2 1 0,-4 1 0,19-7 0,-5 2 0,-4 1 0,-3 2 0,-2 2 0,-2 1 0,-2 1 0,1 2 0,5 2 0,-1 0 0,0 0 0,1 0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8DBC68-B463-994D-B5AA-1B78AFFE3257}">
  <ds:schemaRefs>
    <ds:schemaRef ds:uri="http://schemas.openxmlformats.org/officeDocument/2006/bibliography"/>
  </ds:schemaRefs>
</ds:datastoreItem>
</file>

<file path=customXml/itemProps4.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Melick</dc:creator>
  <cp:lastModifiedBy>Daniel Smith</cp:lastModifiedBy>
  <cp:revision>11</cp:revision>
  <dcterms:created xsi:type="dcterms:W3CDTF">2025-03-14T22:28:00Z</dcterms:created>
  <dcterms:modified xsi:type="dcterms:W3CDTF">2025-03-18T01:45:00Z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