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alternative</w:t>
      </w:r>
      <w:r>
        <w:t xml:space="preserve"> </w:t>
      </w:r>
      <w:r>
        <w:t xml:space="preserve">bootstrap</w:t>
      </w:r>
      <w:r>
        <w:t xml:space="preserve"> </w:t>
      </w:r>
      <w:r>
        <w:t xml:space="preserve">estimators</w:t>
      </w:r>
      <w:r>
        <w:t xml:space="preserve"> </w:t>
      </w:r>
      <w:r>
        <w:t xml:space="preserve">for</w:t>
      </w:r>
      <w:r>
        <w:t xml:space="preserve"> </w:t>
      </w:r>
      <w:r>
        <w:t xml:space="preserve">input-sample-size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multi-level</w:t>
      </w:r>
      <w:r>
        <w:t xml:space="preserve"> </w:t>
      </w:r>
      <w:r>
        <w:t xml:space="preserve">sampling</w:t>
      </w:r>
      <w:r>
        <w:t xml:space="preserve"> </w:t>
      </w:r>
      <w:r>
        <w:t xml:space="preserve">design</w:t>
      </w:r>
      <w:r>
        <w:t xml:space="preserve"> </w:t>
      </w:r>
      <w:r>
        <w:t xml:space="preserve">for</w:t>
      </w:r>
      <w:r>
        <w:t xml:space="preserve"> </w:t>
      </w:r>
      <w: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composition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C.</w:t>
      </w:r>
      <w:r>
        <w:t xml:space="preserve"> </w:t>
      </w:r>
      <w:r>
        <w:t xml:space="preserve">Williams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James</w:t>
      </w:r>
      <w:r>
        <w:t xml:space="preserve"> </w:t>
      </w:r>
      <w:r>
        <w:t xml:space="preserve">T.</w:t>
      </w:r>
      <w:r>
        <w:t xml:space="preserve"> </w:t>
      </w:r>
      <w:r>
        <w:t xml:space="preserve">Thorson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Matthew</w:t>
      </w:r>
      <w:r>
        <w:t xml:space="preserve"> </w:t>
      </w:r>
      <w:r>
        <w:t xml:space="preserve">R.</w:t>
      </w:r>
      <w:r>
        <w:t xml:space="preserve"> </w:t>
      </w:r>
      <w:r>
        <w:t xml:space="preserve">Siskey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Peter-John</w:t>
      </w:r>
      <w:r>
        <w:t xml:space="preserve"> </w:t>
      </w:r>
      <w:r>
        <w:t xml:space="preserve">F.</w:t>
      </w:r>
      <w:r>
        <w:t xml:space="preserve"> </w:t>
      </w:r>
      <w:r>
        <w:t xml:space="preserve">Hulson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*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Auke Bay Laboratories, Alaska Fisheries Science Center, National Marine Fisheries Service, National Oceanic and Atmospheric Administration, 17109 Point Lena Loop Rd., Juneau, AK 99801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Resource Ecology and Fisheries Management Division, Alaska Fisheries Science Center, National Marine Fisheries Service, National Oceanic and Atmospheric Administration, 7600 Sand Point Way NE, Seattle, WA 98115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Washington Department of Fish and Wildlife, 111 Washington St. SE, Olympia, WA, 98501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Peter-John F. Hulson &lt;</w:t>
        </w:r>
        <w:hyperlink r:id="rId20">
          <w:r>
            <w:rPr>
              <w:rStyle w:val="Hyperlink"/>
            </w:rPr>
            <w:t xml:space="preserve">pete.hulson@noaa.gov</w:t>
          </w:r>
        </w:hyperlink>
        <w:r>
          <w:rPr>
            <w:rStyle w:val="Hyperlink"/>
          </w:rPr>
          <w:t xml:space="preserve">&gt;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Integrated assessment models include multiple types of data, and their statistical leverage depends on sample sizes and variances that are assigned by the analyst.</w:t>
      </w:r>
      <w:r>
        <w:t xml:space="preserve"> </w:t>
      </w:r>
      <w:r>
        <w:t xml:space="preserve">There is a long history of standardizing survey and fishery catch data to estimate abundance indices and associated variance, but surprisingly little research to standardize compositional data to estimate input-sample-sizes.</w:t>
      </w:r>
      <w:r>
        <w:t xml:space="preserve"> </w:t>
      </w:r>
      <w:r>
        <w:t xml:space="preserve">Here we extend this research along three lines: (1) we expand an existing bootstrap estimator to compute an input-sample-size based on resampling individual lengths, age-length specimen samples, and survey hauls, and estimate the relative variance associated with each stage; (2) we compare these bootstrap types with a model-based estimate of input-sample-size; and (3) we compare assessment model outcomes using these alternative input-sample-size estimators.</w:t>
      </w:r>
      <w:r>
        <w:t xml:space="preserve"> </w:t>
      </w:r>
      <w:r>
        <w:t xml:space="preserve">Results show that bootstrapping only hauls results in an average input-sample-size for ages of X1 and for lengths of Y1, while bootstrapping hauls, specimens, and length records substantially reduces this to X2 and Y2 [or some other sentence summarizing patterns across Bootstrap Types].</w:t>
      </w:r>
      <w:r>
        <w:t xml:space="preserve"> </w:t>
      </w:r>
      <w:r>
        <w:t xml:space="preserve">Also, [add sentence about patterns in input-sample-size by species type and/or life-history].</w:t>
      </w:r>
      <w:r>
        <w:t xml:space="preserve"> </w:t>
      </w:r>
      <w:r>
        <w:t xml:space="preserve">Similarly, existing model-based estimators for input-sample-size are typically higher than the full bootstrap estimator, perhaps because the model-based estimator does not propagate imprecision from age-length specimens used to create an age-length key.</w:t>
      </w:r>
      <w:r>
        <w:t xml:space="preserve"> </w:t>
      </w:r>
      <w:r>
        <w:t xml:space="preserve">Finally, alternative input sample-size estimators have large/small impacts on a real-world assessment model for Gulf of Alaska Pacific cod.</w:t>
      </w:r>
      <w:r>
        <w:t xml:space="preserve"> </w:t>
      </w:r>
      <w:r>
        <w:t xml:space="preserve">We conclude by suggesting avenues for future research to compare bootstrap and model-based estimators of input-sample-size, and also emphasize examples of how this information can be used to optimize survey operations for use in fisheries management.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6" w:name="acknowledgments"/>
    <w:p>
      <w:pPr>
        <w:pStyle w:val="Heading1"/>
      </w:pPr>
      <w:r>
        <w:t xml:space="preserve">Acknowledgments</w:t>
      </w:r>
    </w:p>
    <w:p>
      <w:r>
        <w:br w:type="page"/>
      </w:r>
    </w:p>
    <w:bookmarkEnd w:id="26"/>
    <w:bookmarkStart w:id="28" w:name="citations"/>
    <w:p>
      <w:pPr>
        <w:pStyle w:val="Heading1"/>
      </w:pPr>
      <w:r>
        <w:t xml:space="preserve">Citations</w:t>
      </w:r>
    </w:p>
    <w:bookmarkStart w:id="27" w:name="refs"/>
    <w:bookmarkEnd w:id="27"/>
    <w:p>
      <w:r>
        <w:br w:type="page"/>
      </w:r>
    </w:p>
    <w:bookmarkEnd w:id="28"/>
    <w:bookmarkStart w:id="29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Table 1: Species assessed at the Alaska Fisheries Science Center that were evaluated in the bootstrap analysis for bottom trawl survey length and age composition input sample size (AI - Aleutian Islands, EBS - Eastern Bering Sea, GOA - Gulf of Alaska)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Species assessed at the Alaska Fisheries Science Center that were evaluated in the bootstrap analysis for bottom trawl survey length and age composition input sample size (AI - Aleutian Islands, EBS - Eastern Bering Sea, GOA - Gulf of Alaska)"/>
      </w:tblPr>
      <w:tblGrid>
        <w:gridCol w:w="2262"/>
        <w:gridCol w:w="3620"/>
        <w:gridCol w:w="2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Survey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Alaska plaice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Pleuronectes quadrituberculatus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arrowtooth flounder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Atheresthes stomias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AI, EBS, 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Atka mackerel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Pleurogrammus monopterygius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Dover 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Microstomus pacificus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flathead 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Hippoglossoides elassodon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EBS, 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Greenland turbot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Reinhardtius hippoglossoides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Kamchatka flounder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Atheresthes evermanni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northern rock 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Lepidopsetta polyxystra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EBS, 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northern rockfish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Sebastes polyspinis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AI, 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Pacific cod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Gadus macrocephalus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AI, EBS, 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Pacific ocean perch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Sebastes alutus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AI, 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rex 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Glyptocephalus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rock 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Lepidopsetta billineta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walleye pollock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Gadus chalcogrammus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AI, EBS, GOA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yellowfin 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Limanda aspera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EBS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2: Bootstrap variability scenarios explored.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Bootstrap variability scenarios explored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Bootstrap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[ADD short description later]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</w:tbl>
    <w:p>
      <w:r>
        <w:br w:type="page"/>
      </w:r>
    </w:p>
    <w:bookmarkEnd w:id="29"/>
    <w:bookmarkStart w:id="36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5006340" cy="4636008"/>
            <wp:effectExtent b="0" l="0" r="0" t="0"/>
            <wp:docPr descr="Figure 1: Bootstrap-simulation flow chart, with steps referring to the order of operations." title="" id="31" name="Picture"/>
            <a:graphic>
              <a:graphicData uri="http://schemas.openxmlformats.org/drawingml/2006/picture">
                <pic:pic>
                  <pic:nvPicPr>
                    <pic:cNvPr descr="../figs/age_flowchar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63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Bootstrap-simulation flow chart, with steps referring to the order of operations.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2: Example Figure 2 boxplot." title="" id="34" name="Picture"/>
            <a:graphic>
              <a:graphicData uri="http://schemas.openxmlformats.org/drawingml/2006/picture">
                <pic:pic>
                  <pic:nvPicPr>
                    <pic:cNvPr descr="../figs/iss_age_li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Example Figure 2 boxplot.</w:t>
      </w:r>
    </w:p>
    <w:bookmarkEnd w:id="36"/>
    <w:sectPr w:rsidR="009603D3" w:rsidSect="001B2361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4655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294" w:rsidRDefault="001E02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E0294" w:rsidRDefault="001E029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ADCA4F7A"/>
    <w:multiLevelType w:val="multilevel"/>
    <w:tmpl w:val="863E9B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1BA620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0A303C1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B40CD70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125232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809C54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352C230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930206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6D92D7F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EB7A4DC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C1A2FB5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C07CFBE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00A990"/>
    <w:multiLevelType w:val="multilevel"/>
    <w:tmpl w:val="DA4C521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3">
    <w:nsid w:val="0000A991"/>
    <w:multiLevelType w:val="multilevel"/>
    <w:tmpl w:val="CC32259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00A99411"/>
    <w:multiLevelType w:val="multilevel"/>
    <w:tmpl w:val="B23AE940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5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91FA582"/>
    <w:multiLevelType w:val="multilevel"/>
    <w:tmpl w:val="57281B1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7">
    <w:nsid w:val="594669FA"/>
    <w:multiLevelType w:val="multilevel"/>
    <w:tmpl w:val="9D88E9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8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8"/>
  </w:num>
  <w:num w:numId="6">
    <w:abstractNumId w:val="15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2"/>
  </w:num>
  <w:num w:numId="18">
    <w:abstractNumId w:val="13"/>
  </w:num>
  <w:num w:numId="19">
    <w:abstractNumId w:val="13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1" w:qFormat="1" w:uiPriority="9"/>
    <w:lsdException w:name="heading 2" w:qFormat="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F0468"/>
    <w:pPr>
      <w:spacing w:after="0" w:before="120" w:line="360" w:lineRule="auto"/>
    </w:pPr>
    <w:rPr>
      <w:rFonts w:ascii="Times New Roman" w:hAnsi="Times New Roman"/>
      <w:bCs/>
      <w:szCs w:val="22"/>
    </w:rPr>
  </w:style>
  <w:style w:styleId="Heading1" w:type="paragraph">
    <w:name w:val="heading 1"/>
    <w:basedOn w:val="Subtitle"/>
    <w:next w:val="BodyText"/>
    <w:autoRedefine/>
    <w:uiPriority w:val="9"/>
    <w:qFormat/>
    <w:rsid w:val="007772B6"/>
    <w:pPr>
      <w:outlineLvl w:val="0"/>
    </w:pPr>
    <w:rPr>
      <w:sz w:val="24"/>
      <w:szCs w:val="24"/>
    </w:rPr>
  </w:style>
  <w:style w:styleId="Heading2" w:type="paragraph">
    <w:name w:val="heading 2"/>
    <w:basedOn w:val="Heading1"/>
    <w:next w:val="BodyText"/>
    <w:uiPriority w:val="9"/>
    <w:unhideWhenUsed/>
    <w:qFormat/>
    <w:rsid w:val="007772B6"/>
    <w:pPr>
      <w:jc w:val="left"/>
      <w:outlineLvl w:val="1"/>
    </w:pPr>
    <w:rPr>
      <w:b w:val="0"/>
      <w:i/>
      <w:szCs w:val="36"/>
    </w:rPr>
  </w:style>
  <w:style w:styleId="Heading3" w:type="paragraph">
    <w:name w:val="heading 3"/>
    <w:basedOn w:val="Heading1"/>
    <w:next w:val="BodyText"/>
    <w:uiPriority w:val="9"/>
    <w:unhideWhenUsed/>
    <w:qFormat/>
    <w:rsid w:val="005F0468"/>
    <w:pPr>
      <w:outlineLvl w:val="2"/>
    </w:pPr>
    <w:rPr>
      <w:b w:val="0"/>
      <w:bCs/>
      <w:sz w:val="32"/>
      <w:szCs w:val="32"/>
    </w:rPr>
  </w:style>
  <w:style w:styleId="Heading4" w:type="paragraph">
    <w:name w:val="heading 4"/>
    <w:basedOn w:val="Heading1"/>
    <w:next w:val="BodyText"/>
    <w:uiPriority w:val="9"/>
    <w:unhideWhenUsed/>
    <w:qFormat/>
    <w:rsid w:val="005F0468"/>
    <w:pPr>
      <w:outlineLvl w:val="3"/>
    </w:pPr>
    <w:rPr>
      <w:b w:val="0"/>
      <w:bCs/>
    </w:rPr>
  </w:style>
  <w:style w:styleId="Heading5" w:type="paragraph">
    <w:name w:val="heading 5"/>
    <w:basedOn w:val="Heading1"/>
    <w:next w:val="BodyText"/>
    <w:uiPriority w:val="9"/>
    <w:unhideWhenUsed/>
    <w:qFormat/>
    <w:rsid w:val="005F0468"/>
    <w:pPr>
      <w:outlineLvl w:val="4"/>
    </w:pPr>
    <w:rPr>
      <w:b w:val="0"/>
      <w:bCs/>
    </w:rPr>
  </w:style>
  <w:style w:styleId="Heading6" w:type="paragraph">
    <w:name w:val="heading 6"/>
    <w:basedOn w:val="Heading1"/>
    <w:next w:val="BodyText"/>
    <w:uiPriority w:val="9"/>
    <w:unhideWhenUsed/>
    <w:qFormat/>
    <w:rsid w:val="000E0C25"/>
    <w:pPr>
      <w:pageBreakBefore/>
      <w:outlineLvl w:val="5"/>
    </w:pPr>
    <w:rPr>
      <w:b w:val="0"/>
      <w:b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D6C2D"/>
    <w:pPr>
      <w:spacing w:before="0" w:line="480" w:lineRule="auto"/>
    </w:pPr>
  </w:style>
  <w:style w:customStyle="1" w:styleId="FirstParagraph" w:type="paragraph">
    <w:name w:val="First Paragraph"/>
    <w:basedOn w:val="BodyText"/>
    <w:next w:val="BodyText"/>
    <w:qFormat/>
    <w:rsid w:val="00BD6C2D"/>
  </w:style>
  <w:style w:customStyle="1" w:styleId="Compact" w:type="paragraph">
    <w:name w:val="Compact"/>
    <w:basedOn w:val="Normal"/>
    <w:qFormat/>
    <w:rsid w:val="00EA5B90"/>
    <w:rPr>
      <w:szCs w:val="20"/>
    </w:rPr>
  </w:style>
  <w:style w:styleId="Title" w:type="paragraph">
    <w:name w:val="Title"/>
    <w:basedOn w:val="Normal"/>
    <w:next w:val="BodyText"/>
    <w:link w:val="TitleChar"/>
    <w:qFormat/>
    <w:rsid w:val="007772B6"/>
    <w:pPr>
      <w:keepNext/>
      <w:keepLines/>
      <w:spacing w:before="0" w:line="480" w:lineRule="auto"/>
      <w:jc w:val="center"/>
    </w:pPr>
    <w:rPr>
      <w:rFonts w:cstheme="majorBidi" w:eastAsia="Calibri"/>
      <w:b/>
      <w:bCs w:val="0"/>
      <w:szCs w:val="52"/>
    </w:rPr>
  </w:style>
  <w:style w:styleId="Subtitle" w:type="paragraph">
    <w:name w:val="Subtitle"/>
    <w:basedOn w:val="Title"/>
    <w:next w:val="BodyText"/>
    <w:qFormat/>
    <w:rsid w:val="005F0468"/>
    <w:rPr>
      <w:sz w:val="44"/>
      <w:szCs w:val="44"/>
    </w:rPr>
  </w:style>
  <w:style w:customStyle="1" w:styleId="Author" w:type="paragraph">
    <w:name w:val="Author"/>
    <w:next w:val="BodyText"/>
    <w:qFormat/>
    <w:rsid w:val="00BD6C2D"/>
    <w:pPr>
      <w:keepNext/>
      <w:keepLines/>
      <w:spacing w:after="0" w:line="480" w:lineRule="auto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5C42A0"/>
    <w:pPr>
      <w:spacing w:after="100" w:before="100"/>
    </w:pPr>
    <w:rPr>
      <w:rFonts w:cstheme="majorBidi" w:eastAsiaTheme="majorEastAsia"/>
      <w:bCs w:val="0"/>
      <w:strike/>
      <w:color w:val="FF0000"/>
      <w:sz w:val="20"/>
      <w:szCs w:val="20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8E5EBF"/>
    <w:rPr>
      <w:i w:val="0"/>
      <w:iCs/>
    </w:rPr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TableContent" w:type="paragraph">
    <w:name w:val="Table Content"/>
    <w:basedOn w:val="Normal"/>
    <w:link w:val="TableContentChar"/>
    <w:qFormat/>
    <w:rsid w:val="00F73D9B"/>
    <w:pPr>
      <w:jc w:val="right"/>
    </w:pPr>
    <w:rPr>
      <w:sz w:val="18"/>
      <w:szCs w:val="18"/>
    </w:rPr>
  </w:style>
  <w:style w:customStyle="1" w:styleId="BodyTextChar" w:type="character">
    <w:name w:val="Body Text Char"/>
    <w:basedOn w:val="DefaultParagraphFont"/>
    <w:link w:val="BodyText"/>
    <w:rsid w:val="00BD6C2D"/>
    <w:rPr>
      <w:rFonts w:ascii="Times New Roman" w:hAnsi="Times New Roman"/>
      <w:bCs/>
      <w:szCs w:val="22"/>
    </w:rPr>
  </w:style>
  <w:style w:customStyle="1" w:styleId="TableContentChar" w:type="character">
    <w:name w:val="Table Content Char"/>
    <w:basedOn w:val="BodyTextChar"/>
    <w:link w:val="TableContent"/>
    <w:rsid w:val="00F73D9B"/>
    <w:rPr>
      <w:rFonts w:ascii="Arial Narrow" w:hAnsi="Arial Narrow"/>
      <w:bCs/>
      <w:color w:val="56575A"/>
      <w:sz w:val="18"/>
      <w:szCs w:val="18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customStyle="1" w:styleId="TitleChar" w:type="character">
    <w:name w:val="Title Char"/>
    <w:link w:val="Title"/>
    <w:rsid w:val="007772B6"/>
    <w:rPr>
      <w:rFonts w:ascii="Times New Roman" w:cstheme="majorBidi" w:eastAsia="Calibri" w:hAnsi="Times New Roman"/>
      <w:b/>
      <w:szCs w:val="52"/>
    </w:rPr>
  </w:style>
  <w:style w:styleId="ListParagraph" w:type="paragraph">
    <w:name w:val="List Paragraph"/>
    <w:basedOn w:val="Normal"/>
    <w:rsid w:val="007B3750"/>
    <w:pPr>
      <w:ind w:left="720"/>
      <w:contextualSpacing/>
    </w:pPr>
  </w:style>
  <w:style w:styleId="TOC1" w:type="paragraph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  <w:style w:styleId="LineNumber" w:type="character">
    <w:name w:val="line number"/>
    <w:basedOn w:val="DefaultParagraphFont"/>
    <w:semiHidden/>
    <w:unhideWhenUsed/>
    <w:rsid w:val="001B2361"/>
  </w:style>
  <w:style w:styleId="Header" w:type="paragraph">
    <w:name w:val="header"/>
    <w:basedOn w:val="Normal"/>
    <w:link w:val="HeaderChar"/>
    <w:unhideWhenUsed/>
    <w:rsid w:val="001E0294"/>
    <w:pPr>
      <w:tabs>
        <w:tab w:pos="4680" w:val="center"/>
        <w:tab w:pos="9360" w:val="right"/>
      </w:tabs>
      <w:spacing w:before="0" w:line="240" w:lineRule="auto"/>
    </w:pPr>
  </w:style>
  <w:style w:customStyle="1" w:styleId="HeaderChar" w:type="character">
    <w:name w:val="Header Char"/>
    <w:basedOn w:val="DefaultParagraphFont"/>
    <w:link w:val="Header"/>
    <w:rsid w:val="001E0294"/>
    <w:rPr>
      <w:rFonts w:ascii="Times New Roman" w:hAnsi="Times New Roman"/>
      <w:bCs/>
      <w:szCs w:val="22"/>
    </w:rPr>
  </w:style>
  <w:style w:styleId="Footer" w:type="paragraph">
    <w:name w:val="footer"/>
    <w:basedOn w:val="Normal"/>
    <w:link w:val="FooterChar"/>
    <w:uiPriority w:val="99"/>
    <w:unhideWhenUsed/>
    <w:rsid w:val="001E0294"/>
    <w:pPr>
      <w:tabs>
        <w:tab w:pos="4680" w:val="center"/>
        <w:tab w:pos="9360" w:val="right"/>
      </w:tabs>
      <w:spacing w:before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1E0294"/>
    <w:rPr>
      <w:rFonts w:ascii="Times New Roman" w:hAnsi="Times New Roman"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0" Target="mailto:pete.hulson@noaa.g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pete.hulson@noa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Bottom trawl survey age and length composition input sample sizes for stocks assessed with statistical catch-at-age assessment models at the Alaska Fisheries Science Center</vt:lpstr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alternative bootstrap estimators for input-sample-size in a multi-level sampling design for age and length composition data</dc:title>
  <dc:creator>Benjamin C. Williams1, James T. Thorson2, Matthew R. Siskey3, and Peter-John F. Hulson1,*</dc:creator>
  <cp:keywords/>
  <dcterms:created xsi:type="dcterms:W3CDTF">2023-04-14T18:28:27Z</dcterms:created>
  <dcterms:modified xsi:type="dcterms:W3CDTF">2023-04-14T18:28:27Z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canjfas.csl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output">
    <vt:lpwstr/>
  </property>
</Properties>
</file>