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1117E" w14:textId="1DD96966" w:rsidR="00AF68A4" w:rsidRPr="005362B1" w:rsidRDefault="00AF68A4" w:rsidP="00AF68A4">
      <w:r>
        <w:rPr>
          <w:noProof/>
        </w:rPr>
        <w:drawing>
          <wp:inline distT="0" distB="0" distL="0" distR="0" wp14:anchorId="6D650CA6" wp14:editId="1E5411E7">
            <wp:extent cx="5943600"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1258B42A" w14:textId="77777777" w:rsidR="00AF68A4" w:rsidRPr="005362B1" w:rsidRDefault="00AF68A4" w:rsidP="00AF68A4"/>
    <w:p w14:paraId="70047B3C" w14:textId="1E4E0986" w:rsidR="00AF68A4" w:rsidRPr="005362B1" w:rsidRDefault="00AF68A4" w:rsidP="00AF68A4">
      <w:pPr>
        <w:pStyle w:val="Heading5"/>
      </w:pPr>
      <w:r w:rsidRPr="005362B1">
        <w:t>Figure 2.</w:t>
      </w:r>
      <w:r>
        <w:t>S1</w:t>
      </w:r>
      <w:r w:rsidRPr="005362B1">
        <w:t>. Comparison of key parameter estimates with 95% confidence intervals</w:t>
      </w:r>
      <w:r>
        <w:t xml:space="preserve"> from Model 24.0 as applied in 2024 and updated in 2025</w:t>
      </w:r>
      <w:r w:rsidRPr="005362B1">
        <w:t>.</w:t>
      </w:r>
    </w:p>
    <w:p w14:paraId="1646D64A" w14:textId="606DE0B5" w:rsidR="00B528BE" w:rsidRDefault="00B528BE"/>
    <w:p w14:paraId="5E4396DE" w14:textId="63CFD318" w:rsidR="00AF68A4" w:rsidRPr="005362B1" w:rsidRDefault="00AF68A4" w:rsidP="00AF68A4">
      <w:r>
        <w:rPr>
          <w:noProof/>
        </w:rPr>
        <w:lastRenderedPageBreak/>
        <w:drawing>
          <wp:inline distT="0" distB="0" distL="0" distR="0" wp14:anchorId="6C35F97D" wp14:editId="4BB6E0BF">
            <wp:extent cx="5943600"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61FFBDC1" w14:textId="0A8C4E91" w:rsidR="00AF68A4" w:rsidRPr="005362B1" w:rsidRDefault="00AF68A4" w:rsidP="00AF68A4">
      <w:pPr>
        <w:pStyle w:val="Heading5"/>
      </w:pPr>
      <w:r w:rsidRPr="005362B1">
        <w:t>Figure 2.</w:t>
      </w:r>
      <w:r>
        <w:t>S2</w:t>
      </w:r>
      <w:r w:rsidRPr="005362B1">
        <w:t xml:space="preserve">. Comparison of current year selectivity </w:t>
      </w:r>
      <w:r>
        <w:t>from Model 24.0 as applied in 2024 and updated in 2025</w:t>
      </w:r>
      <w:r>
        <w:t>.</w:t>
      </w:r>
    </w:p>
    <w:p w14:paraId="725266ED" w14:textId="7444AFBE" w:rsidR="00AF68A4" w:rsidRDefault="00AF68A4"/>
    <w:p w14:paraId="2FE9AE14" w14:textId="7460F14F" w:rsidR="00AF68A4" w:rsidRPr="005362B1" w:rsidRDefault="00AF68A4" w:rsidP="00AF68A4">
      <w:r>
        <w:rPr>
          <w:noProof/>
        </w:rPr>
        <w:lastRenderedPageBreak/>
        <w:drawing>
          <wp:inline distT="0" distB="0" distL="0" distR="0" wp14:anchorId="529ABA2B" wp14:editId="1CD35ECE">
            <wp:extent cx="5943600" cy="5943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32C80930" w14:textId="7F34473B" w:rsidR="00AF68A4" w:rsidRPr="005362B1" w:rsidRDefault="00AF68A4" w:rsidP="00AF68A4">
      <w:pPr>
        <w:pStyle w:val="Heading5"/>
      </w:pPr>
      <w:r w:rsidRPr="005362B1">
        <w:t>Figure 2.</w:t>
      </w:r>
      <w:r>
        <w:rPr>
          <w:noProof/>
        </w:rPr>
        <w:t>S3</w:t>
      </w:r>
      <w:r w:rsidRPr="005362B1">
        <w:rPr>
          <w:noProof/>
        </w:rPr>
        <w:t>.</w:t>
      </w:r>
      <w:r w:rsidRPr="005362B1">
        <w:t xml:space="preserve"> Leave-one-out analysis showing parameters and derived quantities as one year of data were removed from the model fit of </w:t>
      </w:r>
      <w:r>
        <w:t>Model 24.0</w:t>
      </w:r>
      <w:r w:rsidRPr="005362B1">
        <w:t>. The horizontal dashed line denotes the estimate</w:t>
      </w:r>
      <w:r>
        <w:t xml:space="preserve"> from Model 24.0 with updated data through 2025</w:t>
      </w:r>
      <w:r w:rsidRPr="005362B1">
        <w:t>.</w:t>
      </w:r>
    </w:p>
    <w:p w14:paraId="3F153AB3" w14:textId="77777777" w:rsidR="00AF68A4" w:rsidRPr="005362B1" w:rsidRDefault="00AF68A4" w:rsidP="00AF68A4"/>
    <w:p w14:paraId="2C79AAB6" w14:textId="0989EA46" w:rsidR="00AF68A4" w:rsidRPr="005362B1" w:rsidRDefault="00AF68A4" w:rsidP="00AF68A4">
      <w:r>
        <w:rPr>
          <w:noProof/>
        </w:rPr>
        <w:lastRenderedPageBreak/>
        <w:drawing>
          <wp:inline distT="0" distB="0" distL="0" distR="0" wp14:anchorId="631B799E" wp14:editId="3505C28C">
            <wp:extent cx="5943600" cy="5943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296DF1C" w14:textId="2271BFA3" w:rsidR="00AF68A4" w:rsidRPr="005362B1" w:rsidRDefault="00AF68A4" w:rsidP="00AF68A4">
      <w:pPr>
        <w:pStyle w:val="Heading5"/>
      </w:pPr>
      <w:r w:rsidRPr="005362B1">
        <w:t>Figure 2.</w:t>
      </w:r>
      <w:r>
        <w:rPr>
          <w:noProof/>
        </w:rPr>
        <w:t>S4</w:t>
      </w:r>
      <w:r w:rsidRPr="005362B1">
        <w:rPr>
          <w:noProof/>
        </w:rPr>
        <w:t>.</w:t>
      </w:r>
      <w:r w:rsidRPr="005362B1">
        <w:t xml:space="preserve"> Add-one-in analysis showing parameters and derived quantities as each data source were added to </w:t>
      </w:r>
      <w:r>
        <w:t>Model 24.0</w:t>
      </w:r>
      <w:r w:rsidRPr="005362B1">
        <w:t>. CAAL denotes conditional age-at-length data, LC denotes length comp</w:t>
      </w:r>
      <w:r>
        <w:t>osition</w:t>
      </w:r>
      <w:r w:rsidRPr="005362B1">
        <w:t xml:space="preserve"> data, and </w:t>
      </w:r>
      <w:proofErr w:type="spellStart"/>
      <w:r w:rsidRPr="005362B1">
        <w:t>Indx</w:t>
      </w:r>
      <w:proofErr w:type="spellEnd"/>
      <w:r w:rsidRPr="005362B1">
        <w:t xml:space="preserve"> denotes index data from the bottom trawl survey (</w:t>
      </w:r>
      <w:proofErr w:type="spellStart"/>
      <w:r w:rsidRPr="005362B1">
        <w:t>BTsurv</w:t>
      </w:r>
      <w:proofErr w:type="spellEnd"/>
      <w:r w:rsidRPr="005362B1">
        <w:t>), longline survey (</w:t>
      </w:r>
      <w:proofErr w:type="spellStart"/>
      <w:r w:rsidRPr="005362B1">
        <w:t>LLsurv</w:t>
      </w:r>
      <w:proofErr w:type="spellEnd"/>
      <w:r w:rsidRPr="005362B1">
        <w:t xml:space="preserve">) and fisheries (denoted with gear type). The horizontal dashed line denotes the </w:t>
      </w:r>
      <w:r>
        <w:t xml:space="preserve">Model 24.0 </w:t>
      </w:r>
      <w:r w:rsidRPr="005362B1">
        <w:t>estimate with only catch data updated.</w:t>
      </w:r>
    </w:p>
    <w:p w14:paraId="0A170363" w14:textId="1C837448" w:rsidR="00AF68A4" w:rsidRDefault="00AF68A4"/>
    <w:p w14:paraId="6B0A160A" w14:textId="14F5D2B8" w:rsidR="00AF68A4" w:rsidRPr="005362B1" w:rsidRDefault="00AF68A4" w:rsidP="00AF68A4">
      <w:r>
        <w:rPr>
          <w:noProof/>
        </w:rPr>
        <w:lastRenderedPageBreak/>
        <w:drawing>
          <wp:inline distT="0" distB="0" distL="0" distR="0" wp14:anchorId="63B77656" wp14:editId="5480DF09">
            <wp:extent cx="59436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7CFC67A7" w14:textId="77777777" w:rsidR="00AF68A4" w:rsidRPr="005362B1" w:rsidRDefault="00AF68A4" w:rsidP="00AF68A4"/>
    <w:p w14:paraId="7A2172C4" w14:textId="2022A91D" w:rsidR="00AF68A4" w:rsidRPr="005362B1" w:rsidRDefault="00AF68A4" w:rsidP="00AF68A4">
      <w:pPr>
        <w:pStyle w:val="Heading5"/>
      </w:pPr>
      <w:r w:rsidRPr="005362B1">
        <w:t>Figure 2.</w:t>
      </w:r>
      <w:r>
        <w:rPr>
          <w:noProof/>
        </w:rPr>
        <w:t>S5</w:t>
      </w:r>
      <w:r w:rsidRPr="005362B1">
        <w:rPr>
          <w:noProof/>
        </w:rPr>
        <w:t>.</w:t>
      </w:r>
      <w:r w:rsidRPr="005362B1">
        <w:t xml:space="preserve"> AFSC longline survey catchability environmental link analysis where ‘No covariate’ is</w:t>
      </w:r>
      <w:r>
        <w:t xml:space="preserve"> Model 24.0 </w:t>
      </w:r>
      <w:r w:rsidRPr="005362B1">
        <w:t xml:space="preserve">with the environmental link parameter turned off, ‘Random’ is when white-noise was generated and used in place of the CFSR index (two random draws are shown in grey as an example, and the range of model fits with random white noise is shown in the grey shaded region), and ‘Recommended’ is </w:t>
      </w:r>
      <w:r>
        <w:t>Model 24.0 with updated data through 2025</w:t>
      </w:r>
      <w:r w:rsidRPr="005362B1">
        <w:t xml:space="preserve"> using the CFSR index as a link to survey catchability.</w:t>
      </w:r>
      <w:r>
        <w:t xml:space="preserve"> Based on the Akaike Information Criterion model comparison, Model 24.0 with the </w:t>
      </w:r>
      <w:r w:rsidR="004F7E0B">
        <w:t>environmental</w:t>
      </w:r>
      <w:r>
        <w:t xml:space="preserve"> link applied to </w:t>
      </w:r>
      <w:r w:rsidR="004F7E0B">
        <w:t>the AFSC longline survey catchability remains the preferred model.</w:t>
      </w:r>
    </w:p>
    <w:p w14:paraId="703CC834" w14:textId="77777777" w:rsidR="00AF68A4" w:rsidRPr="005362B1" w:rsidRDefault="00AF68A4" w:rsidP="00AF68A4"/>
    <w:p w14:paraId="66D96E98" w14:textId="522D7C51" w:rsidR="00AF68A4" w:rsidRPr="005362B1" w:rsidRDefault="004F7E0B" w:rsidP="00AF68A4">
      <w:r>
        <w:rPr>
          <w:noProof/>
        </w:rPr>
        <w:lastRenderedPageBreak/>
        <w:drawing>
          <wp:inline distT="0" distB="0" distL="0" distR="0" wp14:anchorId="7D1F0A55" wp14:editId="3ED9D53F">
            <wp:extent cx="5943600" cy="640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3E74B93A" w14:textId="78BC29B9" w:rsidR="00AF68A4" w:rsidRPr="005362B1" w:rsidRDefault="00AF68A4" w:rsidP="00AF68A4">
      <w:pPr>
        <w:pStyle w:val="Heading5"/>
      </w:pPr>
      <w:r w:rsidRPr="005362B1">
        <w:t>Figure 2.</w:t>
      </w:r>
      <w:r w:rsidR="004F7E0B">
        <w:rPr>
          <w:noProof/>
        </w:rPr>
        <w:t>S6</w:t>
      </w:r>
      <w:r w:rsidRPr="005362B1">
        <w:rPr>
          <w:noProof/>
        </w:rPr>
        <w:t>.</w:t>
      </w:r>
      <w:r w:rsidRPr="005362B1">
        <w:t xml:space="preserve"> Negative log-likelihood profiles for key parameters estimates in </w:t>
      </w:r>
      <w:r w:rsidR="004F7E0B">
        <w:t>Model 24.0 updated with 2025 data</w:t>
      </w:r>
      <w:r w:rsidRPr="005362B1">
        <w:t>.</w:t>
      </w:r>
    </w:p>
    <w:p w14:paraId="7A10A154" w14:textId="6F085F24" w:rsidR="00AF68A4" w:rsidRDefault="00AF68A4"/>
    <w:p w14:paraId="65AB443C" w14:textId="2A598703" w:rsidR="00AF68A4" w:rsidRPr="005362B1" w:rsidRDefault="004F7E0B" w:rsidP="00AF68A4">
      <w:r>
        <w:rPr>
          <w:noProof/>
        </w:rPr>
        <w:lastRenderedPageBreak/>
        <w:drawing>
          <wp:inline distT="0" distB="0" distL="0" distR="0" wp14:anchorId="278098EB" wp14:editId="1837A8F5">
            <wp:extent cx="5715000" cy="4762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14:paraId="76658C9B" w14:textId="363DD263" w:rsidR="00AF68A4" w:rsidRPr="005362B1" w:rsidRDefault="00AF68A4" w:rsidP="00AF68A4">
      <w:pPr>
        <w:pStyle w:val="Heading5"/>
      </w:pPr>
      <w:r w:rsidRPr="0033602B">
        <w:t>Figure 2.</w:t>
      </w:r>
      <w:r w:rsidR="004F7E0B">
        <w:rPr>
          <w:noProof/>
        </w:rPr>
        <w:t>S7</w:t>
      </w:r>
      <w:r w:rsidRPr="0033602B">
        <w:rPr>
          <w:noProof/>
        </w:rPr>
        <w:t>.</w:t>
      </w:r>
      <w:r w:rsidRPr="005362B1">
        <w:t xml:space="preserve"> MCMC pairs plot of key model parameters</w:t>
      </w:r>
      <w:r w:rsidR="004F7E0B">
        <w:t xml:space="preserve"> from Model 24.0 updated with 2025 data</w:t>
      </w:r>
      <w:r w:rsidRPr="005362B1">
        <w:t>, with diagnostics shown in the diagonal and parameter correlations shown in the top right.</w:t>
      </w:r>
    </w:p>
    <w:p w14:paraId="30D01C35" w14:textId="77777777" w:rsidR="00AF68A4" w:rsidRPr="005362B1" w:rsidRDefault="00AF68A4" w:rsidP="00AF68A4"/>
    <w:p w14:paraId="3AD6E782" w14:textId="01FE0CB0" w:rsidR="00AF68A4" w:rsidRPr="005362B1" w:rsidRDefault="004F7E0B" w:rsidP="00AF68A4">
      <w:r>
        <w:rPr>
          <w:noProof/>
        </w:rPr>
        <w:lastRenderedPageBreak/>
        <w:drawing>
          <wp:inline distT="0" distB="0" distL="0" distR="0" wp14:anchorId="3A57BA3A" wp14:editId="03D2D6C2">
            <wp:extent cx="5943600" cy="640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400800"/>
                    </a:xfrm>
                    <a:prstGeom prst="rect">
                      <a:avLst/>
                    </a:prstGeom>
                    <a:noFill/>
                    <a:ln>
                      <a:noFill/>
                    </a:ln>
                  </pic:spPr>
                </pic:pic>
              </a:graphicData>
            </a:graphic>
          </wp:inline>
        </w:drawing>
      </w:r>
    </w:p>
    <w:p w14:paraId="2F36D58D" w14:textId="639FC959" w:rsidR="00AF68A4" w:rsidRDefault="00AF68A4" w:rsidP="00AF68A4">
      <w:r w:rsidRPr="005362B1">
        <w:t>Figure 2.</w:t>
      </w:r>
      <w:r w:rsidR="004F7E0B">
        <w:rPr>
          <w:noProof/>
        </w:rPr>
        <w:t>S8</w:t>
      </w:r>
      <w:r w:rsidRPr="005362B1">
        <w:rPr>
          <w:noProof/>
        </w:rPr>
        <w:t xml:space="preserve">. </w:t>
      </w:r>
      <w:r w:rsidRPr="005362B1">
        <w:t xml:space="preserve">Histograms of MCMC draws for key parameters from </w:t>
      </w:r>
      <w:r w:rsidR="004F7E0B">
        <w:t>Model 24.0 updated with 2025 data</w:t>
      </w:r>
      <w:r w:rsidRPr="005362B1">
        <w:t xml:space="preserve"> compared to MLE estimate (vertical line).</w:t>
      </w:r>
    </w:p>
    <w:sectPr w:rsidR="00AF6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8A4"/>
    <w:rsid w:val="004F7E0B"/>
    <w:rsid w:val="00AF68A4"/>
    <w:rsid w:val="00B528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FB782"/>
  <w15:chartTrackingRefBased/>
  <w15:docId w15:val="{472EC8B9-2D65-4768-A906-E176DD534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F68A4"/>
    <w:pPr>
      <w:spacing w:line="240" w:lineRule="auto"/>
    </w:pPr>
    <w:rPr>
      <w:rFonts w:ascii="Times New Roman" w:eastAsia="Times New Roman" w:hAnsi="Times New Roman" w:cs="Times New Roman"/>
    </w:rPr>
  </w:style>
  <w:style w:type="paragraph" w:styleId="Heading5">
    <w:name w:val="heading 5"/>
    <w:basedOn w:val="Normal"/>
    <w:next w:val="Normal"/>
    <w:link w:val="Heading5Char"/>
    <w:qFormat/>
    <w:rsid w:val="00AF68A4"/>
    <w:pPr>
      <w:keepNext/>
      <w:keepLines/>
      <w:tabs>
        <w:tab w:val="left" w:pos="1260"/>
      </w:tabs>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AF68A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Pete.Hulson</dc:creator>
  <cp:keywords/>
  <dc:description/>
  <cp:lastModifiedBy>Pete.Hulson</cp:lastModifiedBy>
  <cp:revision>1</cp:revision>
  <dcterms:created xsi:type="dcterms:W3CDTF">2026-01-16T17:48:00Z</dcterms:created>
  <dcterms:modified xsi:type="dcterms:W3CDTF">2026-01-16T18:08:00Z</dcterms:modified>
</cp:coreProperties>
</file>