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23D93" w14:textId="77777777" w:rsidR="00944D99" w:rsidRDefault="004130FA">
      <w:pPr>
        <w:pStyle w:val="Title"/>
      </w:pPr>
      <w:bookmarkStart w:id="0" w:name="_c3mvlhfynypy" w:colFirst="0" w:colLast="0"/>
      <w:bookmarkEnd w:id="0"/>
      <w:r>
        <w:t>Risk Table Summary for Gulf of Alaska Pacific Cod</w:t>
      </w:r>
    </w:p>
    <w:p w14:paraId="12B10E97" w14:textId="77777777" w:rsidR="00944D99" w:rsidRDefault="00944D99"/>
    <w:p w14:paraId="2D8976B2" w14:textId="77777777" w:rsidR="00944D99" w:rsidRDefault="004130FA">
      <w:r>
        <w:t>The following is a synthesis and interpretation of the most recent ecosystem and socioeconomic information available for Gulf of Alaska (GOA) Pacific cod from the ecosystem and socioeconomic profile (ESP, Shotwell et al., 2026) and the Gulf of Alaska Ecosy</w:t>
      </w:r>
      <w:r>
        <w:t>stem Status Report (Ferriss, 2026). This information supports the risk table scores and is organized below by the proposed risk table categories. We include information related to recruitment (egg, larvae, young-of-the-year or YOY, and early juvenile) in t</w:t>
      </w:r>
      <w:r>
        <w:t xml:space="preserve">he population dynamics considerations section and information on current conditions impacting </w:t>
      </w:r>
      <w:proofErr w:type="gramStart"/>
      <w:r>
        <w:t>late stage</w:t>
      </w:r>
      <w:proofErr w:type="gramEnd"/>
      <w:r>
        <w:t xml:space="preserve"> juveniles or adults in the ecosystem considerations section. Where applicable, we also include information on fishery performance indicators that are p</w:t>
      </w:r>
      <w:r>
        <w:t xml:space="preserve">rovided in the ESP. </w:t>
      </w:r>
    </w:p>
    <w:p w14:paraId="0D9B5B37" w14:textId="77777777" w:rsidR="00944D99" w:rsidRDefault="00944D99"/>
    <w:p w14:paraId="1C070A93" w14:textId="77777777" w:rsidR="00944D99" w:rsidRDefault="004130FA">
      <w:r>
        <w:t>We identified two predictive ecosystem indicators, habitat suitability and eddy kinetic energy, that quantitatively predict GOA Pacific cod recruitment using a Bayesian Adaptive Sampling approach for indicator selection and importance</w:t>
      </w:r>
      <w:r>
        <w:t xml:space="preserve"> (see Shotwell et al., 2026 for more details). These indicators are emphasized in </w:t>
      </w:r>
      <w:r>
        <w:rPr>
          <w:b/>
          <w:bCs/>
        </w:rPr>
        <w:t>BOLD</w:t>
      </w:r>
      <w:r>
        <w:t xml:space="preserve"> below. </w:t>
      </w:r>
    </w:p>
    <w:p w14:paraId="552D68B7" w14:textId="77777777" w:rsidR="00944D99" w:rsidRDefault="004130FA">
      <w:pPr>
        <w:pStyle w:val="Heading2"/>
        <w:rPr>
          <w:sz w:val="22"/>
          <w:szCs w:val="22"/>
        </w:rPr>
      </w:pPr>
      <w:bookmarkStart w:id="1" w:name="_y002dv44zsat" w:colFirst="0" w:colLast="0"/>
      <w:bookmarkEnd w:id="1"/>
      <w:r>
        <w:rPr>
          <w:sz w:val="22"/>
          <w:szCs w:val="22"/>
        </w:rPr>
        <w:t xml:space="preserve">Category Summary: </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336"/>
        <w:gridCol w:w="2345"/>
        <w:gridCol w:w="2334"/>
      </w:tblGrid>
      <w:tr w:rsidR="00944D99" w14:paraId="79A13843" w14:textId="77777777">
        <w:trPr>
          <w:trHeight w:val="708"/>
        </w:trPr>
        <w:tc>
          <w:tcPr>
            <w:tcW w:w="2335" w:type="dxa"/>
            <w:tcBorders>
              <w:top w:val="single" w:sz="18" w:space="0" w:color="000000"/>
              <w:bottom w:val="single" w:sz="18" w:space="0" w:color="000000"/>
            </w:tcBorders>
            <w:vAlign w:val="center"/>
          </w:tcPr>
          <w:p w14:paraId="4A1720FA" w14:textId="77777777" w:rsidR="00944D99" w:rsidRDefault="004130FA">
            <w:pPr>
              <w:spacing w:line="240" w:lineRule="auto"/>
            </w:pPr>
            <w:r>
              <w:t>Assessment-related Considerations</w:t>
            </w:r>
          </w:p>
        </w:tc>
        <w:tc>
          <w:tcPr>
            <w:tcW w:w="2336" w:type="dxa"/>
            <w:tcBorders>
              <w:top w:val="single" w:sz="18" w:space="0" w:color="000000"/>
              <w:bottom w:val="single" w:sz="18" w:space="0" w:color="000000"/>
            </w:tcBorders>
            <w:vAlign w:val="center"/>
          </w:tcPr>
          <w:p w14:paraId="7458F142" w14:textId="77777777" w:rsidR="00944D99" w:rsidRDefault="004130FA">
            <w:pPr>
              <w:spacing w:line="240" w:lineRule="auto"/>
            </w:pPr>
            <w:r>
              <w:t>Population Dynamics Considerations</w:t>
            </w:r>
          </w:p>
        </w:tc>
        <w:tc>
          <w:tcPr>
            <w:tcW w:w="2345" w:type="dxa"/>
            <w:tcBorders>
              <w:top w:val="single" w:sz="18" w:space="0" w:color="000000"/>
              <w:bottom w:val="single" w:sz="18" w:space="0" w:color="000000"/>
            </w:tcBorders>
            <w:vAlign w:val="center"/>
          </w:tcPr>
          <w:p w14:paraId="132C5409" w14:textId="77777777" w:rsidR="00944D99" w:rsidRDefault="004130FA">
            <w:pPr>
              <w:spacing w:line="240" w:lineRule="auto"/>
            </w:pPr>
            <w:r>
              <w:t>Ecosystem Considerations</w:t>
            </w:r>
          </w:p>
        </w:tc>
        <w:tc>
          <w:tcPr>
            <w:tcW w:w="2334" w:type="dxa"/>
            <w:tcBorders>
              <w:top w:val="single" w:sz="18" w:space="0" w:color="000000"/>
              <w:bottom w:val="single" w:sz="18" w:space="0" w:color="000000"/>
            </w:tcBorders>
            <w:vAlign w:val="center"/>
          </w:tcPr>
          <w:p w14:paraId="26A095D8" w14:textId="77777777" w:rsidR="00944D99" w:rsidRDefault="004130FA">
            <w:pPr>
              <w:spacing w:line="240" w:lineRule="auto"/>
            </w:pPr>
            <w:r>
              <w:t>Fishery-informed Stock Considerations</w:t>
            </w:r>
          </w:p>
        </w:tc>
      </w:tr>
      <w:tr w:rsidR="00944D99" w14:paraId="0326B59C" w14:textId="77777777">
        <w:trPr>
          <w:trHeight w:val="596"/>
        </w:trPr>
        <w:tc>
          <w:tcPr>
            <w:tcW w:w="2335" w:type="dxa"/>
            <w:tcBorders>
              <w:top w:val="single" w:sz="18" w:space="0" w:color="000000"/>
            </w:tcBorders>
            <w:vAlign w:val="center"/>
          </w:tcPr>
          <w:p w14:paraId="38F85668" w14:textId="77777777" w:rsidR="00944D99" w:rsidRDefault="004130FA">
            <w:pPr>
              <w:spacing w:line="240" w:lineRule="auto"/>
            </w:pPr>
            <w:r>
              <w:rPr>
                <w:b/>
                <w:bCs/>
              </w:rPr>
              <w:t>Level #:</w:t>
            </w:r>
            <w:r>
              <w:t xml:space="preserve"> </w:t>
            </w:r>
            <w:r>
              <w:t>TBD</w:t>
            </w:r>
          </w:p>
        </w:tc>
        <w:tc>
          <w:tcPr>
            <w:tcW w:w="2336" w:type="dxa"/>
            <w:tcBorders>
              <w:top w:val="single" w:sz="18" w:space="0" w:color="000000"/>
            </w:tcBorders>
            <w:vAlign w:val="center"/>
          </w:tcPr>
          <w:p w14:paraId="2A179532" w14:textId="77777777" w:rsidR="00944D99" w:rsidRDefault="004130FA">
            <w:pPr>
              <w:spacing w:line="240" w:lineRule="auto"/>
            </w:pPr>
            <w:r>
              <w:rPr>
                <w:b/>
                <w:bCs/>
              </w:rPr>
              <w:t>Level 2:</w:t>
            </w:r>
            <w:r>
              <w:t xml:space="preserve"> Increased Concern</w:t>
            </w:r>
          </w:p>
        </w:tc>
        <w:tc>
          <w:tcPr>
            <w:tcW w:w="2345" w:type="dxa"/>
            <w:tcBorders>
              <w:top w:val="single" w:sz="18" w:space="0" w:color="000000"/>
            </w:tcBorders>
            <w:vAlign w:val="center"/>
          </w:tcPr>
          <w:p w14:paraId="65C36898" w14:textId="77777777" w:rsidR="00944D99" w:rsidRDefault="004130FA">
            <w:pPr>
              <w:spacing w:line="240" w:lineRule="auto"/>
            </w:pPr>
            <w:r>
              <w:rPr>
                <w:b/>
                <w:bCs/>
              </w:rPr>
              <w:t>Level 2:</w:t>
            </w:r>
            <w:r>
              <w:t xml:space="preserve"> Increased Concern</w:t>
            </w:r>
          </w:p>
        </w:tc>
        <w:tc>
          <w:tcPr>
            <w:tcW w:w="2334" w:type="dxa"/>
            <w:tcBorders>
              <w:top w:val="single" w:sz="18" w:space="0" w:color="000000"/>
            </w:tcBorders>
            <w:vAlign w:val="center"/>
          </w:tcPr>
          <w:p w14:paraId="1490695C" w14:textId="77777777" w:rsidR="00944D99" w:rsidRDefault="004130FA">
            <w:pPr>
              <w:spacing w:line="240" w:lineRule="auto"/>
            </w:pPr>
            <w:r>
              <w:rPr>
                <w:b/>
                <w:bCs/>
              </w:rPr>
              <w:t>Level #:</w:t>
            </w:r>
            <w:r>
              <w:t xml:space="preserve"> TBD</w:t>
            </w:r>
          </w:p>
        </w:tc>
      </w:tr>
      <w:tr w:rsidR="00944D99" w14:paraId="2CC39EC8" w14:textId="77777777">
        <w:trPr>
          <w:trHeight w:val="596"/>
        </w:trPr>
        <w:tc>
          <w:tcPr>
            <w:tcW w:w="2335" w:type="dxa"/>
            <w:tcBorders>
              <w:bottom w:val="single" w:sz="18" w:space="0" w:color="000000"/>
            </w:tcBorders>
          </w:tcPr>
          <w:p w14:paraId="7F11C436" w14:textId="77777777" w:rsidR="00944D99" w:rsidRDefault="00944D99"/>
        </w:tc>
        <w:tc>
          <w:tcPr>
            <w:tcW w:w="2336" w:type="dxa"/>
            <w:tcBorders>
              <w:bottom w:val="single" w:sz="18" w:space="0" w:color="000000"/>
            </w:tcBorders>
          </w:tcPr>
          <w:p w14:paraId="67A141B4" w14:textId="77777777" w:rsidR="00944D99" w:rsidRDefault="004130FA">
            <w:commentRangeStart w:id="2"/>
            <w:r>
              <w:t>C</w:t>
            </w:r>
            <w:commentRangeEnd w:id="2"/>
            <w:r>
              <w:commentReference w:id="2"/>
            </w:r>
            <w:r>
              <w:t>ontinued multi-year trend of below average surveyed abundance of Pacific cod larvae in 2025 with predictions of low GOA P. cod recruitment.</w:t>
            </w:r>
          </w:p>
        </w:tc>
        <w:tc>
          <w:tcPr>
            <w:tcW w:w="2345" w:type="dxa"/>
            <w:tcBorders>
              <w:bottom w:val="single" w:sz="18" w:space="0" w:color="000000"/>
            </w:tcBorders>
          </w:tcPr>
          <w:p w14:paraId="30629180" w14:textId="77777777" w:rsidR="00944D99" w:rsidRDefault="004130FA">
            <w:r>
              <w:t>Prolonged warm ocean temperatures throughout the water column, and concerns of prey base availability, may adversely</w:t>
            </w:r>
            <w:r>
              <w:t xml:space="preserve"> impact juvenile and adult Pacific cod biological status in 2026. </w:t>
            </w:r>
          </w:p>
          <w:p w14:paraId="50749FAF" w14:textId="77777777" w:rsidR="00944D99" w:rsidRDefault="00944D99">
            <w:pPr>
              <w:widowControl w:val="0"/>
              <w:spacing w:line="240" w:lineRule="auto"/>
            </w:pPr>
          </w:p>
        </w:tc>
        <w:tc>
          <w:tcPr>
            <w:tcW w:w="2334" w:type="dxa"/>
            <w:tcBorders>
              <w:bottom w:val="single" w:sz="18" w:space="0" w:color="000000"/>
            </w:tcBorders>
          </w:tcPr>
          <w:p w14:paraId="251EE1A8" w14:textId="77777777" w:rsidR="00944D99" w:rsidRDefault="004130FA">
            <w:pPr>
              <w:spacing w:line="240" w:lineRule="auto"/>
            </w:pPr>
            <w:r>
              <w:t>Fishery performance indicators are reported in the SAFE</w:t>
            </w:r>
          </w:p>
        </w:tc>
      </w:tr>
    </w:tbl>
    <w:p w14:paraId="67AF33B3" w14:textId="77777777" w:rsidR="00944D99" w:rsidRDefault="004130FA">
      <w:pPr>
        <w:pStyle w:val="Heading2"/>
        <w:rPr>
          <w:color w:val="1155CC"/>
          <w:sz w:val="22"/>
          <w:szCs w:val="22"/>
        </w:rPr>
      </w:pPr>
      <w:bookmarkStart w:id="3" w:name="_qdcnxrplkfpz" w:colFirst="0" w:colLast="0"/>
      <w:bookmarkEnd w:id="3"/>
      <w:r>
        <w:rPr>
          <w:b/>
          <w:bCs/>
          <w:i w:val="0"/>
          <w:iCs w:val="0"/>
          <w:sz w:val="22"/>
          <w:szCs w:val="22"/>
        </w:rPr>
        <w:t>Population Dynamics Considerations:</w:t>
      </w:r>
    </w:p>
    <w:p w14:paraId="475F3A16" w14:textId="77777777" w:rsidR="00944D99" w:rsidRDefault="004130FA">
      <w:pPr>
        <w:spacing w:after="200"/>
        <w:rPr>
          <w:i/>
          <w:iCs/>
        </w:rPr>
      </w:pPr>
      <w:r>
        <w:rPr>
          <w:i/>
          <w:iCs/>
        </w:rPr>
        <w:t>Risk Level 2: Increased Concern</w:t>
      </w:r>
    </w:p>
    <w:p w14:paraId="2B443296" w14:textId="77777777" w:rsidR="00944D99" w:rsidRDefault="004130FA">
      <w:pPr>
        <w:numPr>
          <w:ilvl w:val="0"/>
          <w:numId w:val="1"/>
        </w:numPr>
      </w:pPr>
      <w:r>
        <w:t xml:space="preserve">Below average abundance of Pacific cod larvae has persisted since 2015 and remains low in 2025, and nearshore abundance of young-of-the-year (YOY) Pacific cod remains below average similar to 2021, 2023 and 2024 but not as low as during the large heatwave </w:t>
      </w:r>
      <w:r>
        <w:t xml:space="preserve">events or 2015, 2016, and 2019. </w:t>
      </w:r>
    </w:p>
    <w:p w14:paraId="7255811A" w14:textId="77777777" w:rsidR="00944D99" w:rsidRDefault="004130FA">
      <w:pPr>
        <w:numPr>
          <w:ilvl w:val="0"/>
          <w:numId w:val="1"/>
        </w:numPr>
        <w:rPr>
          <w:rFonts w:ascii="Times New Roman" w:eastAsia="Times New Roman" w:hAnsi="Times New Roman" w:cs="Times New Roman"/>
        </w:rPr>
      </w:pPr>
      <w:r>
        <w:lastRenderedPageBreak/>
        <w:t xml:space="preserve">Spawning conditions were considered below average to low, based on an uptick of heatwave events during the spawning period in 2025 (Appendix 2.1: S. </w:t>
      </w:r>
      <w:proofErr w:type="spellStart"/>
      <w:r>
        <w:t>Barbeaux</w:t>
      </w:r>
      <w:proofErr w:type="spellEnd"/>
      <w:r>
        <w:t xml:space="preserve">) and low </w:t>
      </w:r>
      <w:r>
        <w:rPr>
          <w:b/>
          <w:bCs/>
        </w:rPr>
        <w:t>habitat suitability index</w:t>
      </w:r>
      <w:r>
        <w:t xml:space="preserve"> (based on temperatures at GAK </w:t>
      </w:r>
      <w:r>
        <w:t xml:space="preserve">1 of the Seward line from January to April, Appendix 2.1: L. Rogers). </w:t>
      </w:r>
    </w:p>
    <w:p w14:paraId="5546AFC4" w14:textId="77777777" w:rsidR="00944D99" w:rsidRDefault="004130FA">
      <w:pPr>
        <w:numPr>
          <w:ilvl w:val="0"/>
          <w:numId w:val="1"/>
        </w:numPr>
      </w:pPr>
      <w:r>
        <w:t xml:space="preserve">Prolonged periods of above average temperatures (including extended periods in marine heatwave status) through the winter, early spring, late summer, and fall, at surface and at depth, </w:t>
      </w:r>
      <w:r>
        <w:t>on the shelf (</w:t>
      </w:r>
      <w:proofErr w:type="spellStart"/>
      <w:r>
        <w:t>Lemagie</w:t>
      </w:r>
      <w:proofErr w:type="spellEnd"/>
      <w:r>
        <w:t xml:space="preserve"> and Bell, 2025, ocean synthesis 2025) approached the upper thermal thresholds for spawning (Feb-Apr: 20m - 290m, 1°C - 7°C), egg (Mar-Apr: 20m - 200m, 3°C - 6°C), larvae (Apr-May: 0m - 45m, 5°C - 6°C), as referenced in Appendix 2.1.</w:t>
      </w:r>
    </w:p>
    <w:p w14:paraId="13D1CCA5" w14:textId="77777777" w:rsidR="00944D99" w:rsidRDefault="004130FA">
      <w:pPr>
        <w:numPr>
          <w:ilvl w:val="0"/>
          <w:numId w:val="1"/>
        </w:numPr>
        <w:rPr>
          <w:rFonts w:ascii="Times New Roman" w:eastAsia="Times New Roman" w:hAnsi="Times New Roman" w:cs="Times New Roman"/>
        </w:rPr>
      </w:pPr>
      <w:r>
        <w:rPr>
          <w:b/>
          <w:bCs/>
        </w:rPr>
        <w:t>M</w:t>
      </w:r>
      <w:r>
        <w:rPr>
          <w:b/>
          <w:bCs/>
        </w:rPr>
        <w:t>esoscale eddy kinetic energy</w:t>
      </w:r>
      <w:r>
        <w:t xml:space="preserve"> in the Kodiak region was low, implying reduced larval retention and cross-shelf transport to suitable nearshore nursery environments (Appendix 2.1: by W. Cheng). </w:t>
      </w:r>
    </w:p>
    <w:p w14:paraId="72A492A1" w14:textId="77777777" w:rsidR="00944D99" w:rsidRDefault="004130FA">
      <w:pPr>
        <w:numPr>
          <w:ilvl w:val="0"/>
          <w:numId w:val="1"/>
        </w:numPr>
        <w:spacing w:line="259" w:lineRule="auto"/>
      </w:pPr>
      <w:r>
        <w:t>Prey availability for larval and YOY cod had mixed trends, inclu</w:t>
      </w:r>
      <w:r>
        <w:t>ding small copepod biomass, decreased large zooplankton biomass, and elevated euphausiid biomass (Kimmel et al and Hopcroft, in Ferriss 2026).</w:t>
      </w:r>
    </w:p>
    <w:p w14:paraId="2E9A2FA3" w14:textId="77777777" w:rsidR="00944D99" w:rsidRDefault="004130FA">
      <w:pPr>
        <w:numPr>
          <w:ilvl w:val="0"/>
          <w:numId w:val="1"/>
        </w:numPr>
        <w:spacing w:line="259" w:lineRule="auto"/>
      </w:pPr>
      <w:r>
        <w:t>Evidence of time-varying predation mortality for age-1 Pacific cod from the CEATTLE multispecies model that has b</w:t>
      </w:r>
      <w:r>
        <w:t xml:space="preserve">een above the time-invariant single species stock assessment value in all years (Appendix 2.1: by G. Adams). </w:t>
      </w:r>
    </w:p>
    <w:p w14:paraId="6C225182" w14:textId="77777777" w:rsidR="00944D99" w:rsidRDefault="004130FA">
      <w:pPr>
        <w:numPr>
          <w:ilvl w:val="0"/>
          <w:numId w:val="1"/>
        </w:numPr>
        <w:spacing w:after="240"/>
      </w:pPr>
      <w:r>
        <w:t>Competition and predation indicators of early juvenile Pacific cod show mixed signals with low abundance of apex fish predators (Whitehouse, in Fe</w:t>
      </w:r>
      <w:r>
        <w:t xml:space="preserve">rriss 2026), slight increase in projected biomass consumed from the CEATTLE multispecies model (Appendix 2.1: Adams), and increasing populations of Pacific Ocean perch, pollock, and pink salmon returns (odd year) in 2025 (Whitehouse and </w:t>
      </w:r>
      <w:proofErr w:type="spellStart"/>
      <w:r>
        <w:t>Vulstek</w:t>
      </w:r>
      <w:proofErr w:type="spellEnd"/>
      <w:r>
        <w:t xml:space="preserve"> et al., in </w:t>
      </w:r>
      <w:r>
        <w:t xml:space="preserve">Ferriss 2026). </w:t>
      </w:r>
    </w:p>
    <w:p w14:paraId="7B9DEB7F" w14:textId="77777777" w:rsidR="00944D99" w:rsidRDefault="00944D99">
      <w:pPr>
        <w:spacing w:after="160" w:line="259" w:lineRule="auto"/>
        <w:ind w:left="720"/>
      </w:pPr>
    </w:p>
    <w:p w14:paraId="74607054" w14:textId="77777777" w:rsidR="00944D99" w:rsidRDefault="004130FA">
      <w:pPr>
        <w:spacing w:after="200"/>
        <w:rPr>
          <w:b/>
          <w:bCs/>
        </w:rPr>
      </w:pPr>
      <w:r>
        <w:rPr>
          <w:b/>
          <w:bCs/>
        </w:rPr>
        <w:t xml:space="preserve">Ecosystem Considerations: </w:t>
      </w:r>
    </w:p>
    <w:p w14:paraId="32C236D6" w14:textId="77777777" w:rsidR="00944D99" w:rsidRDefault="004130FA">
      <w:pPr>
        <w:rPr>
          <w:i/>
          <w:iCs/>
        </w:rPr>
      </w:pPr>
      <w:r>
        <w:rPr>
          <w:i/>
          <w:iCs/>
        </w:rPr>
        <w:t>Risk Level 2: Increased Concern</w:t>
      </w:r>
    </w:p>
    <w:p w14:paraId="5FBE6E02" w14:textId="77777777" w:rsidR="00944D99" w:rsidRDefault="00944D99">
      <w:pPr>
        <w:rPr>
          <w:i/>
          <w:iCs/>
        </w:rPr>
      </w:pPr>
    </w:p>
    <w:p w14:paraId="278F1A65" w14:textId="77777777" w:rsidR="00944D99" w:rsidRDefault="004130FA">
      <w:r>
        <w:rPr>
          <w:u w:val="single"/>
        </w:rPr>
        <w:t>Distribution</w:t>
      </w:r>
      <w:r>
        <w:t xml:space="preserve">:  </w:t>
      </w:r>
    </w:p>
    <w:p w14:paraId="37F45C19" w14:textId="77777777" w:rsidR="00944D99" w:rsidRDefault="004130FA">
      <w:pPr>
        <w:numPr>
          <w:ilvl w:val="0"/>
          <w:numId w:val="2"/>
        </w:numPr>
        <w:pBdr>
          <w:top w:val="nil"/>
          <w:left w:val="nil"/>
          <w:bottom w:val="nil"/>
          <w:right w:val="nil"/>
          <w:between w:val="nil"/>
        </w:pBdr>
      </w:pPr>
      <w:r>
        <w:t>The slight southern and eastern shift in the center of gravity in 2025 is concurrent with an increase in the estimate of total GOA Pacific cod biomass.</w:t>
      </w:r>
    </w:p>
    <w:p w14:paraId="347E08E5" w14:textId="77777777" w:rsidR="00944D99" w:rsidRDefault="004130FA">
      <w:pPr>
        <w:numPr>
          <w:ilvl w:val="0"/>
          <w:numId w:val="2"/>
        </w:numPr>
        <w:pBdr>
          <w:top w:val="nil"/>
          <w:left w:val="nil"/>
          <w:bottom w:val="nil"/>
          <w:right w:val="nil"/>
          <w:between w:val="nil"/>
        </w:pBdr>
      </w:pPr>
      <w:r>
        <w:t>The decrease in the effective area occupied in 2025 implies a slightly contracted spatial distribution c</w:t>
      </w:r>
      <w:r>
        <w:t>overed by Pacific cod in the GOA relative to the 1990-2025 time series. Changes in the distributional characteristics of marine populations may impact the spatial distributions of fishing activities and trophic interactions.</w:t>
      </w:r>
    </w:p>
    <w:p w14:paraId="6227FC8D" w14:textId="77777777" w:rsidR="00944D99" w:rsidRDefault="00944D99">
      <w:pPr>
        <w:pBdr>
          <w:top w:val="nil"/>
          <w:left w:val="nil"/>
          <w:bottom w:val="nil"/>
          <w:right w:val="nil"/>
          <w:between w:val="nil"/>
        </w:pBdr>
        <w:ind w:left="720"/>
      </w:pPr>
    </w:p>
    <w:p w14:paraId="33109261" w14:textId="77777777" w:rsidR="00944D99" w:rsidRDefault="004130FA">
      <w:r>
        <w:rPr>
          <w:u w:val="single"/>
        </w:rPr>
        <w:t>Environmental Processes</w:t>
      </w:r>
    </w:p>
    <w:p w14:paraId="1DCC4EF5" w14:textId="77777777" w:rsidR="00944D99" w:rsidRDefault="004130FA">
      <w:pPr>
        <w:numPr>
          <w:ilvl w:val="0"/>
          <w:numId w:val="2"/>
        </w:numPr>
        <w:spacing w:line="240" w:lineRule="auto"/>
      </w:pPr>
      <w:r>
        <w:t>Prolon</w:t>
      </w:r>
      <w:r>
        <w:t>ged periods of above average temperatures (including periods in marine heatwave status) through the winter, early spring, late summer, and fall, throughout the water column on the shelf and offshore in the gyre (</w:t>
      </w:r>
      <w:proofErr w:type="spellStart"/>
      <w:r>
        <w:t>Lemagie</w:t>
      </w:r>
      <w:proofErr w:type="spellEnd"/>
      <w:r>
        <w:t xml:space="preserve"> and Bell, and Ocean Temperature Synt</w:t>
      </w:r>
      <w:r>
        <w:t xml:space="preserve">hesis, in Ferriss 2026) may lead to higher metabolic demands of adult cod (requiring increased prey base to support their energetic needs) (Appendix 2.1: Adams). </w:t>
      </w:r>
    </w:p>
    <w:p w14:paraId="41FDDDED" w14:textId="77777777" w:rsidR="00944D99" w:rsidRDefault="004130FA">
      <w:pPr>
        <w:numPr>
          <w:ilvl w:val="0"/>
          <w:numId w:val="2"/>
        </w:numPr>
        <w:spacing w:after="240"/>
      </w:pPr>
      <w:r>
        <w:lastRenderedPageBreak/>
        <w:t xml:space="preserve">2026 winter and spring surface temperatures are predicted to cool, based on the La </w:t>
      </w:r>
      <w:proofErr w:type="spellStart"/>
      <w:r>
        <w:t>Niña</w:t>
      </w:r>
      <w:proofErr w:type="spellEnd"/>
      <w:r>
        <w:t xml:space="preserve"> cond</w:t>
      </w:r>
      <w:r>
        <w:t xml:space="preserve">itions and National </w:t>
      </w:r>
      <w:proofErr w:type="spellStart"/>
      <w:r>
        <w:t>Multimodel</w:t>
      </w:r>
      <w:proofErr w:type="spellEnd"/>
      <w:r>
        <w:t xml:space="preserve"> Model Ensemble predictions, however these predictions have not had high skill in the GOA the past few years and SST remains in marine heatwave status in November, 2025 in the western GOA (Bond and Ortiz, </w:t>
      </w:r>
      <w:proofErr w:type="spellStart"/>
      <w:r>
        <w:t>Lemagie</w:t>
      </w:r>
      <w:proofErr w:type="spellEnd"/>
      <w:r>
        <w:t xml:space="preserve"> and Bell, </w:t>
      </w:r>
      <w:proofErr w:type="spellStart"/>
      <w:r>
        <w:t>Lem</w:t>
      </w:r>
      <w:r>
        <w:t>agie</w:t>
      </w:r>
      <w:proofErr w:type="spellEnd"/>
      <w:r>
        <w:t xml:space="preserve"> and Callahan, in Ferriss 2026). </w:t>
      </w:r>
    </w:p>
    <w:p w14:paraId="4337AD88" w14:textId="77777777" w:rsidR="00944D99" w:rsidRDefault="004130FA">
      <w:r>
        <w:rPr>
          <w:u w:val="single"/>
        </w:rPr>
        <w:t>Prey</w:t>
      </w:r>
      <w:r>
        <w:t xml:space="preserve">: </w:t>
      </w:r>
    </w:p>
    <w:p w14:paraId="4A090B7A" w14:textId="77777777" w:rsidR="00944D99" w:rsidRDefault="004130FA">
      <w:pPr>
        <w:numPr>
          <w:ilvl w:val="0"/>
          <w:numId w:val="2"/>
        </w:numPr>
      </w:pPr>
      <w:r>
        <w:t>Juvenile cod (&lt;50cm) body condition decreased slightly and remained below average while adult Pacific cod (&gt;50cm) decreased from average to below average for 2025 implying below average prey availability (Append</w:t>
      </w:r>
      <w:r>
        <w:t xml:space="preserve">ix 2.1: Rohan, </w:t>
      </w:r>
      <w:proofErr w:type="spellStart"/>
      <w:r>
        <w:t>Prohaska</w:t>
      </w:r>
      <w:proofErr w:type="spellEnd"/>
      <w:r>
        <w:t xml:space="preserve"> and Rohan, 2025).</w:t>
      </w:r>
    </w:p>
    <w:p w14:paraId="580A35B0" w14:textId="77777777" w:rsidR="00944D99" w:rsidRDefault="004130FA">
      <w:pPr>
        <w:numPr>
          <w:ilvl w:val="0"/>
          <w:numId w:val="2"/>
        </w:numPr>
      </w:pPr>
      <w:r>
        <w:t xml:space="preserve">An adequate prey base is supported by observations of above-average euphausiid spring biomass in the northern GOA (Hopcroft, in Ferriss 2026), elevated herring ocean stocks in SE Alaska (Dressel et al., in Ferriss </w:t>
      </w:r>
      <w:r>
        <w:t xml:space="preserve">2026), elevated capelin presence in seabird diets (Whelan et al., in Ferriss 2026), good reproductive success of fish-eating seabirds (Appendix 2.1: </w:t>
      </w:r>
      <w:proofErr w:type="spellStart"/>
      <w:r>
        <w:t>Zador</w:t>
      </w:r>
      <w:proofErr w:type="spellEnd"/>
      <w:r>
        <w:t>, Drummond et al., in Ferriss 2026), and an increase in hermit crabs (representing benthic prey) in th</w:t>
      </w:r>
      <w:r>
        <w:t xml:space="preserve">e western GOA (Whitehouse and Aydin, in Ferriss 2026). </w:t>
      </w:r>
    </w:p>
    <w:p w14:paraId="1ABA9022" w14:textId="77777777" w:rsidR="00944D99" w:rsidRDefault="004130FA">
      <w:pPr>
        <w:numPr>
          <w:ilvl w:val="0"/>
          <w:numId w:val="2"/>
        </w:numPr>
      </w:pPr>
      <w:r>
        <w:t xml:space="preserve">An inadequate prey base is supported by observations of continued low presence of P. </w:t>
      </w:r>
      <w:proofErr w:type="spellStart"/>
      <w:r>
        <w:t>sandlance</w:t>
      </w:r>
      <w:proofErr w:type="spellEnd"/>
      <w:r>
        <w:t xml:space="preserve"> in seabird diets in the northern GOA (Whelan et al., in Ferriss 2026), reduced biomass of brittle stars a</w:t>
      </w:r>
      <w:r>
        <w:t xml:space="preserve">nd echinoderms (representing benthic prey, Whitehouse and Aydin, in Ferriss 2026) and average to below-average pandalid shrimp (Friedman, in Ferriss 2026) in the western GOA. </w:t>
      </w:r>
    </w:p>
    <w:p w14:paraId="0238311C" w14:textId="77777777" w:rsidR="00944D99" w:rsidRDefault="004130FA">
      <w:pPr>
        <w:numPr>
          <w:ilvl w:val="0"/>
          <w:numId w:val="2"/>
        </w:numPr>
        <w:spacing w:after="160"/>
      </w:pPr>
      <w:r>
        <w:t xml:space="preserve">The spring phytoplankton bloom (satellite derived mean chlorophyll </w:t>
      </w:r>
      <w:r>
        <w:rPr>
          <w:i/>
          <w:iCs/>
        </w:rPr>
        <w:t>a</w:t>
      </w:r>
      <w:r>
        <w:t>) was slight</w:t>
      </w:r>
      <w:r>
        <w:t>ly above average (Gann, in Ferriss 2026), while the peak timing of the spring bloom has stabilized somewhat since 2020 and is at the average for the time series which may provide a buffer to increased metabolic demands in warming temperatures (Appendix 2.1</w:t>
      </w:r>
      <w:r>
        <w:t xml:space="preserve">: Callahan). </w:t>
      </w:r>
      <w:proofErr w:type="gramStart"/>
      <w:r>
        <w:t>However</w:t>
      </w:r>
      <w:proofErr w:type="gramEnd"/>
      <w:r>
        <w:t xml:space="preserve"> the phytoplankton community size index observed along Seward Line was dominated by smaller-cell dominated spring bloom, comparable to recent marine heatwave years (in contrast to 2021-2024), indicating a less efficient transfer of ener</w:t>
      </w:r>
      <w:r>
        <w:t xml:space="preserve">gy up the </w:t>
      </w:r>
      <w:proofErr w:type="spellStart"/>
      <w:r>
        <w:t>foodweb</w:t>
      </w:r>
      <w:proofErr w:type="spellEnd"/>
      <w:r>
        <w:t xml:space="preserve"> (</w:t>
      </w:r>
      <w:proofErr w:type="spellStart"/>
      <w:r>
        <w:t>Hennon</w:t>
      </w:r>
      <w:proofErr w:type="spellEnd"/>
      <w:r>
        <w:t xml:space="preserve">, in Ferriss 2026).   </w:t>
      </w:r>
    </w:p>
    <w:p w14:paraId="40C0C0F6" w14:textId="77777777" w:rsidR="00944D99" w:rsidRDefault="004130FA">
      <w:r>
        <w:rPr>
          <w:u w:val="single"/>
        </w:rPr>
        <w:t>Competitors and Predators</w:t>
      </w:r>
      <w:r>
        <w:t xml:space="preserve">: </w:t>
      </w:r>
    </w:p>
    <w:p w14:paraId="3DB76347" w14:textId="77777777" w:rsidR="00944D99" w:rsidRDefault="004130FA">
      <w:pPr>
        <w:numPr>
          <w:ilvl w:val="0"/>
          <w:numId w:val="2"/>
        </w:numPr>
      </w:pPr>
      <w:r>
        <w:t xml:space="preserve">Competition and predation indicators of early juvenile Pacific cod show mixed signals with low abundance of apex fish predators such as </w:t>
      </w:r>
      <w:proofErr w:type="spellStart"/>
      <w:r>
        <w:t>arrowtooth</w:t>
      </w:r>
      <w:proofErr w:type="spellEnd"/>
      <w:r>
        <w:t xml:space="preserve"> flounder and Pacific halibut (Whi</w:t>
      </w:r>
      <w:r>
        <w:t xml:space="preserve">tehouse, in Ferriss 2026), slight increase in projected biomass consumed from the CEATTLE multispecies model (Appendix 2.1: Adams), and steadily increasing population of Steller sea lions in the GOA (Appendix 2.1: Sweeney). </w:t>
      </w:r>
    </w:p>
    <w:p w14:paraId="3F687754" w14:textId="77777777" w:rsidR="00944D99" w:rsidRDefault="004130FA">
      <w:pPr>
        <w:pStyle w:val="Heading2"/>
        <w:rPr>
          <w:sz w:val="22"/>
          <w:szCs w:val="22"/>
        </w:rPr>
      </w:pPr>
      <w:bookmarkStart w:id="4" w:name="_qzxwcxj0ugmf" w:colFirst="0" w:colLast="0"/>
      <w:bookmarkEnd w:id="4"/>
      <w:r>
        <w:rPr>
          <w:b/>
          <w:bCs/>
          <w:i w:val="0"/>
          <w:iCs w:val="0"/>
          <w:sz w:val="22"/>
          <w:szCs w:val="22"/>
        </w:rPr>
        <w:t>Fishery-informed Stock Consider</w:t>
      </w:r>
      <w:r>
        <w:rPr>
          <w:b/>
          <w:bCs/>
          <w:i w:val="0"/>
          <w:iCs w:val="0"/>
          <w:sz w:val="22"/>
          <w:szCs w:val="22"/>
        </w:rPr>
        <w:t>ations:</w:t>
      </w:r>
      <w:r>
        <w:rPr>
          <w:sz w:val="22"/>
          <w:szCs w:val="22"/>
        </w:rPr>
        <w:t xml:space="preserve"> </w:t>
      </w:r>
    </w:p>
    <w:p w14:paraId="25B6B7DF" w14:textId="77777777" w:rsidR="00944D99" w:rsidRDefault="004130FA">
      <w:pPr>
        <w:rPr>
          <w:i/>
          <w:iCs/>
        </w:rPr>
      </w:pPr>
      <w:r>
        <w:rPr>
          <w:i/>
          <w:iCs/>
        </w:rPr>
        <w:t>Risk Level #: TBD</w:t>
      </w:r>
    </w:p>
    <w:p w14:paraId="6DB89E21" w14:textId="77777777" w:rsidR="00944D99" w:rsidRDefault="00944D99"/>
    <w:p w14:paraId="5E975A10" w14:textId="77777777" w:rsidR="00944D99" w:rsidRDefault="004130FA">
      <w:pPr>
        <w:spacing w:after="200"/>
      </w:pPr>
      <w:r>
        <w:t>Considerations are from updated fishery performance indicators reported in the SAFE (</w:t>
      </w:r>
      <w:proofErr w:type="spellStart"/>
      <w:r>
        <w:t>Hulson</w:t>
      </w:r>
      <w:proofErr w:type="spellEnd"/>
      <w:r>
        <w:t xml:space="preserve"> et al., 2026). The ESP does not currently contain any fishery performance indicators. </w:t>
      </w:r>
    </w:p>
    <w:p w14:paraId="6F66FE3D" w14:textId="77777777" w:rsidR="00944D99" w:rsidRDefault="004130FA">
      <w:pPr>
        <w:pStyle w:val="Heading2"/>
        <w:rPr>
          <w:b/>
          <w:bCs/>
          <w:i w:val="0"/>
          <w:iCs w:val="0"/>
          <w:sz w:val="22"/>
          <w:szCs w:val="22"/>
        </w:rPr>
      </w:pPr>
      <w:bookmarkStart w:id="5" w:name="_dirsblgpb5ug" w:colFirst="0" w:colLast="0"/>
      <w:bookmarkEnd w:id="5"/>
      <w:r>
        <w:rPr>
          <w:b/>
          <w:bCs/>
          <w:i w:val="0"/>
          <w:iCs w:val="0"/>
          <w:sz w:val="22"/>
          <w:szCs w:val="22"/>
        </w:rPr>
        <w:lastRenderedPageBreak/>
        <w:t>References:</w:t>
      </w:r>
    </w:p>
    <w:p w14:paraId="5D344F9D" w14:textId="77777777" w:rsidR="00944D99" w:rsidRDefault="004130FA">
      <w:pPr>
        <w:pStyle w:val="Heading2"/>
        <w:rPr>
          <w:i w:val="0"/>
          <w:iCs w:val="0"/>
          <w:sz w:val="22"/>
          <w:szCs w:val="22"/>
        </w:rPr>
      </w:pPr>
      <w:bookmarkStart w:id="6" w:name="_sid3rxemt6rq" w:colFirst="0" w:colLast="0"/>
      <w:bookmarkEnd w:id="6"/>
      <w:r>
        <w:rPr>
          <w:i w:val="0"/>
          <w:iCs w:val="0"/>
          <w:sz w:val="22"/>
          <w:szCs w:val="22"/>
        </w:rPr>
        <w:t>Ferriss, B.E. 2026. Abbreviated Ecosystem Status Report 2026: Gul</w:t>
      </w:r>
      <w:r>
        <w:rPr>
          <w:i w:val="0"/>
          <w:iCs w:val="0"/>
          <w:sz w:val="22"/>
          <w:szCs w:val="22"/>
        </w:rPr>
        <w:t>f of Alaska, Stock Assessment and Fishery Evaluation Report for the Groundfish Resources of the Gulf of Alaska, North Pacific Fishery Management Council, 1007 West Third, Suite 400, Anchorage, Alaska 99501</w:t>
      </w:r>
    </w:p>
    <w:p w14:paraId="3ADF11C7" w14:textId="77777777" w:rsidR="00944D99" w:rsidRDefault="00944D99">
      <w:pPr>
        <w:pStyle w:val="Heading2"/>
        <w:rPr>
          <w:b/>
          <w:bCs/>
          <w:i w:val="0"/>
          <w:iCs w:val="0"/>
          <w:sz w:val="22"/>
          <w:szCs w:val="22"/>
        </w:rPr>
      </w:pPr>
      <w:bookmarkStart w:id="7" w:name="_emp8gsja58gg" w:colFirst="0" w:colLast="0"/>
      <w:bookmarkEnd w:id="7"/>
    </w:p>
    <w:p w14:paraId="1AB9CDAC" w14:textId="77777777" w:rsidR="00944D99" w:rsidRDefault="00944D99">
      <w:pPr>
        <w:spacing w:after="160"/>
        <w:ind w:left="360"/>
      </w:pPr>
    </w:p>
    <w:p w14:paraId="6513F2CF" w14:textId="77777777" w:rsidR="00944D99" w:rsidRDefault="00944D99">
      <w:pPr>
        <w:spacing w:after="160" w:line="259" w:lineRule="auto"/>
      </w:pPr>
    </w:p>
    <w:p w14:paraId="4956D94C" w14:textId="77777777" w:rsidR="00944D99" w:rsidRDefault="00944D99"/>
    <w:p w14:paraId="23DB1A3E" w14:textId="77777777" w:rsidR="00944D99" w:rsidRDefault="00944D99"/>
    <w:sectPr w:rsidR="00944D9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Bridget Ferriss - NOAA Federal" w:date="2026-01-05T19:13:00Z" w:initials="">
    <w:p w14:paraId="278A8A00" w14:textId="77777777" w:rsidR="00944D99" w:rsidRDefault="004130FA">
      <w:pPr>
        <w:widowControl w:val="0"/>
        <w:pBdr>
          <w:top w:val="nil"/>
          <w:left w:val="nil"/>
          <w:bottom w:val="nil"/>
          <w:right w:val="nil"/>
          <w:between w:val="nil"/>
        </w:pBdr>
        <w:spacing w:line="240" w:lineRule="auto"/>
        <w:rPr>
          <w:color w:val="000000"/>
        </w:rPr>
      </w:pPr>
      <w:proofErr w:type="spellStart"/>
      <w:r>
        <w:rPr>
          <w:color w:val="000000"/>
        </w:rPr>
        <w:t>Kalei</w:t>
      </w:r>
      <w:proofErr w:type="spellEnd"/>
      <w:r>
        <w:rPr>
          <w:color w:val="000000"/>
        </w:rPr>
        <w:t xml:space="preserve"> - this is mainly your data. DO you like</w:t>
      </w:r>
      <w:r>
        <w:rPr>
          <w:color w:val="000000"/>
        </w:rPr>
        <w:t xml:space="preserve"> this wording? @kalei.shotwell@noaa.gov</w:t>
      </w:r>
    </w:p>
    <w:p w14:paraId="08DCF4CD" w14:textId="77777777" w:rsidR="00944D99" w:rsidRDefault="004130FA">
      <w:pPr>
        <w:widowControl w:val="0"/>
        <w:pBdr>
          <w:top w:val="nil"/>
          <w:left w:val="nil"/>
          <w:bottom w:val="nil"/>
          <w:right w:val="nil"/>
          <w:between w:val="nil"/>
        </w:pBdr>
        <w:spacing w:line="240" w:lineRule="auto"/>
        <w:rPr>
          <w:color w:val="000000"/>
        </w:rPr>
      </w:pPr>
      <w:r>
        <w:rPr>
          <w:color w:val="000000"/>
        </w:rPr>
        <w:t>_Assigned to kalei.shotwell@noaa.gov_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DCF4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DCF4CD" w16cid:durableId="2D061A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5596F9-8B24-48D6-AA9B-011D10C1C086}"/>
  </w:font>
  <w:font w:name="Cambria">
    <w:panose1 w:val="02040503050406030204"/>
    <w:charset w:val="00"/>
    <w:family w:val="roman"/>
    <w:pitch w:val="variable"/>
    <w:sig w:usb0="E00006FF" w:usb1="420024FF" w:usb2="02000000" w:usb3="00000000" w:csb0="0000019F" w:csb1="00000000"/>
    <w:embedRegular r:id="rId2" w:fontKey="{6CB49061-085C-49D1-9D9D-FFEE394CBF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71A4"/>
    <w:multiLevelType w:val="multilevel"/>
    <w:tmpl w:val="D7264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B8500B"/>
    <w:multiLevelType w:val="multilevel"/>
    <w:tmpl w:val="14208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D99"/>
    <w:rsid w:val="004130FA"/>
    <w:rsid w:val="00944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ABBE"/>
  <w15:docId w15:val="{F42E5904-6445-40DF-B79B-B42FEDE0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28"/>
      <w:szCs w:val="28"/>
    </w:rPr>
  </w:style>
  <w:style w:type="paragraph" w:styleId="Heading2">
    <w:name w:val="heading 2"/>
    <w:basedOn w:val="Normal"/>
    <w:next w:val="Normal"/>
    <w:uiPriority w:val="9"/>
    <w:unhideWhenUsed/>
    <w:qFormat/>
    <w:pPr>
      <w:keepNext/>
      <w:keepLines/>
      <w:spacing w:before="360" w:after="120"/>
      <w:outlineLvl w:val="1"/>
    </w:pPr>
    <w:rPr>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32"/>
      <w:szCs w:val="3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Pete.Hulson</dc:creator>
  <cp:lastModifiedBy>Pete.Hulson</cp:lastModifiedBy>
  <cp:revision>2</cp:revision>
  <dcterms:created xsi:type="dcterms:W3CDTF">2026-01-05T20:10:00Z</dcterms:created>
  <dcterms:modified xsi:type="dcterms:W3CDTF">2026-01-05T20:10:00Z</dcterms:modified>
</cp:coreProperties>
</file>