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4D624" w14:textId="60864083" w:rsidR="002C32BE" w:rsidRPr="002C32BE" w:rsidRDefault="00F46DB3" w:rsidP="002C32BE">
      <w:r>
        <w:t>Conventional t</w:t>
      </w:r>
      <w:r w:rsidR="002C32BE" w:rsidRPr="002C32BE">
        <w:t xml:space="preserve">agging studies (e.g., Shimada and Kimura 1994) have </w:t>
      </w:r>
      <w:r w:rsidR="00E856D4">
        <w:t>found that Pacific cod migrate</w:t>
      </w:r>
      <w:r w:rsidR="002C32BE" w:rsidRPr="002C32BE">
        <w:t xml:space="preserve"> both within and between the EBS, AI, and GOA outside of their winter (January – April) spawning season. In 2021, a cooperative tagging study between the Alaska Fisheries Science Center (AFSC) and the Aleutian</w:t>
      </w:r>
      <w:r w:rsidR="002D64CD">
        <w:t>s</w:t>
      </w:r>
      <w:r w:rsidR="002C32BE" w:rsidRPr="002C32BE">
        <w:t xml:space="preserve"> East Borough (AEB) was initiated to examine the seasonal movements of Pacific cod captured in the western GOA during the winter spawning season</w:t>
      </w:r>
      <w:r w:rsidR="00073E4A">
        <w:t xml:space="preserve"> using pop-up satellite tags</w:t>
      </w:r>
      <w:r w:rsidR="002C32BE" w:rsidRPr="002C32BE">
        <w:t xml:space="preserve">. Pop-up satellite tags </w:t>
      </w:r>
      <w:r w:rsidR="0090416F">
        <w:t xml:space="preserve">are designed to </w:t>
      </w:r>
      <w:r w:rsidR="002C32BE" w:rsidRPr="002C32BE">
        <w:t xml:space="preserve">release </w:t>
      </w:r>
      <w:r>
        <w:t xml:space="preserve">from the fish after a predetermined </w:t>
      </w:r>
      <w:r w:rsidR="0090416F">
        <w:t xml:space="preserve">deployment </w:t>
      </w:r>
      <w:r>
        <w:t xml:space="preserve">time (e.g., 180 days) </w:t>
      </w:r>
      <w:r w:rsidR="002C32BE" w:rsidRPr="002C32BE">
        <w:t xml:space="preserve">and transmit </w:t>
      </w:r>
      <w:r>
        <w:t xml:space="preserve">archived </w:t>
      </w:r>
      <w:r w:rsidR="002C32BE" w:rsidRPr="002C32BE">
        <w:t>data to satellites</w:t>
      </w:r>
      <w:r w:rsidR="0090416F">
        <w:t xml:space="preserve"> after floating to the surface</w:t>
      </w:r>
      <w:r w:rsidR="002C32BE" w:rsidRPr="002C32BE">
        <w:t>, whereas conventional tags require a platform of recovery such as a fishery. Pathways between release and pop-up locations can be reconstructed from arch</w:t>
      </w:r>
      <w:r>
        <w:t>ived depth, temperature, and light</w:t>
      </w:r>
      <w:r w:rsidR="002C32BE" w:rsidRPr="002C32BE">
        <w:t xml:space="preserve"> data </w:t>
      </w:r>
      <w:r w:rsidR="0090416F">
        <w:t>recorded</w:t>
      </w:r>
      <w:r w:rsidR="0090416F" w:rsidRPr="002C32BE">
        <w:t xml:space="preserve"> </w:t>
      </w:r>
      <w:r w:rsidR="002C32BE" w:rsidRPr="002C32BE">
        <w:t xml:space="preserve">by the tags using a hidden Markov model. </w:t>
      </w:r>
      <w:r w:rsidR="00406EE3">
        <w:t xml:space="preserve">Satellite tags were released on Pacific cod in the western GOA in March 2021 and April 2022 to </w:t>
      </w:r>
      <w:r w:rsidR="00073E4A">
        <w:t>improve</w:t>
      </w:r>
      <w:r w:rsidR="00073E4A" w:rsidRPr="002C32BE">
        <w:t xml:space="preserve"> </w:t>
      </w:r>
      <w:r w:rsidR="00406EE3" w:rsidRPr="002C32BE">
        <w:t>understand</w:t>
      </w:r>
      <w:r w:rsidR="00073E4A">
        <w:t>ing of</w:t>
      </w:r>
      <w:r w:rsidR="00406EE3" w:rsidRPr="002C32BE">
        <w:t xml:space="preserve"> seasonal connectivity between winter spawning locations of Pacific cod in the western GOA and foraging locations in GOA and EBS during summer months when AFSC bottom- trawl surveys are conducted.</w:t>
      </w:r>
      <w:r w:rsidR="00406EE3">
        <w:t xml:space="preserve"> In 2023 and 2024, the study </w:t>
      </w:r>
      <w:r w:rsidR="00406EE3" w:rsidRPr="002C32BE">
        <w:t xml:space="preserve">was expanded to the central GOA to </w:t>
      </w:r>
      <w:r w:rsidR="0090416F">
        <w:t xml:space="preserve">improve </w:t>
      </w:r>
      <w:r w:rsidR="00406EE3" w:rsidRPr="002C32BE">
        <w:t>understand</w:t>
      </w:r>
      <w:r w:rsidR="0090416F">
        <w:t>ing of</w:t>
      </w:r>
      <w:r w:rsidR="00406EE3" w:rsidRPr="002C32BE">
        <w:t xml:space="preserve"> seasonal migration patterns </w:t>
      </w:r>
      <w:r w:rsidR="00BC313E">
        <w:t>for</w:t>
      </w:r>
      <w:r w:rsidR="00406EE3" w:rsidRPr="002C32BE">
        <w:t xml:space="preserve"> western and central GOA </w:t>
      </w:r>
      <w:r w:rsidR="0090416F">
        <w:t>fish</w:t>
      </w:r>
      <w:r w:rsidR="00406EE3" w:rsidRPr="002C32BE">
        <w:t>.</w:t>
      </w:r>
      <w:r w:rsidR="003B6021">
        <w:t xml:space="preserve"> </w:t>
      </w:r>
      <w:r w:rsidR="0090416F">
        <w:t xml:space="preserve">During </w:t>
      </w:r>
      <w:r w:rsidR="003B6021">
        <w:t xml:space="preserve">the expanded winter </w:t>
      </w:r>
      <w:r w:rsidR="00847BB7">
        <w:t>study</w:t>
      </w:r>
      <w:r w:rsidR="003B6021">
        <w:t xml:space="preserve">, </w:t>
      </w:r>
      <w:r w:rsidR="003B6021" w:rsidRPr="002C32BE">
        <w:t xml:space="preserve">satellite tags were deployed at </w:t>
      </w:r>
      <w:r w:rsidR="003B6021">
        <w:t xml:space="preserve">10 </w:t>
      </w:r>
      <w:r w:rsidR="003B6021" w:rsidRPr="002C32BE">
        <w:t xml:space="preserve">release locations ranging from Sanak Island </w:t>
      </w:r>
      <w:r w:rsidR="0090416F">
        <w:t xml:space="preserve">in the </w:t>
      </w:r>
      <w:r>
        <w:t xml:space="preserve">west </w:t>
      </w:r>
      <w:r w:rsidR="003B6021" w:rsidRPr="002C32BE">
        <w:t>to the entrance of Prince William Sound</w:t>
      </w:r>
      <w:r>
        <w:t xml:space="preserve"> </w:t>
      </w:r>
      <w:r w:rsidR="0090416F">
        <w:t xml:space="preserve">in the </w:t>
      </w:r>
      <w:r>
        <w:t>east</w:t>
      </w:r>
      <w:r w:rsidR="003B6021">
        <w:t>.</w:t>
      </w:r>
      <w:r w:rsidR="00FA5B68">
        <w:t xml:space="preserve"> Winter release tags were programmed to popup after either 6 months (80% of tags) or 15 months (20% of tags).</w:t>
      </w:r>
      <w:r w:rsidR="00406EE3">
        <w:t xml:space="preserve"> </w:t>
      </w:r>
      <w:r w:rsidR="003B6021">
        <w:t>In 2023 and 2024, satellite tags were also released during the summer in the western and central GOA to better understand annual movement patterns and movement from summer foraging to winter spawning areas.</w:t>
      </w:r>
      <w:r w:rsidR="00FA5B68">
        <w:t xml:space="preserve"> Summer release tags were programmed to pop up after 12 months.</w:t>
      </w:r>
      <w:r w:rsidR="003B6021">
        <w:t xml:space="preserve"> </w:t>
      </w:r>
      <w:r w:rsidR="00406EE3">
        <w:t xml:space="preserve">To date, </w:t>
      </w:r>
      <w:r w:rsidR="003B6021">
        <w:t xml:space="preserve">194 satellite tags have been deployed </w:t>
      </w:r>
      <w:r w:rsidR="002758FE">
        <w:t xml:space="preserve">in the GOA from </w:t>
      </w:r>
      <w:r w:rsidR="003B6021">
        <w:t xml:space="preserve">2021 </w:t>
      </w:r>
      <w:r w:rsidR="002758FE">
        <w:t>to</w:t>
      </w:r>
      <w:r w:rsidR="003B6021">
        <w:t xml:space="preserve"> 2024 (</w:t>
      </w:r>
      <w:r w:rsidR="003B6021" w:rsidRPr="003B6021">
        <w:rPr>
          <w:highlight w:val="yellow"/>
        </w:rPr>
        <w:t>Figure 2.2A</w:t>
      </w:r>
      <w:r w:rsidR="003B6021">
        <w:t xml:space="preserve">). </w:t>
      </w:r>
      <w:r w:rsidR="00B30A99">
        <w:t xml:space="preserve">In the western GOA, 92 satellite tags </w:t>
      </w:r>
      <w:r w:rsidR="002758FE">
        <w:t>were</w:t>
      </w:r>
      <w:r w:rsidR="00B30A99">
        <w:t xml:space="preserve"> released on the winter cruise and 30 satellite tags </w:t>
      </w:r>
      <w:r w:rsidR="002758FE">
        <w:t>were</w:t>
      </w:r>
      <w:r w:rsidR="00B30A99">
        <w:t xml:space="preserve"> released during the summer. In the central GOA, 70 satellite tags </w:t>
      </w:r>
      <w:r w:rsidR="002758FE">
        <w:t>were</w:t>
      </w:r>
      <w:r w:rsidR="00B30A99">
        <w:t xml:space="preserve"> released on the winter cruise and 2 satellite tags </w:t>
      </w:r>
      <w:r w:rsidR="002758FE">
        <w:t>were</w:t>
      </w:r>
      <w:r w:rsidR="00B30A99">
        <w:t xml:space="preserve"> released during the summer.</w:t>
      </w:r>
      <w:r w:rsidR="00656DC0">
        <w:t xml:space="preserve"> </w:t>
      </w:r>
      <w:r w:rsidR="00ED3A50">
        <w:t>Pop-up locations</w:t>
      </w:r>
      <w:r w:rsidR="002C32BE" w:rsidRPr="002C32BE">
        <w:t xml:space="preserve"> </w:t>
      </w:r>
      <w:r w:rsidR="00FA5B68">
        <w:t xml:space="preserve">for satellite tags deployed in the GOA </w:t>
      </w:r>
      <w:r w:rsidR="002C32BE" w:rsidRPr="002C32BE">
        <w:t>to date</w:t>
      </w:r>
      <w:r w:rsidR="00ED3A50">
        <w:t xml:space="preserve"> (</w:t>
      </w:r>
      <w:r w:rsidR="00ED3A50" w:rsidRPr="00656DC0">
        <w:rPr>
          <w:highlight w:val="yellow"/>
        </w:rPr>
        <w:t>Figure 2.2B</w:t>
      </w:r>
      <w:r w:rsidR="00ED3A50">
        <w:t xml:space="preserve">) </w:t>
      </w:r>
      <w:r w:rsidR="002C32BE" w:rsidRPr="002C32BE">
        <w:t xml:space="preserve">indicate </w:t>
      </w:r>
      <w:r w:rsidR="00ED3A50">
        <w:t xml:space="preserve">that </w:t>
      </w:r>
      <w:r w:rsidR="002C32BE" w:rsidRPr="002C32BE">
        <w:t>seasonal connectivity</w:t>
      </w:r>
      <w:r w:rsidR="00ED3A50">
        <w:t xml:space="preserve"> exists</w:t>
      </w:r>
      <w:r w:rsidR="002C32BE" w:rsidRPr="002C32BE">
        <w:t xml:space="preserve"> between the western GOA (Shumagin Islands and westward)</w:t>
      </w:r>
      <w:r w:rsidR="002758FE">
        <w:t>,</w:t>
      </w:r>
      <w:r w:rsidR="002C32BE" w:rsidRPr="002C32BE">
        <w:t xml:space="preserve"> EBS</w:t>
      </w:r>
      <w:r w:rsidR="002758FE">
        <w:t>, northern Bering Sea, western Bering Sea (Russia), and Chukchi Sea.</w:t>
      </w:r>
      <w:r w:rsidR="00BC313E">
        <w:t xml:space="preserve"> </w:t>
      </w:r>
      <w:r w:rsidR="00ED3A50">
        <w:t xml:space="preserve">Approximately 50% of cod tagged in the western GOA during the winter moved to summer foraging locations in the Bering Sea across all four years of tagging. </w:t>
      </w:r>
      <w:r w:rsidR="003B61C7">
        <w:t xml:space="preserve">However, </w:t>
      </w:r>
      <w:r w:rsidR="00481814">
        <w:t>fish tagged in the central GOA have</w:t>
      </w:r>
      <w:r w:rsidR="002758FE">
        <w:t xml:space="preserve"> not</w:t>
      </w:r>
      <w:r w:rsidR="00481814">
        <w:t xml:space="preserve"> been observed to move into </w:t>
      </w:r>
      <w:r w:rsidR="002E7276">
        <w:t>the EBS or AI</w:t>
      </w:r>
      <w:r w:rsidR="00481814">
        <w:t xml:space="preserve">. Within the central GOA, some </w:t>
      </w:r>
      <w:r w:rsidR="008F4FB0">
        <w:t xml:space="preserve">tagged </w:t>
      </w:r>
      <w:r w:rsidR="00481814">
        <w:t xml:space="preserve">fish displayed considerable movement but largely remained within management areas. </w:t>
      </w:r>
      <w:r w:rsidR="00656DC0">
        <w:t xml:space="preserve">Partial migration (i.e., only part of the population </w:t>
      </w:r>
      <w:r w:rsidR="00481814">
        <w:t>undertakes seasonal migration</w:t>
      </w:r>
      <w:r w:rsidR="00656DC0">
        <w:t xml:space="preserve">) </w:t>
      </w:r>
      <w:r w:rsidR="002758FE">
        <w:t>wa</w:t>
      </w:r>
      <w:r w:rsidR="00656DC0">
        <w:t>s evident</w:t>
      </w:r>
      <w:r w:rsidR="00780F1E">
        <w:t xml:space="preserve"> in reconstructed pathways, as </w:t>
      </w:r>
      <w:r w:rsidR="00656DC0">
        <w:t>some fish remain</w:t>
      </w:r>
      <w:r w:rsidR="002758FE">
        <w:t>ed</w:t>
      </w:r>
      <w:r w:rsidR="00656DC0">
        <w:t xml:space="preserve"> in the vicinity of their release </w:t>
      </w:r>
      <w:r w:rsidR="002758FE">
        <w:t xml:space="preserve">location </w:t>
      </w:r>
      <w:r w:rsidR="00656DC0">
        <w:t xml:space="preserve">year-round. </w:t>
      </w:r>
      <w:r w:rsidR="00780F1E">
        <w:t xml:space="preserve">Analyses to quantify and characterize movement between management areas </w:t>
      </w:r>
      <w:r w:rsidR="001D2D87">
        <w:t>with</w:t>
      </w:r>
      <w:r w:rsidR="00780F1E">
        <w:t xml:space="preserve">in the GOA and between the GOA and the Bering Sea are on-going. </w:t>
      </w:r>
      <w:r w:rsidR="002C32BE" w:rsidRPr="002C32BE">
        <w:t>Additional satellite and conventional tag releases</w:t>
      </w:r>
      <w:r w:rsidR="00E856D4">
        <w:t xml:space="preserve"> </w:t>
      </w:r>
      <w:r w:rsidR="00E856D4" w:rsidRPr="002C32BE">
        <w:t>in the GOA</w:t>
      </w:r>
      <w:r w:rsidR="002C32BE" w:rsidRPr="002C32BE">
        <w:t xml:space="preserve"> are planned for March 202</w:t>
      </w:r>
      <w:r w:rsidR="00656DC0">
        <w:t>5.</w:t>
      </w:r>
    </w:p>
    <w:p w14:paraId="338ACBB5" w14:textId="6A44005F" w:rsidR="00D33747" w:rsidRDefault="00D33747" w:rsidP="00B17052"/>
    <w:p w14:paraId="76D66A7A" w14:textId="2486EFAA" w:rsidR="00F46DB3" w:rsidRDefault="005B7353" w:rsidP="00B17052">
      <w:r>
        <w:rPr>
          <w:noProof/>
        </w:rPr>
        <w:lastRenderedPageBreak/>
        <w:drawing>
          <wp:inline distT="0" distB="0" distL="0" distR="0" wp14:anchorId="67A525D8" wp14:editId="6607F6EB">
            <wp:extent cx="4660900" cy="7124700"/>
            <wp:effectExtent l="0" t="0" r="0" b="0"/>
            <wp:docPr id="1227885109"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5109" name="Picture 2" descr="A map of the united state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60900" cy="7124700"/>
                    </a:xfrm>
                    <a:prstGeom prst="rect">
                      <a:avLst/>
                    </a:prstGeom>
                  </pic:spPr>
                </pic:pic>
              </a:graphicData>
            </a:graphic>
          </wp:inline>
        </w:drawing>
      </w:r>
    </w:p>
    <w:p w14:paraId="3FFE482F" w14:textId="0EDE3A01" w:rsidR="00F46DB3" w:rsidRDefault="00F46DB3" w:rsidP="00B17052">
      <w:r>
        <w:t>Figure 2.2 Pacific cod satellite tag A) release locations in Gulf of Alaska</w:t>
      </w:r>
      <w:r w:rsidR="00081E69">
        <w:t xml:space="preserve"> (GOA) management areas 610, 620, and 630 </w:t>
      </w:r>
      <w:r>
        <w:t xml:space="preserve">from 2021 – 2024 and B) pop-up locations from </w:t>
      </w:r>
      <w:r w:rsidR="00081E69">
        <w:t>GOA</w:t>
      </w:r>
      <w:r>
        <w:t xml:space="preserve"> satellite tag releases</w:t>
      </w:r>
      <w:r w:rsidR="00081E69">
        <w:t xml:space="preserve"> by region</w:t>
      </w:r>
      <w:r>
        <w:t xml:space="preserve"> </w:t>
      </w:r>
      <w:r w:rsidR="00081E69">
        <w:t>(AI = Aleutian Islands, EBS = Eastern Bering Sea, NBS = Northern Bering Sea, CS = Chukchi Sea).</w:t>
      </w:r>
    </w:p>
    <w:sectPr w:rsidR="00F46D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461"/>
    <w:rsid w:val="00004583"/>
    <w:rsid w:val="00024DB2"/>
    <w:rsid w:val="00073E4A"/>
    <w:rsid w:val="00081E69"/>
    <w:rsid w:val="001D2D87"/>
    <w:rsid w:val="002758FE"/>
    <w:rsid w:val="00282C4D"/>
    <w:rsid w:val="00282E8F"/>
    <w:rsid w:val="002C32BE"/>
    <w:rsid w:val="002D64CD"/>
    <w:rsid w:val="002E7276"/>
    <w:rsid w:val="00341AA2"/>
    <w:rsid w:val="003B6021"/>
    <w:rsid w:val="003B61C7"/>
    <w:rsid w:val="003C7C2A"/>
    <w:rsid w:val="00406EE3"/>
    <w:rsid w:val="0042625E"/>
    <w:rsid w:val="004529C9"/>
    <w:rsid w:val="00481814"/>
    <w:rsid w:val="004C0BC4"/>
    <w:rsid w:val="004F171F"/>
    <w:rsid w:val="005B7353"/>
    <w:rsid w:val="00656DC0"/>
    <w:rsid w:val="006F126B"/>
    <w:rsid w:val="007006A5"/>
    <w:rsid w:val="0074126D"/>
    <w:rsid w:val="00752381"/>
    <w:rsid w:val="00780F1E"/>
    <w:rsid w:val="00806391"/>
    <w:rsid w:val="00812392"/>
    <w:rsid w:val="00847BB7"/>
    <w:rsid w:val="00890B35"/>
    <w:rsid w:val="008C141D"/>
    <w:rsid w:val="008F3371"/>
    <w:rsid w:val="008F4FB0"/>
    <w:rsid w:val="0090416F"/>
    <w:rsid w:val="00B17052"/>
    <w:rsid w:val="00B30A99"/>
    <w:rsid w:val="00B340FA"/>
    <w:rsid w:val="00B81178"/>
    <w:rsid w:val="00BC313E"/>
    <w:rsid w:val="00BD56B8"/>
    <w:rsid w:val="00BF27F2"/>
    <w:rsid w:val="00C05461"/>
    <w:rsid w:val="00C53251"/>
    <w:rsid w:val="00C626E8"/>
    <w:rsid w:val="00D33747"/>
    <w:rsid w:val="00D54DEB"/>
    <w:rsid w:val="00E168D6"/>
    <w:rsid w:val="00E856D4"/>
    <w:rsid w:val="00EC1D0C"/>
    <w:rsid w:val="00ED3A50"/>
    <w:rsid w:val="00F241FE"/>
    <w:rsid w:val="00F46DB3"/>
    <w:rsid w:val="00F52C63"/>
    <w:rsid w:val="00FA5B68"/>
    <w:rsid w:val="00FC1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887EF"/>
  <w15:chartTrackingRefBased/>
  <w15:docId w15:val="{84BE76C2-08FF-435F-92AA-DA8A7418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05461"/>
    <w:pPr>
      <w:spacing w:line="240" w:lineRule="auto"/>
    </w:pPr>
    <w:rPr>
      <w:rFonts w:ascii="Times New Roman" w:eastAsia="Times New Roman" w:hAnsi="Times New Roman" w:cs="Times New Roman"/>
    </w:rPr>
  </w:style>
  <w:style w:type="paragraph" w:styleId="Heading5">
    <w:name w:val="heading 5"/>
    <w:basedOn w:val="Normal"/>
    <w:next w:val="Normal"/>
    <w:link w:val="Heading5Char"/>
    <w:qFormat/>
    <w:rsid w:val="00F241FE"/>
    <w:pPr>
      <w:keepNext/>
      <w:keepLines/>
      <w:tabs>
        <w:tab w:val="left" w:pos="1260"/>
      </w:tabs>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F241F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2758FE"/>
    <w:rPr>
      <w:sz w:val="16"/>
      <w:szCs w:val="16"/>
    </w:rPr>
  </w:style>
  <w:style w:type="paragraph" w:styleId="CommentText">
    <w:name w:val="annotation text"/>
    <w:basedOn w:val="Normal"/>
    <w:link w:val="CommentTextChar"/>
    <w:uiPriority w:val="99"/>
    <w:semiHidden/>
    <w:unhideWhenUsed/>
    <w:rsid w:val="002758FE"/>
    <w:rPr>
      <w:sz w:val="20"/>
      <w:szCs w:val="20"/>
    </w:rPr>
  </w:style>
  <w:style w:type="character" w:customStyle="1" w:styleId="CommentTextChar">
    <w:name w:val="Comment Text Char"/>
    <w:basedOn w:val="DefaultParagraphFont"/>
    <w:link w:val="CommentText"/>
    <w:uiPriority w:val="99"/>
    <w:semiHidden/>
    <w:rsid w:val="002758F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58FE"/>
    <w:rPr>
      <w:b/>
      <w:bCs/>
    </w:rPr>
  </w:style>
  <w:style w:type="character" w:customStyle="1" w:styleId="CommentSubjectChar">
    <w:name w:val="Comment Subject Char"/>
    <w:basedOn w:val="CommentTextChar"/>
    <w:link w:val="CommentSubject"/>
    <w:uiPriority w:val="99"/>
    <w:semiHidden/>
    <w:rsid w:val="002758F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758F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8FE"/>
    <w:rPr>
      <w:rFonts w:ascii="Segoe UI" w:eastAsia="Times New Roman" w:hAnsi="Segoe UI" w:cs="Segoe UI"/>
      <w:sz w:val="18"/>
      <w:szCs w:val="18"/>
    </w:rPr>
  </w:style>
  <w:style w:type="paragraph" w:styleId="Revision">
    <w:name w:val="Revision"/>
    <w:hidden/>
    <w:uiPriority w:val="99"/>
    <w:semiHidden/>
    <w:rsid w:val="00BC313E"/>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075328">
      <w:bodyDiv w:val="1"/>
      <w:marLeft w:val="0"/>
      <w:marRight w:val="0"/>
      <w:marTop w:val="0"/>
      <w:marBottom w:val="0"/>
      <w:divBdr>
        <w:top w:val="none" w:sz="0" w:space="0" w:color="auto"/>
        <w:left w:val="none" w:sz="0" w:space="0" w:color="auto"/>
        <w:bottom w:val="none" w:sz="0" w:space="0" w:color="auto"/>
        <w:right w:val="none" w:sz="0" w:space="0" w:color="auto"/>
      </w:divBdr>
      <w:divsChild>
        <w:div w:id="885725351">
          <w:marLeft w:val="0"/>
          <w:marRight w:val="0"/>
          <w:marTop w:val="0"/>
          <w:marBottom w:val="0"/>
          <w:divBdr>
            <w:top w:val="none" w:sz="0" w:space="0" w:color="auto"/>
            <w:left w:val="none" w:sz="0" w:space="0" w:color="auto"/>
            <w:bottom w:val="none" w:sz="0" w:space="0" w:color="auto"/>
            <w:right w:val="none" w:sz="0" w:space="0" w:color="auto"/>
          </w:divBdr>
          <w:divsChild>
            <w:div w:id="2095082218">
              <w:marLeft w:val="0"/>
              <w:marRight w:val="0"/>
              <w:marTop w:val="0"/>
              <w:marBottom w:val="0"/>
              <w:divBdr>
                <w:top w:val="none" w:sz="0" w:space="0" w:color="auto"/>
                <w:left w:val="none" w:sz="0" w:space="0" w:color="auto"/>
                <w:bottom w:val="none" w:sz="0" w:space="0" w:color="auto"/>
                <w:right w:val="none" w:sz="0" w:space="0" w:color="auto"/>
              </w:divBdr>
              <w:divsChild>
                <w:div w:id="1765030219">
                  <w:marLeft w:val="0"/>
                  <w:marRight w:val="0"/>
                  <w:marTop w:val="0"/>
                  <w:marBottom w:val="0"/>
                  <w:divBdr>
                    <w:top w:val="none" w:sz="0" w:space="0" w:color="auto"/>
                    <w:left w:val="none" w:sz="0" w:space="0" w:color="auto"/>
                    <w:bottom w:val="none" w:sz="0" w:space="0" w:color="auto"/>
                    <w:right w:val="none" w:sz="0" w:space="0" w:color="auto"/>
                  </w:divBdr>
                  <w:divsChild>
                    <w:div w:id="11784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13455">
      <w:bodyDiv w:val="1"/>
      <w:marLeft w:val="0"/>
      <w:marRight w:val="0"/>
      <w:marTop w:val="0"/>
      <w:marBottom w:val="0"/>
      <w:divBdr>
        <w:top w:val="none" w:sz="0" w:space="0" w:color="auto"/>
        <w:left w:val="none" w:sz="0" w:space="0" w:color="auto"/>
        <w:bottom w:val="none" w:sz="0" w:space="0" w:color="auto"/>
        <w:right w:val="none" w:sz="0" w:space="0" w:color="auto"/>
      </w:divBdr>
      <w:divsChild>
        <w:div w:id="2003459772">
          <w:marLeft w:val="0"/>
          <w:marRight w:val="0"/>
          <w:marTop w:val="0"/>
          <w:marBottom w:val="0"/>
          <w:divBdr>
            <w:top w:val="none" w:sz="0" w:space="0" w:color="auto"/>
            <w:left w:val="none" w:sz="0" w:space="0" w:color="auto"/>
            <w:bottom w:val="none" w:sz="0" w:space="0" w:color="auto"/>
            <w:right w:val="none" w:sz="0" w:space="0" w:color="auto"/>
          </w:divBdr>
          <w:divsChild>
            <w:div w:id="1412049202">
              <w:marLeft w:val="0"/>
              <w:marRight w:val="0"/>
              <w:marTop w:val="0"/>
              <w:marBottom w:val="0"/>
              <w:divBdr>
                <w:top w:val="none" w:sz="0" w:space="0" w:color="auto"/>
                <w:left w:val="none" w:sz="0" w:space="0" w:color="auto"/>
                <w:bottom w:val="none" w:sz="0" w:space="0" w:color="auto"/>
                <w:right w:val="none" w:sz="0" w:space="0" w:color="auto"/>
              </w:divBdr>
              <w:divsChild>
                <w:div w:id="943999947">
                  <w:marLeft w:val="0"/>
                  <w:marRight w:val="0"/>
                  <w:marTop w:val="0"/>
                  <w:marBottom w:val="0"/>
                  <w:divBdr>
                    <w:top w:val="none" w:sz="0" w:space="0" w:color="auto"/>
                    <w:left w:val="none" w:sz="0" w:space="0" w:color="auto"/>
                    <w:bottom w:val="none" w:sz="0" w:space="0" w:color="auto"/>
                    <w:right w:val="none" w:sz="0" w:space="0" w:color="auto"/>
                  </w:divBdr>
                  <w:divsChild>
                    <w:div w:id="17531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Pete.Hulson</dc:creator>
  <cp:keywords/>
  <dc:description/>
  <cp:lastModifiedBy>Julie Nielsen</cp:lastModifiedBy>
  <cp:revision>3</cp:revision>
  <dcterms:created xsi:type="dcterms:W3CDTF">2024-10-25T18:51:00Z</dcterms:created>
  <dcterms:modified xsi:type="dcterms:W3CDTF">2024-10-25T19:08:00Z</dcterms:modified>
</cp:coreProperties>
</file>