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Pete Hulson</w:t>
      </w:r>
      <w:r w:rsidR="000313FD" w:rsidRPr="00711F03">
        <w:rPr>
          <w:sz w:val="24"/>
          <w:szCs w:val="24"/>
        </w:rPr>
        <w:t>, Steve Barbeaux,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3E47C6E" w14:textId="475405F7" w:rsidR="000313FD" w:rsidRPr="00711F03" w:rsidRDefault="00425C97" w:rsidP="00FA33F6">
      <w:pPr>
        <w:jc w:val="left"/>
        <w:rPr>
          <w:sz w:val="24"/>
          <w:szCs w:val="24"/>
        </w:rPr>
      </w:pPr>
      <w:r>
        <w:rPr>
          <w:sz w:val="24"/>
          <w:szCs w:val="24"/>
        </w:rPr>
        <w:t>The</w:t>
      </w:r>
      <w:r w:rsidR="000313FD" w:rsidRPr="00711F03">
        <w:rPr>
          <w:sz w:val="24"/>
          <w:szCs w:val="24"/>
        </w:rPr>
        <w:t xml:space="preserve"> </w:t>
      </w:r>
      <w:r>
        <w:rPr>
          <w:sz w:val="24"/>
          <w:szCs w:val="24"/>
        </w:rPr>
        <w:t>explored</w:t>
      </w:r>
      <w:r w:rsidR="000313FD" w:rsidRPr="00711F03">
        <w:rPr>
          <w:sz w:val="24"/>
          <w:szCs w:val="24"/>
        </w:rPr>
        <w:t xml:space="preserve"> model </w:t>
      </w:r>
      <w:r w:rsidR="0060280C" w:rsidRPr="00711F03">
        <w:rPr>
          <w:sz w:val="24"/>
          <w:szCs w:val="24"/>
        </w:rPr>
        <w:t>alternatives</w:t>
      </w:r>
      <w:r>
        <w:rPr>
          <w:sz w:val="24"/>
          <w:szCs w:val="24"/>
        </w:rPr>
        <w:t xml:space="preserve"> for the 2024</w:t>
      </w:r>
      <w:r w:rsidR="000313FD" w:rsidRPr="00711F03">
        <w:rPr>
          <w:sz w:val="24"/>
          <w:szCs w:val="24"/>
        </w:rPr>
        <w:t xml:space="preserve"> assessment of Gulf of Alaska (GOA) Pacific cod</w:t>
      </w:r>
      <w:r>
        <w:rPr>
          <w:sz w:val="24"/>
          <w:szCs w:val="24"/>
        </w:rPr>
        <w:t xml:space="preserve"> involve changes to input data.</w:t>
      </w:r>
      <w:r w:rsidR="000313FD" w:rsidRPr="00711F03">
        <w:rPr>
          <w:sz w:val="24"/>
          <w:szCs w:val="24"/>
        </w:rPr>
        <w:t xml:space="preserve"> </w:t>
      </w:r>
      <w:r>
        <w:rPr>
          <w:sz w:val="24"/>
          <w:szCs w:val="24"/>
        </w:rPr>
        <w:t>T</w:t>
      </w:r>
      <w:r w:rsidR="00FA33F6">
        <w:rPr>
          <w:sz w:val="24"/>
          <w:szCs w:val="24"/>
        </w:rPr>
        <w:t>he</w:t>
      </w:r>
      <w:r>
        <w:rPr>
          <w:sz w:val="24"/>
          <w:szCs w:val="24"/>
        </w:rPr>
        <w:t xml:space="preserve"> changes</w:t>
      </w:r>
      <w:r w:rsidR="00FA33F6">
        <w:rPr>
          <w:sz w:val="24"/>
          <w:szCs w:val="24"/>
        </w:rPr>
        <w:t xml:space="preserve"> implemented in the model alternatives include correcting errors in data input files, improving model consistency with other</w:t>
      </w:r>
      <w:r w:rsidR="00D9256C">
        <w:rPr>
          <w:sz w:val="24"/>
          <w:szCs w:val="24"/>
        </w:rPr>
        <w:t xml:space="preserve"> AFSC</w:t>
      </w:r>
      <w:r w:rsidR="00FA33F6">
        <w:rPr>
          <w:sz w:val="24"/>
          <w:szCs w:val="24"/>
        </w:rPr>
        <w:t xml:space="preserve"> cod assessments, updating important data input parameters, simplifying fishery length composition expansion methods, and improving model efficiency.</w:t>
      </w:r>
    </w:p>
    <w:p w14:paraId="3FBC08E2" w14:textId="33FBF44C" w:rsidR="000313FD" w:rsidRDefault="00FA33F6" w:rsidP="00987064">
      <w:pPr>
        <w:jc w:val="left"/>
      </w:pPr>
      <w:r>
        <w:rPr>
          <w:sz w:val="24"/>
          <w:szCs w:val="24"/>
        </w:rPr>
        <w:t>Ultimately, the model</w:t>
      </w:r>
      <w:r w:rsidR="00CF63B7">
        <w:rPr>
          <w:sz w:val="24"/>
          <w:szCs w:val="24"/>
        </w:rPr>
        <w:t>s</w:t>
      </w:r>
      <w:r>
        <w:rPr>
          <w:sz w:val="24"/>
          <w:szCs w:val="24"/>
        </w:rPr>
        <w:t xml:space="preserve"> we recommend be presented for consideration at the November Groundfish Plan Team</w:t>
      </w:r>
      <w:r w:rsidR="000313FD" w:rsidRPr="00711F03">
        <w:rPr>
          <w:sz w:val="24"/>
          <w:szCs w:val="24"/>
        </w:rPr>
        <w:t xml:space="preserve"> result</w:t>
      </w:r>
      <w:r>
        <w:rPr>
          <w:sz w:val="24"/>
          <w:szCs w:val="24"/>
        </w:rPr>
        <w:t>s</w:t>
      </w:r>
      <w:r w:rsidR="000313FD" w:rsidRPr="00711F03">
        <w:rPr>
          <w:sz w:val="24"/>
          <w:szCs w:val="24"/>
        </w:rPr>
        <w:t xml:space="preserve"> in improvements as compared t</w:t>
      </w:r>
      <w:r>
        <w:rPr>
          <w:sz w:val="24"/>
          <w:szCs w:val="24"/>
        </w:rPr>
        <w:t>o the accepted model in 2023 (model 2019.1b</w:t>
      </w:r>
      <w:r w:rsidR="000313FD" w:rsidRPr="00711F03">
        <w:rPr>
          <w:sz w:val="24"/>
          <w:szCs w:val="24"/>
        </w:rPr>
        <w:t>)</w:t>
      </w:r>
      <w:r w:rsidR="0060280C">
        <w:t>.</w:t>
      </w:r>
    </w:p>
    <w:p w14:paraId="30E8813A" w14:textId="53A9552F" w:rsidR="000313FD" w:rsidRDefault="000313FD" w:rsidP="000313FD">
      <w:pPr>
        <w:pStyle w:val="Heading1"/>
        <w:pBdr>
          <w:top w:val="nil"/>
          <w:left w:val="nil"/>
          <w:bottom w:val="nil"/>
          <w:right w:val="nil"/>
          <w:between w:val="nil"/>
        </w:pBdr>
      </w:pPr>
      <w:r>
        <w:t>Data</w:t>
      </w:r>
    </w:p>
    <w:p w14:paraId="1546CAE7" w14:textId="3AD4B4D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afscdata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498947A9"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Ground</w:t>
      </w:r>
      <w:r w:rsidR="00D9256C">
        <w:rPr>
          <w:sz w:val="24"/>
          <w:szCs w:val="24"/>
        </w:rPr>
        <w:t>fish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ken for two primary reasons: (1) it did not seem like a reasonable use of assessment authors’ time to develop this code that would only be used for this single assessment cycle, and (2) because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would be done in the November SAFE document, in the following table we highlight the data that has been added since the last full assessment</w:t>
      </w:r>
      <w:r w:rsidR="00CF63B7">
        <w:rPr>
          <w:sz w:val="24"/>
          <w:szCs w:val="24"/>
        </w:rPr>
        <w:t xml:space="preserve"> and inclued in the model alternatives presented here</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lastRenderedPageBreak/>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r w:rsidR="00331328" w:rsidRPr="00711F03">
        <w:rPr>
          <w:sz w:val="24"/>
          <w:szCs w:val="24"/>
        </w:rPr>
        <w:t>Methot and Wetzell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r w:rsidR="00BE49E4">
        <w:rPr>
          <w:sz w:val="24"/>
          <w:szCs w:val="24"/>
        </w:rPr>
        <w:t xml:space="preserve">in the computation of the AFSC longline survey length composition, the lengths were inadvertently set to 1 cm larger. 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6DB95B2D" w:rsidR="00BE49E4" w:rsidRDefault="00BE49E4" w:rsidP="00C74AB8">
      <w:pPr>
        <w:pStyle w:val="ListParagraph"/>
        <w:numPr>
          <w:ilvl w:val="0"/>
          <w:numId w:val="46"/>
        </w:numPr>
        <w:jc w:val="left"/>
        <w:rPr>
          <w:sz w:val="24"/>
          <w:szCs w:val="24"/>
        </w:rPr>
      </w:pPr>
      <w:r>
        <w:rPr>
          <w:sz w:val="24"/>
          <w:szCs w:val="24"/>
        </w:rPr>
        <w:t>2019.1c.4: the fishery length composition input sample size has</w:t>
      </w:r>
      <w:r w:rsidR="00CF63B7">
        <w:rPr>
          <w:sz w:val="24"/>
          <w:szCs w:val="24"/>
        </w:rPr>
        <w:t xml:space="preserve"> hostorically</w:t>
      </w:r>
      <w:r>
        <w:rPr>
          <w:sz w:val="24"/>
          <w:szCs w:val="24"/>
        </w:rPr>
        <w:t xml:space="preserve"> been set at the number of hauls sampled, with a maximum of 200. However, in the computation of </w:t>
      </w:r>
      <w:r>
        <w:rPr>
          <w:sz w:val="24"/>
          <w:szCs w:val="24"/>
        </w:rPr>
        <w:lastRenderedPageBreak/>
        <w:t>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4BE5D534"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232E4575" w:rsidR="002A7C8F" w:rsidRPr="001A300F" w:rsidRDefault="008324EE" w:rsidP="008324EE">
      <w:pPr>
        <w:rPr>
          <w:sz w:val="24"/>
          <w:szCs w:val="24"/>
        </w:rPr>
      </w:pPr>
      <w:r w:rsidRPr="001A300F">
        <w:rPr>
          <w:sz w:val="24"/>
          <w:szCs w:val="24"/>
        </w:rPr>
        <w:t>Within the ba</w:t>
      </w:r>
      <w:r w:rsidR="00161770" w:rsidRPr="001A300F">
        <w:rPr>
          <w:sz w:val="24"/>
          <w:szCs w:val="24"/>
        </w:rPr>
        <w:t>se model 2019.1b ageing error i</w:t>
      </w:r>
      <w:r w:rsidRPr="001A300F">
        <w:rPr>
          <w:sz w:val="24"/>
          <w:szCs w:val="24"/>
        </w:rPr>
        <w:t xml:space="preserve">s applied using </w:t>
      </w:r>
      <w:r w:rsidR="00D9256C">
        <w:rPr>
          <w:sz w:val="24"/>
          <w:szCs w:val="24"/>
        </w:rPr>
        <w:t xml:space="preserve">paired </w:t>
      </w:r>
      <w:r w:rsidRPr="001A300F">
        <w:rPr>
          <w:sz w:val="24"/>
          <w:szCs w:val="24"/>
        </w:rPr>
        <w:t>r</w:t>
      </w:r>
      <w:r w:rsidR="00782B27" w:rsidRPr="001A300F">
        <w:rPr>
          <w:sz w:val="24"/>
          <w:szCs w:val="24"/>
        </w:rPr>
        <w:t xml:space="preserve">eader-tester data through 2017.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161770" w:rsidRPr="001A300F">
        <w:rPr>
          <w:sz w:val="24"/>
          <w:szCs w:val="24"/>
        </w:rPr>
        <w:t>2021.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available within both regions. Using the a linear ageing error method within the R-package AgeingError (</w:t>
      </w:r>
      <w:r w:rsidR="002A7C8F" w:rsidRPr="001A300F">
        <w:rPr>
          <w:sz w:val="24"/>
          <w:szCs w:val="24"/>
          <w:shd w:val="clear" w:color="auto" w:fill="FFFF00"/>
        </w:rPr>
        <w:t>Punt et al. 2008</w:t>
      </w:r>
      <w:r w:rsidR="002A7C8F" w:rsidRPr="001A300F">
        <w:rPr>
          <w:sz w:val="24"/>
          <w:szCs w:val="24"/>
        </w:rPr>
        <w:t>) we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F63B7">
        <w:rPr>
          <w:sz w:val="24"/>
          <w:szCs w:val="24"/>
        </w:rPr>
        <w:t xml:space="preserve"> We note, that besides updating the ageing error SD parameters, a difference in this approach with model 2019.1b is that ageing error starts at age-3, whereas in 2019.1d we start ageing error at age-1.</w:t>
      </w:r>
    </w:p>
    <w:p w14:paraId="714D76D9" w14:textId="463A641E" w:rsidR="00161770" w:rsidRPr="001A300F" w:rsidRDefault="00782B27" w:rsidP="008324EE">
      <w:pPr>
        <w:rPr>
          <w:sz w:val="24"/>
          <w:szCs w:val="24"/>
        </w:rPr>
      </w:pPr>
      <w:r w:rsidRPr="001A300F">
        <w:rPr>
          <w:sz w:val="24"/>
          <w:szCs w:val="24"/>
        </w:rPr>
        <w:t>Because bias was discovered in the age reading for cod prior to 2007 (</w:t>
      </w:r>
      <w:r w:rsidRPr="001A300F">
        <w:rPr>
          <w:sz w:val="24"/>
          <w:szCs w:val="24"/>
          <w:highlight w:val="yellow"/>
        </w:rPr>
        <w:t>Barbeaux ###</w:t>
      </w:r>
      <w:r w:rsidRPr="001A300F">
        <w:rPr>
          <w:sz w:val="24"/>
          <w:szCs w:val="24"/>
        </w:rPr>
        <w:t xml:space="preserve">) model 2019.1b estimates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AgeingError R-package we estimated the bias i</w:t>
      </w:r>
      <w:r w:rsidRPr="001A300F">
        <w:rPr>
          <w:sz w:val="24"/>
          <w:szCs w:val="24"/>
        </w:rPr>
        <w:t>n the pre-2007 data (Figure 1). In model 2019.1d, rather than estimate bias, we set the bias parameters based on the results from the AgeingError model fit</w:t>
      </w:r>
      <w:r w:rsidR="00260461">
        <w:rPr>
          <w:sz w:val="24"/>
          <w:szCs w:val="24"/>
        </w:rPr>
        <w:t xml:space="preserve"> to these re-read data</w:t>
      </w:r>
      <w:r w:rsidRPr="001A300F">
        <w:rPr>
          <w:sz w:val="24"/>
          <w:szCs w:val="24"/>
        </w:rPr>
        <w:t>, where the bias was 0.24 for age-1,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656BB1BF" w:rsidR="00782B27" w:rsidRPr="001A300F" w:rsidRDefault="00782B27" w:rsidP="00782B27">
      <w:pPr>
        <w:rPr>
          <w:sz w:val="24"/>
          <w:szCs w:val="24"/>
        </w:rPr>
      </w:pPr>
      <w:r w:rsidRPr="001A300F">
        <w:rPr>
          <w:sz w:val="24"/>
          <w:szCs w:val="24"/>
        </w:rPr>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 hauls have bee</w:t>
      </w:r>
      <w:r w:rsidR="002A30F5" w:rsidRPr="001A300F">
        <w:rPr>
          <w:sz w:val="24"/>
          <w:szCs w:val="24"/>
        </w:rPr>
        <w:t xml:space="preserve">n </w:t>
      </w:r>
      <w:r w:rsidR="002A30F5" w:rsidRPr="001A300F">
        <w:rPr>
          <w:sz w:val="24"/>
          <w:szCs w:val="24"/>
        </w:rPr>
        <w:lastRenderedPageBreak/>
        <w:t>removed that sampled less than</w:t>
      </w:r>
      <w:r w:rsidRPr="001A300F">
        <w:rPr>
          <w:sz w:val="24"/>
          <w:szCs w:val="24"/>
        </w:rPr>
        <w:t xml:space="preserve"> 10 fish for length frequency within the haul. 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58A9472B" w:rsidR="001A300F" w:rsidRDefault="001A300F" w:rsidP="00782B27">
      <w:pPr>
        <w:rPr>
          <w:sz w:val="24"/>
          <w:szCs w:val="24"/>
        </w:rPr>
      </w:pPr>
      <w:r w:rsidRPr="001A300F">
        <w:rPr>
          <w:sz w:val="24"/>
          <w:szCs w:val="24"/>
        </w:rPr>
        <w:t>Length frequencies are also collected within the fisheries managed by the Alaska Department of Fish and Game (ADF&amp;G) and have been integrated within the GOA cod assessment. The use of ADF&amp;G length frequency data occurs when there is federal data missing at a trimester-area-gear level</w:t>
      </w:r>
      <w:r w:rsidR="00430096">
        <w:rPr>
          <w:sz w:val="24"/>
          <w:szCs w:val="24"/>
        </w:rPr>
        <w:t>. It is important to note, that following this method if there is federal data within a trimester-area-gear the ADF&amp;G length frequency data is not used,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62D282F1"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assessment.</w:t>
      </w:r>
      <w:r w:rsidR="00260461">
        <w:rPr>
          <w:sz w:val="24"/>
          <w:szCs w:val="24"/>
        </w:rPr>
        <w:t xml:space="preserve"> In order to merge the ADF&amp;G data, we also transition the fishery length composition expansion from weighting by catch at the week-area-gear level to weighting by catch at the trimester-area-gear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482CF189" w14:textId="784AD24F"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xml:space="preserve">. The first additional model, 2019.1e.2cm evaluates using 2 cm bins, and the second, 2019.1e.5cm, evaluates using 5 cm bins. Using recent bottom trawl survey length compositions as an example, increasing the bin size serves to smooth the length composition while retaining important signal within the data (Figure 3). </w:t>
      </w: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782F2AE7"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average percent difference in estimates of spawning biomass that was greater than 1%: </w:t>
      </w:r>
      <w:r w:rsidR="00425C84" w:rsidRPr="00425C84">
        <w:rPr>
          <w:sz w:val="24"/>
          <w:szCs w:val="24"/>
        </w:rPr>
        <w:t xml:space="preserve">2019.1c.2 in which the length bin was corrected for the longline survey length composition,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A558BD">
        <w:rPr>
          <w:sz w:val="24"/>
          <w:szCs w:val="24"/>
        </w:rPr>
        <w:t>.</w:t>
      </w:r>
    </w:p>
    <w:p w14:paraId="70B11A48" w14:textId="033F2531" w:rsidR="00846C32" w:rsidRPr="00711F03" w:rsidRDefault="00846C32" w:rsidP="00846C32">
      <w:pPr>
        <w:pStyle w:val="Heading2"/>
        <w:rPr>
          <w:sz w:val="24"/>
          <w:szCs w:val="24"/>
        </w:rPr>
      </w:pPr>
      <w:r w:rsidRPr="00711F03">
        <w:rPr>
          <w:sz w:val="24"/>
          <w:szCs w:val="24"/>
        </w:rPr>
        <w:lastRenderedPageBreak/>
        <w:t>Model 2019.1</w:t>
      </w:r>
      <w:r w:rsidR="00D76419">
        <w:rPr>
          <w:sz w:val="24"/>
          <w:szCs w:val="24"/>
        </w:rPr>
        <w:t>d – updating ageing error</w:t>
      </w:r>
    </w:p>
    <w:p w14:paraId="3D61020D" w14:textId="3BF20F81"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 indicating that updating ageing error and bias parameters improved model fit. The largest decrease in negative log-likelihood occurred for the conditional age-at-length data component, although, there was a decrease in the negative log-likelihood for each data component of the model.</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7C40CE21"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(as illustrated by the aggregated fit in Figure 7) improved for the longline and pot fishery compared to model 2019.1d, but slightly degraded for the trawl fishery.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particularly the longline survey (Table 5). Visually, the fit to the bottom trawl survey is similar between models 2019.1d and 2019.1e (top panel Figure 8). The fit to the longline survey results in the largest differences between 2019.1d and 2019.1e in the mid-2000s (bottom panel Figure 8), although, the fit since 2010 has been similar between these two models.</w:t>
      </w:r>
    </w:p>
    <w:p w14:paraId="27116F17" w14:textId="5B326CAB" w:rsidR="00EF4F30" w:rsidRDefault="00EF4F30" w:rsidP="00B24CE1">
      <w:pPr>
        <w:jc w:val="left"/>
        <w:rPr>
          <w:sz w:val="24"/>
          <w:szCs w:val="24"/>
        </w:rPr>
      </w:pPr>
      <w:r>
        <w:rPr>
          <w:sz w:val="24"/>
          <w:szCs w:val="24"/>
        </w:rPr>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t>Recommended model 2019.1e.5cm/2024.0</w:t>
      </w:r>
    </w:p>
    <w:p w14:paraId="0F45698D" w14:textId="155738C9" w:rsidR="00990418" w:rsidRPr="00711F03" w:rsidRDefault="00EA59C3" w:rsidP="00B24CE1">
      <w:pPr>
        <w:jc w:val="left"/>
        <w:rPr>
          <w:sz w:val="24"/>
          <w:szCs w:val="24"/>
        </w:rPr>
      </w:pPr>
      <w:r>
        <w:rPr>
          <w:sz w:val="24"/>
          <w:szCs w:val="24"/>
        </w:rPr>
        <w:t xml:space="preserve">We recommend that model 219.1e.5cm be pursued for consideration at the November Plan Team meeting as an alternative model to the accepted model 2019.1b. This model represents a number of improvements to the 2023 assessment model that include </w:t>
      </w:r>
      <w:r>
        <w:rPr>
          <w:sz w:val="24"/>
          <w:szCs w:val="24"/>
        </w:rPr>
        <w:t>correcting errors in data input files, improving model consistency with other AFSC cod assessments, updating important data input parameters, simplifying fishery length composition expansion methods, and improving model efficiency</w:t>
      </w:r>
      <w:r>
        <w:rPr>
          <w:sz w:val="24"/>
          <w:szCs w:val="24"/>
        </w:rPr>
        <w:t xml:space="preserve"> through extending the bins for length composition data</w:t>
      </w:r>
      <w:r>
        <w:rPr>
          <w:sz w:val="24"/>
          <w:szCs w:val="24"/>
        </w:rPr>
        <w:t>.</w:t>
      </w:r>
      <w:r>
        <w:rPr>
          <w:sz w:val="24"/>
          <w:szCs w:val="24"/>
        </w:rPr>
        <w:t xml:space="preserve"> Ultimately the model estimates a shift in spawning biomass to smaller values (Figure 10), however,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fishery length composition was expanded. Because of these changes in parameter estimates and the number of improvements made to the input data sources for the model, we recommend consideration of a model renumbering to 2024.0 for this model.</w:t>
      </w:r>
      <w:bookmarkStart w:id="0" w:name="_GoBack"/>
      <w:bookmarkEnd w:id="0"/>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77777777" w:rsidR="0002571A" w:rsidRPr="00711F03" w:rsidRDefault="0002571A" w:rsidP="0002571A">
      <w:pPr>
        <w:ind w:left="720" w:hanging="720"/>
        <w:jc w:val="left"/>
        <w:rPr>
          <w:sz w:val="24"/>
          <w:szCs w:val="24"/>
        </w:rPr>
      </w:pPr>
      <w:r w:rsidRPr="00711F03">
        <w:rPr>
          <w:sz w:val="24"/>
          <w:szCs w:val="24"/>
        </w:rPr>
        <w:t xml:space="preserve">Barbeaux. S. J., K. Aydin, B. Fissel, K. Holsman, W. Palsson, K. Shotwell, Q. Yang, and S. Zador. 2017. Assessment of the Pacific cod stock in the Gulf of Alaska. </w:t>
      </w:r>
      <w:r w:rsidRPr="00711F03">
        <w:rPr>
          <w:i/>
          <w:iCs/>
          <w:sz w:val="24"/>
          <w:szCs w:val="24"/>
        </w:rPr>
        <w:t>In</w:t>
      </w:r>
      <w:r w:rsidRPr="00711F03">
        <w:rPr>
          <w:sz w:val="24"/>
          <w:szCs w:val="24"/>
        </w:rPr>
        <w:t xml:space="preserve"> Stock </w:t>
      </w:r>
      <w:r w:rsidRPr="00711F03">
        <w:rPr>
          <w:sz w:val="24"/>
          <w:szCs w:val="24"/>
        </w:rPr>
        <w:lastRenderedPageBreak/>
        <w:t>assessment and fishery evaluation report for the groundfish resources of the Gulf of Alaska. North Pacific Fishery Management Council, 605 W. 4th Avenue Suite 306, Anchorage, AK 99501</w:t>
      </w:r>
    </w:p>
    <w:p w14:paraId="1248E169" w14:textId="79C66CC8" w:rsidR="0039259B" w:rsidRPr="00711F03" w:rsidRDefault="0039259B" w:rsidP="0002571A">
      <w:pPr>
        <w:ind w:left="720" w:hanging="720"/>
        <w:jc w:val="left"/>
        <w:rPr>
          <w:sz w:val="24"/>
          <w:szCs w:val="24"/>
        </w:rPr>
      </w:pPr>
      <w:r w:rsidRPr="00711F03">
        <w:rPr>
          <w:sz w:val="24"/>
          <w:szCs w:val="24"/>
        </w:rPr>
        <w:t>Burnham, K.P. and Anderson, D.R. (2002) Model Selection and Inference: A Practical Information-Theoretic Approach. 2nd Edition, Springer-Verlag, New York.</w:t>
      </w:r>
    </w:p>
    <w:p w14:paraId="612FE1A8" w14:textId="16BD8B89" w:rsidR="0039259B" w:rsidRPr="00711F03" w:rsidRDefault="0039259B" w:rsidP="0002571A">
      <w:pPr>
        <w:ind w:left="720" w:hanging="720"/>
        <w:jc w:val="left"/>
        <w:rPr>
          <w:sz w:val="24"/>
          <w:szCs w:val="24"/>
        </w:rPr>
      </w:pPr>
      <w:r w:rsidRPr="00711F03">
        <w:rPr>
          <w:sz w:val="24"/>
          <w:szCs w:val="24"/>
        </w:rPr>
        <w:t>Methot, R. D., and C. R. Wetzell. 2013. Stock synthesis: A biological and statistical framework for fish stock assessment and fishery management. Fish. Rsch. 142:86-99.</w:t>
      </w:r>
    </w:p>
    <w:p w14:paraId="2F9071C0" w14:textId="28E53ED7" w:rsidR="0039259B" w:rsidRPr="00711F03" w:rsidRDefault="0039259B" w:rsidP="0002571A">
      <w:pPr>
        <w:ind w:left="720" w:hanging="720"/>
        <w:jc w:val="left"/>
        <w:rPr>
          <w:sz w:val="24"/>
          <w:szCs w:val="24"/>
        </w:rPr>
      </w:pPr>
      <w:r w:rsidRPr="00711F03">
        <w:rPr>
          <w:sz w:val="24"/>
          <w:szCs w:val="24"/>
        </w:rPr>
        <w:t>Saha, S., J. M. Solé, R. Arasa, M. Picanyol, </w:t>
      </w:r>
      <w:hyperlink r:id="rId9" w:tgtFrame="_blank" w:history="1">
        <w:r w:rsidRPr="00711F03">
          <w:rPr>
            <w:sz w:val="24"/>
            <w:szCs w:val="24"/>
          </w:rPr>
          <w:t>M. Á. González</w:t>
        </w:r>
      </w:hyperlink>
      <w:r w:rsidRPr="00711F03">
        <w:rPr>
          <w:sz w:val="24"/>
          <w:szCs w:val="24"/>
        </w:rPr>
        <w:t>, </w:t>
      </w:r>
      <w:hyperlink r:id="rId10" w:tgtFrame="_blank" w:history="1">
        <w:r w:rsidRPr="00711F03">
          <w:rPr>
            <w:sz w:val="24"/>
            <w:szCs w:val="24"/>
          </w:rPr>
          <w:t>A. Domingo-Dalmau</w:t>
        </w:r>
      </w:hyperlink>
      <w:r w:rsidRPr="00711F03">
        <w:rPr>
          <w:sz w:val="24"/>
          <w:szCs w:val="24"/>
        </w:rPr>
        <w:t>, </w:t>
      </w:r>
      <w:hyperlink r:id="rId11" w:tgtFrame="_blank" w:history="1">
        <w:r w:rsidRPr="00711F03">
          <w:rPr>
            <w:sz w:val="24"/>
            <w:szCs w:val="24"/>
          </w:rPr>
          <w:t>M. Masdeu</w:t>
        </w:r>
      </w:hyperlink>
      <w:r w:rsidRPr="00711F03">
        <w:rPr>
          <w:sz w:val="24"/>
          <w:szCs w:val="24"/>
        </w:rPr>
        <w:t>, </w:t>
      </w:r>
      <w:hyperlink r:id="rId12" w:tgtFrame="_blank" w:history="1">
        <w:r w:rsidRPr="00711F03">
          <w:rPr>
            <w:sz w:val="24"/>
            <w:szCs w:val="24"/>
          </w:rPr>
          <w:t>I. Porras</w:t>
        </w:r>
      </w:hyperlink>
      <w:r w:rsidRPr="00711F03">
        <w:rPr>
          <w:sz w:val="24"/>
          <w:szCs w:val="24"/>
        </w:rPr>
        <w:t>, and </w:t>
      </w:r>
      <w:hyperlink r:id="rId13" w:tgtFrame="_blank" w:history="1">
        <w:r w:rsidRPr="00711F03">
          <w:rPr>
            <w:sz w:val="24"/>
            <w:szCs w:val="24"/>
          </w:rPr>
          <w:t>B. Codina</w:t>
        </w:r>
      </w:hyperlink>
      <w:r w:rsidRPr="00711F03">
        <w:rPr>
          <w:sz w:val="24"/>
          <w:szCs w:val="24"/>
        </w:rPr>
        <w:t xml:space="preserve">. 2010. The NCEP Climate Forecast System Reanalysis. Bulletin of American Meteorological Society, 91, 1015-1057. </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1347F4">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1347F4">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1347F4">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1347F4">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r w:rsidRPr="00F50CC2">
              <w:rPr>
                <w:color w:val="000000"/>
                <w:sz w:val="24"/>
                <w:szCs w:val="24"/>
              </w:rPr>
              <w:t>Srv</w:t>
            </w:r>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1347F4">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r w:rsidRPr="00F50CC2">
              <w:rPr>
                <w:color w:val="000000"/>
                <w:sz w:val="24"/>
                <w:szCs w:val="24"/>
              </w:rPr>
              <w:t>LLSrv</w:t>
            </w:r>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1347F4">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1347F4">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1347F4">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1347F4">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r w:rsidRPr="00F50CC2">
              <w:rPr>
                <w:color w:val="000000"/>
                <w:sz w:val="24"/>
                <w:szCs w:val="24"/>
              </w:rPr>
              <w:t>InitEQ_Regime</w:t>
            </w:r>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1347F4">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r w:rsidRPr="00F50CC2">
              <w:rPr>
                <w:color w:val="000000"/>
                <w:sz w:val="24"/>
                <w:szCs w:val="24"/>
              </w:rPr>
              <w:t>Forecast_Recruitment</w:t>
            </w:r>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1347F4">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r w:rsidRPr="00F50CC2">
              <w:rPr>
                <w:color w:val="000000"/>
                <w:sz w:val="24"/>
                <w:szCs w:val="24"/>
              </w:rPr>
              <w:t>Parm_priors</w:t>
            </w:r>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1347F4">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r w:rsidRPr="00F50CC2">
              <w:rPr>
                <w:color w:val="000000"/>
                <w:sz w:val="24"/>
                <w:szCs w:val="24"/>
              </w:rPr>
              <w:t>Parm_softbounds</w:t>
            </w:r>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1347F4">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r w:rsidRPr="00F50CC2">
              <w:rPr>
                <w:color w:val="000000"/>
                <w:sz w:val="24"/>
                <w:szCs w:val="24"/>
              </w:rPr>
              <w:t>Parm_devs</w:t>
            </w:r>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D443C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D443CC" w:rsidRPr="00D443CC" w:rsidRDefault="00D443CC" w:rsidP="00D443C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77777777" w:rsidR="00D443CC" w:rsidRPr="00D443CC" w:rsidRDefault="00D443CC" w:rsidP="00D443CC">
            <w:pPr>
              <w:spacing w:after="0"/>
              <w:jc w:val="center"/>
              <w:rPr>
                <w:color w:val="000000"/>
                <w:sz w:val="24"/>
                <w:szCs w:val="24"/>
              </w:rPr>
            </w:pPr>
            <w:r w:rsidRPr="00D443C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77777777" w:rsidR="00D443CC" w:rsidRPr="00D443CC" w:rsidRDefault="00D443CC" w:rsidP="00D443CC">
            <w:pPr>
              <w:spacing w:after="0"/>
              <w:jc w:val="center"/>
              <w:rPr>
                <w:color w:val="000000"/>
                <w:sz w:val="24"/>
                <w:szCs w:val="24"/>
              </w:rPr>
            </w:pPr>
            <w:r w:rsidRPr="00D443CC">
              <w:rPr>
                <w:color w:val="000000"/>
                <w:sz w:val="24"/>
                <w:szCs w:val="24"/>
              </w:rPr>
              <w:t>2693.24</w:t>
            </w:r>
          </w:p>
        </w:tc>
        <w:tc>
          <w:tcPr>
            <w:tcW w:w="1680" w:type="dxa"/>
            <w:tcBorders>
              <w:top w:val="nil"/>
              <w:left w:val="nil"/>
              <w:bottom w:val="nil"/>
              <w:right w:val="nil"/>
            </w:tcBorders>
            <w:shd w:val="clear" w:color="auto" w:fill="auto"/>
            <w:noWrap/>
            <w:vAlign w:val="center"/>
            <w:hideMark/>
          </w:tcPr>
          <w:p w14:paraId="3E8A44AF" w14:textId="77777777" w:rsidR="00D443CC" w:rsidRPr="00D443CC" w:rsidRDefault="00D443CC" w:rsidP="00D443CC">
            <w:pPr>
              <w:spacing w:after="0"/>
              <w:jc w:val="center"/>
              <w:rPr>
                <w:color w:val="000000"/>
                <w:sz w:val="24"/>
                <w:szCs w:val="24"/>
              </w:rPr>
            </w:pPr>
            <w:r w:rsidRPr="00D443CC">
              <w:rPr>
                <w:color w:val="000000"/>
                <w:sz w:val="24"/>
                <w:szCs w:val="24"/>
              </w:rPr>
              <w:t>2328.98</w:t>
            </w:r>
          </w:p>
        </w:tc>
        <w:tc>
          <w:tcPr>
            <w:tcW w:w="1680" w:type="dxa"/>
            <w:tcBorders>
              <w:top w:val="nil"/>
              <w:left w:val="nil"/>
              <w:bottom w:val="nil"/>
              <w:right w:val="nil"/>
            </w:tcBorders>
            <w:shd w:val="clear" w:color="auto" w:fill="auto"/>
            <w:noWrap/>
            <w:vAlign w:val="center"/>
            <w:hideMark/>
          </w:tcPr>
          <w:p w14:paraId="5979B5BB" w14:textId="77777777" w:rsidR="00D443CC" w:rsidRPr="00D443CC" w:rsidRDefault="00D443CC" w:rsidP="00D443CC">
            <w:pPr>
              <w:spacing w:after="0"/>
              <w:jc w:val="center"/>
              <w:rPr>
                <w:color w:val="000000"/>
                <w:sz w:val="24"/>
                <w:szCs w:val="24"/>
              </w:rPr>
            </w:pPr>
            <w:r w:rsidRPr="00D443CC">
              <w:rPr>
                <w:color w:val="000000"/>
                <w:sz w:val="24"/>
                <w:szCs w:val="24"/>
              </w:rPr>
              <w:t>1967.19</w:t>
            </w:r>
          </w:p>
        </w:tc>
      </w:tr>
      <w:tr w:rsidR="00D443C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D443CC" w:rsidRPr="00D443CC" w:rsidRDefault="00D443CC" w:rsidP="00D443C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77777777" w:rsidR="00D443CC" w:rsidRPr="00D443CC" w:rsidRDefault="00D443CC" w:rsidP="00D443CC">
            <w:pPr>
              <w:spacing w:after="0"/>
              <w:jc w:val="center"/>
              <w:rPr>
                <w:color w:val="000000"/>
                <w:sz w:val="24"/>
                <w:szCs w:val="24"/>
              </w:rPr>
            </w:pPr>
            <w:r w:rsidRPr="00D443C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77777777" w:rsidR="00D443CC" w:rsidRPr="00D443CC" w:rsidRDefault="00D443CC" w:rsidP="00D443CC">
            <w:pPr>
              <w:spacing w:after="0"/>
              <w:jc w:val="center"/>
              <w:rPr>
                <w:color w:val="000000"/>
                <w:sz w:val="24"/>
                <w:szCs w:val="24"/>
              </w:rPr>
            </w:pPr>
            <w:r w:rsidRPr="00D443CC">
              <w:rPr>
                <w:color w:val="000000"/>
                <w:sz w:val="24"/>
                <w:szCs w:val="24"/>
              </w:rPr>
              <w:t>1.67E-12</w:t>
            </w:r>
          </w:p>
        </w:tc>
        <w:tc>
          <w:tcPr>
            <w:tcW w:w="1680" w:type="dxa"/>
            <w:tcBorders>
              <w:top w:val="nil"/>
              <w:left w:val="nil"/>
              <w:bottom w:val="nil"/>
              <w:right w:val="nil"/>
            </w:tcBorders>
            <w:shd w:val="clear" w:color="auto" w:fill="auto"/>
            <w:noWrap/>
            <w:vAlign w:val="center"/>
            <w:hideMark/>
          </w:tcPr>
          <w:p w14:paraId="5751BC37" w14:textId="77777777" w:rsidR="00D443CC" w:rsidRPr="00D443CC" w:rsidRDefault="00D443CC" w:rsidP="00D443CC">
            <w:pPr>
              <w:spacing w:after="0"/>
              <w:jc w:val="center"/>
              <w:rPr>
                <w:color w:val="000000"/>
                <w:sz w:val="24"/>
                <w:szCs w:val="24"/>
              </w:rPr>
            </w:pPr>
            <w:r w:rsidRPr="00D443CC">
              <w:rPr>
                <w:color w:val="000000"/>
                <w:sz w:val="24"/>
                <w:szCs w:val="24"/>
              </w:rPr>
              <w:t>1.40E-12</w:t>
            </w:r>
          </w:p>
        </w:tc>
        <w:tc>
          <w:tcPr>
            <w:tcW w:w="1680" w:type="dxa"/>
            <w:tcBorders>
              <w:top w:val="nil"/>
              <w:left w:val="nil"/>
              <w:bottom w:val="nil"/>
              <w:right w:val="nil"/>
            </w:tcBorders>
            <w:shd w:val="clear" w:color="auto" w:fill="auto"/>
            <w:noWrap/>
            <w:vAlign w:val="center"/>
            <w:hideMark/>
          </w:tcPr>
          <w:p w14:paraId="75AE7D24" w14:textId="77777777" w:rsidR="00D443CC" w:rsidRPr="00D443CC" w:rsidRDefault="00D443CC" w:rsidP="00D443CC">
            <w:pPr>
              <w:spacing w:after="0"/>
              <w:jc w:val="center"/>
              <w:rPr>
                <w:color w:val="000000"/>
                <w:sz w:val="24"/>
                <w:szCs w:val="24"/>
              </w:rPr>
            </w:pPr>
            <w:r w:rsidRPr="00D443CC">
              <w:rPr>
                <w:color w:val="000000"/>
                <w:sz w:val="24"/>
                <w:szCs w:val="24"/>
              </w:rPr>
              <w:t>1.35E-12</w:t>
            </w:r>
          </w:p>
        </w:tc>
      </w:tr>
      <w:tr w:rsidR="00D443C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D443CC" w:rsidRPr="00D443CC" w:rsidRDefault="00D443CC" w:rsidP="00D443C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77777777" w:rsidR="00D443CC" w:rsidRPr="00D443CC" w:rsidRDefault="00D443CC" w:rsidP="00D443CC">
            <w:pPr>
              <w:spacing w:after="0"/>
              <w:jc w:val="center"/>
              <w:rPr>
                <w:color w:val="000000"/>
                <w:sz w:val="24"/>
                <w:szCs w:val="24"/>
              </w:rPr>
            </w:pPr>
            <w:r w:rsidRPr="00D443C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7777777" w:rsidR="00D443CC" w:rsidRPr="00D443CC" w:rsidRDefault="00D443CC" w:rsidP="00D443CC">
            <w:pPr>
              <w:spacing w:after="0"/>
              <w:jc w:val="center"/>
              <w:rPr>
                <w:color w:val="000000"/>
                <w:sz w:val="24"/>
                <w:szCs w:val="24"/>
              </w:rPr>
            </w:pPr>
            <w:r w:rsidRPr="00D443CC">
              <w:rPr>
                <w:color w:val="000000"/>
                <w:sz w:val="24"/>
                <w:szCs w:val="24"/>
              </w:rPr>
              <w:t>3.81</w:t>
            </w:r>
          </w:p>
        </w:tc>
        <w:tc>
          <w:tcPr>
            <w:tcW w:w="1680" w:type="dxa"/>
            <w:tcBorders>
              <w:top w:val="nil"/>
              <w:left w:val="nil"/>
              <w:bottom w:val="nil"/>
              <w:right w:val="nil"/>
            </w:tcBorders>
            <w:shd w:val="clear" w:color="auto" w:fill="auto"/>
            <w:noWrap/>
            <w:vAlign w:val="center"/>
            <w:hideMark/>
          </w:tcPr>
          <w:p w14:paraId="22DCECCC" w14:textId="77777777" w:rsidR="00D443CC" w:rsidRPr="00D443CC" w:rsidRDefault="00D443CC" w:rsidP="00D443CC">
            <w:pPr>
              <w:spacing w:after="0"/>
              <w:jc w:val="center"/>
              <w:rPr>
                <w:color w:val="000000"/>
                <w:sz w:val="24"/>
                <w:szCs w:val="24"/>
              </w:rPr>
            </w:pPr>
            <w:r w:rsidRPr="00D443CC">
              <w:rPr>
                <w:color w:val="000000"/>
                <w:sz w:val="24"/>
                <w:szCs w:val="24"/>
              </w:rPr>
              <w:t>4.68</w:t>
            </w:r>
          </w:p>
        </w:tc>
        <w:tc>
          <w:tcPr>
            <w:tcW w:w="1680" w:type="dxa"/>
            <w:tcBorders>
              <w:top w:val="nil"/>
              <w:left w:val="nil"/>
              <w:bottom w:val="nil"/>
              <w:right w:val="nil"/>
            </w:tcBorders>
            <w:shd w:val="clear" w:color="auto" w:fill="auto"/>
            <w:noWrap/>
            <w:vAlign w:val="center"/>
            <w:hideMark/>
          </w:tcPr>
          <w:p w14:paraId="10751BF7" w14:textId="77777777" w:rsidR="00D443CC" w:rsidRPr="00D443CC" w:rsidRDefault="00D443CC" w:rsidP="00D443CC">
            <w:pPr>
              <w:spacing w:after="0"/>
              <w:jc w:val="center"/>
              <w:rPr>
                <w:color w:val="000000"/>
                <w:sz w:val="24"/>
                <w:szCs w:val="24"/>
              </w:rPr>
            </w:pPr>
            <w:r w:rsidRPr="00D443CC">
              <w:rPr>
                <w:color w:val="000000"/>
                <w:sz w:val="24"/>
                <w:szCs w:val="24"/>
              </w:rPr>
              <w:t>5.64</w:t>
            </w:r>
          </w:p>
        </w:tc>
      </w:tr>
      <w:tr w:rsidR="00D443C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D443CC" w:rsidRPr="00D443CC" w:rsidRDefault="00D443CC" w:rsidP="00D443CC">
            <w:pPr>
              <w:spacing w:after="0"/>
              <w:jc w:val="right"/>
              <w:rPr>
                <w:color w:val="000000"/>
                <w:sz w:val="24"/>
                <w:szCs w:val="24"/>
              </w:rPr>
            </w:pPr>
            <w:r w:rsidRPr="00D443CC">
              <w:rPr>
                <w:color w:val="000000"/>
                <w:sz w:val="24"/>
                <w:szCs w:val="24"/>
              </w:rPr>
              <w:t>Srv</w:t>
            </w:r>
          </w:p>
        </w:tc>
        <w:tc>
          <w:tcPr>
            <w:tcW w:w="1431" w:type="dxa"/>
            <w:tcBorders>
              <w:top w:val="nil"/>
              <w:left w:val="nil"/>
              <w:bottom w:val="nil"/>
              <w:right w:val="nil"/>
            </w:tcBorders>
            <w:shd w:val="clear" w:color="auto" w:fill="auto"/>
            <w:noWrap/>
            <w:vAlign w:val="center"/>
            <w:hideMark/>
          </w:tcPr>
          <w:p w14:paraId="7143BAFA" w14:textId="77777777" w:rsidR="00D443CC" w:rsidRPr="00D443CC" w:rsidRDefault="00D443CC" w:rsidP="00D443CC">
            <w:pPr>
              <w:spacing w:after="0"/>
              <w:jc w:val="center"/>
              <w:rPr>
                <w:color w:val="000000"/>
                <w:sz w:val="24"/>
                <w:szCs w:val="24"/>
              </w:rPr>
            </w:pPr>
            <w:r w:rsidRPr="00D443C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77777777" w:rsidR="00D443CC" w:rsidRPr="00D443CC" w:rsidRDefault="00D443CC" w:rsidP="00D443CC">
            <w:pPr>
              <w:spacing w:after="0"/>
              <w:jc w:val="center"/>
              <w:rPr>
                <w:color w:val="000000"/>
                <w:sz w:val="24"/>
                <w:szCs w:val="24"/>
              </w:rPr>
            </w:pPr>
            <w:r w:rsidRPr="00D443CC">
              <w:rPr>
                <w:color w:val="000000"/>
                <w:sz w:val="24"/>
                <w:szCs w:val="24"/>
              </w:rPr>
              <w:t>-5.25</w:t>
            </w:r>
          </w:p>
        </w:tc>
        <w:tc>
          <w:tcPr>
            <w:tcW w:w="1680" w:type="dxa"/>
            <w:tcBorders>
              <w:top w:val="nil"/>
              <w:left w:val="nil"/>
              <w:bottom w:val="nil"/>
              <w:right w:val="nil"/>
            </w:tcBorders>
            <w:shd w:val="clear" w:color="auto" w:fill="auto"/>
            <w:noWrap/>
            <w:vAlign w:val="center"/>
            <w:hideMark/>
          </w:tcPr>
          <w:p w14:paraId="2BAEFDD5" w14:textId="77777777" w:rsidR="00D443CC" w:rsidRPr="00D443CC" w:rsidRDefault="00D443CC" w:rsidP="00D443CC">
            <w:pPr>
              <w:spacing w:after="0"/>
              <w:jc w:val="center"/>
              <w:rPr>
                <w:color w:val="000000"/>
                <w:sz w:val="24"/>
                <w:szCs w:val="24"/>
              </w:rPr>
            </w:pPr>
            <w:r w:rsidRPr="00D443CC">
              <w:rPr>
                <w:color w:val="000000"/>
                <w:sz w:val="24"/>
                <w:szCs w:val="24"/>
              </w:rPr>
              <w:t>-5.14</w:t>
            </w:r>
          </w:p>
        </w:tc>
        <w:tc>
          <w:tcPr>
            <w:tcW w:w="1680" w:type="dxa"/>
            <w:tcBorders>
              <w:top w:val="nil"/>
              <w:left w:val="nil"/>
              <w:bottom w:val="nil"/>
              <w:right w:val="nil"/>
            </w:tcBorders>
            <w:shd w:val="clear" w:color="auto" w:fill="auto"/>
            <w:noWrap/>
            <w:vAlign w:val="center"/>
            <w:hideMark/>
          </w:tcPr>
          <w:p w14:paraId="734C9676" w14:textId="77777777" w:rsidR="00D443CC" w:rsidRPr="00D443CC" w:rsidRDefault="00D443CC" w:rsidP="00D443CC">
            <w:pPr>
              <w:spacing w:after="0"/>
              <w:jc w:val="center"/>
              <w:rPr>
                <w:color w:val="000000"/>
                <w:sz w:val="24"/>
                <w:szCs w:val="24"/>
              </w:rPr>
            </w:pPr>
            <w:r w:rsidRPr="00D443CC">
              <w:rPr>
                <w:color w:val="000000"/>
                <w:sz w:val="24"/>
                <w:szCs w:val="24"/>
              </w:rPr>
              <w:t>-5.22</w:t>
            </w:r>
          </w:p>
        </w:tc>
      </w:tr>
      <w:tr w:rsidR="00D443C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D443CC" w:rsidRPr="00D443CC" w:rsidRDefault="00D443CC" w:rsidP="00D443CC">
            <w:pPr>
              <w:spacing w:after="0"/>
              <w:jc w:val="right"/>
              <w:rPr>
                <w:color w:val="000000"/>
                <w:sz w:val="24"/>
                <w:szCs w:val="24"/>
              </w:rPr>
            </w:pPr>
            <w:r w:rsidRPr="00D443CC">
              <w:rPr>
                <w:color w:val="000000"/>
                <w:sz w:val="24"/>
                <w:szCs w:val="24"/>
              </w:rPr>
              <w:t>LLSrv</w:t>
            </w:r>
          </w:p>
        </w:tc>
        <w:tc>
          <w:tcPr>
            <w:tcW w:w="1431" w:type="dxa"/>
            <w:tcBorders>
              <w:top w:val="nil"/>
              <w:left w:val="nil"/>
              <w:bottom w:val="nil"/>
              <w:right w:val="nil"/>
            </w:tcBorders>
            <w:shd w:val="clear" w:color="auto" w:fill="auto"/>
            <w:noWrap/>
            <w:vAlign w:val="center"/>
            <w:hideMark/>
          </w:tcPr>
          <w:p w14:paraId="2173F24A" w14:textId="77777777" w:rsidR="00D443CC" w:rsidRPr="00D443CC" w:rsidRDefault="00D443CC" w:rsidP="00D443CC">
            <w:pPr>
              <w:spacing w:after="0"/>
              <w:jc w:val="center"/>
              <w:rPr>
                <w:color w:val="000000"/>
                <w:sz w:val="24"/>
                <w:szCs w:val="24"/>
              </w:rPr>
            </w:pPr>
            <w:r w:rsidRPr="00D443C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77777777" w:rsidR="00D443CC" w:rsidRPr="00D443CC" w:rsidRDefault="00D443CC" w:rsidP="00D443CC">
            <w:pPr>
              <w:spacing w:after="0"/>
              <w:jc w:val="center"/>
              <w:rPr>
                <w:color w:val="000000"/>
                <w:sz w:val="24"/>
                <w:szCs w:val="24"/>
              </w:rPr>
            </w:pPr>
            <w:r w:rsidRPr="00D443CC">
              <w:rPr>
                <w:color w:val="000000"/>
                <w:sz w:val="24"/>
                <w:szCs w:val="24"/>
              </w:rPr>
              <w:t>9.06</w:t>
            </w:r>
          </w:p>
        </w:tc>
        <w:tc>
          <w:tcPr>
            <w:tcW w:w="1680" w:type="dxa"/>
            <w:tcBorders>
              <w:top w:val="nil"/>
              <w:left w:val="nil"/>
              <w:bottom w:val="nil"/>
              <w:right w:val="nil"/>
            </w:tcBorders>
            <w:shd w:val="clear" w:color="auto" w:fill="auto"/>
            <w:noWrap/>
            <w:vAlign w:val="center"/>
            <w:hideMark/>
          </w:tcPr>
          <w:p w14:paraId="6A05E418" w14:textId="77777777" w:rsidR="00D443CC" w:rsidRPr="00D443CC" w:rsidRDefault="00D443CC" w:rsidP="00D443CC">
            <w:pPr>
              <w:spacing w:after="0"/>
              <w:jc w:val="center"/>
              <w:rPr>
                <w:color w:val="000000"/>
                <w:sz w:val="24"/>
                <w:szCs w:val="24"/>
              </w:rPr>
            </w:pPr>
            <w:r w:rsidRPr="00D443CC">
              <w:rPr>
                <w:color w:val="000000"/>
                <w:sz w:val="24"/>
                <w:szCs w:val="24"/>
              </w:rPr>
              <w:t>9.82</w:t>
            </w:r>
          </w:p>
        </w:tc>
        <w:tc>
          <w:tcPr>
            <w:tcW w:w="1680" w:type="dxa"/>
            <w:tcBorders>
              <w:top w:val="nil"/>
              <w:left w:val="nil"/>
              <w:bottom w:val="nil"/>
              <w:right w:val="nil"/>
            </w:tcBorders>
            <w:shd w:val="clear" w:color="auto" w:fill="auto"/>
            <w:noWrap/>
            <w:vAlign w:val="center"/>
            <w:hideMark/>
          </w:tcPr>
          <w:p w14:paraId="7F0C5970" w14:textId="77777777" w:rsidR="00D443CC" w:rsidRPr="00D443CC" w:rsidRDefault="00D443CC" w:rsidP="00D443CC">
            <w:pPr>
              <w:spacing w:after="0"/>
              <w:jc w:val="center"/>
              <w:rPr>
                <w:color w:val="000000"/>
                <w:sz w:val="24"/>
                <w:szCs w:val="24"/>
              </w:rPr>
            </w:pPr>
            <w:r w:rsidRPr="00D443CC">
              <w:rPr>
                <w:color w:val="000000"/>
                <w:sz w:val="24"/>
                <w:szCs w:val="24"/>
              </w:rPr>
              <w:t>10.85</w:t>
            </w:r>
          </w:p>
        </w:tc>
      </w:tr>
      <w:tr w:rsidR="00D443C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D443CC" w:rsidRPr="00D443CC" w:rsidRDefault="00D443CC" w:rsidP="00D443C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77777777" w:rsidR="00D443CC" w:rsidRPr="00D443CC" w:rsidRDefault="00D443CC" w:rsidP="00D443CC">
            <w:pPr>
              <w:spacing w:after="0"/>
              <w:jc w:val="center"/>
              <w:rPr>
                <w:color w:val="000000"/>
                <w:sz w:val="24"/>
                <w:szCs w:val="24"/>
              </w:rPr>
            </w:pPr>
            <w:r w:rsidRPr="00D443CC">
              <w:rPr>
                <w:color w:val="000000"/>
                <w:sz w:val="24"/>
                <w:szCs w:val="24"/>
              </w:rPr>
              <w:t>1817.93</w:t>
            </w:r>
          </w:p>
        </w:tc>
        <w:tc>
          <w:tcPr>
            <w:tcW w:w="1431" w:type="dxa"/>
            <w:tcBorders>
              <w:top w:val="nil"/>
              <w:left w:val="nil"/>
              <w:bottom w:val="nil"/>
              <w:right w:val="nil"/>
            </w:tcBorders>
            <w:shd w:val="clear" w:color="auto" w:fill="auto"/>
            <w:noWrap/>
            <w:vAlign w:val="center"/>
            <w:hideMark/>
          </w:tcPr>
          <w:p w14:paraId="2DFE4737" w14:textId="77777777" w:rsidR="00D443CC" w:rsidRPr="00D443CC" w:rsidRDefault="00D443CC" w:rsidP="00D443CC">
            <w:pPr>
              <w:spacing w:after="0"/>
              <w:jc w:val="center"/>
              <w:rPr>
                <w:color w:val="000000"/>
                <w:sz w:val="24"/>
                <w:szCs w:val="24"/>
              </w:rPr>
            </w:pPr>
            <w:r w:rsidRPr="00D443CC">
              <w:rPr>
                <w:color w:val="000000"/>
                <w:sz w:val="24"/>
                <w:szCs w:val="24"/>
              </w:rPr>
              <w:t>1868.43</w:t>
            </w:r>
          </w:p>
        </w:tc>
        <w:tc>
          <w:tcPr>
            <w:tcW w:w="1680" w:type="dxa"/>
            <w:tcBorders>
              <w:top w:val="nil"/>
              <w:left w:val="nil"/>
              <w:bottom w:val="nil"/>
              <w:right w:val="nil"/>
            </w:tcBorders>
            <w:shd w:val="clear" w:color="auto" w:fill="auto"/>
            <w:noWrap/>
            <w:vAlign w:val="center"/>
            <w:hideMark/>
          </w:tcPr>
          <w:p w14:paraId="0EFEC839" w14:textId="77777777" w:rsidR="00D443CC" w:rsidRPr="00D443CC" w:rsidRDefault="00D443CC" w:rsidP="00D443CC">
            <w:pPr>
              <w:spacing w:after="0"/>
              <w:jc w:val="center"/>
              <w:rPr>
                <w:color w:val="000000"/>
                <w:sz w:val="24"/>
                <w:szCs w:val="24"/>
              </w:rPr>
            </w:pPr>
            <w:r w:rsidRPr="00D443CC">
              <w:rPr>
                <w:color w:val="000000"/>
                <w:sz w:val="24"/>
                <w:szCs w:val="24"/>
              </w:rPr>
              <w:t>1704.53</w:t>
            </w:r>
          </w:p>
        </w:tc>
        <w:tc>
          <w:tcPr>
            <w:tcW w:w="1680" w:type="dxa"/>
            <w:tcBorders>
              <w:top w:val="nil"/>
              <w:left w:val="nil"/>
              <w:bottom w:val="nil"/>
              <w:right w:val="nil"/>
            </w:tcBorders>
            <w:shd w:val="clear" w:color="auto" w:fill="auto"/>
            <w:noWrap/>
            <w:vAlign w:val="center"/>
            <w:hideMark/>
          </w:tcPr>
          <w:p w14:paraId="5F53F1DF" w14:textId="77777777"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D443CC" w:rsidRPr="00D443CC" w:rsidRDefault="00D443CC" w:rsidP="00D443C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77777777" w:rsidR="00D443CC" w:rsidRPr="00D443CC" w:rsidRDefault="00D443CC" w:rsidP="00D443CC">
            <w:pPr>
              <w:spacing w:after="0"/>
              <w:jc w:val="center"/>
              <w:rPr>
                <w:color w:val="000000"/>
                <w:sz w:val="24"/>
                <w:szCs w:val="24"/>
              </w:rPr>
            </w:pPr>
            <w:r w:rsidRPr="00D443CC">
              <w:rPr>
                <w:color w:val="000000"/>
                <w:sz w:val="24"/>
                <w:szCs w:val="24"/>
              </w:rPr>
              <w:t>1101.99</w:t>
            </w:r>
          </w:p>
        </w:tc>
        <w:tc>
          <w:tcPr>
            <w:tcW w:w="1431" w:type="dxa"/>
            <w:tcBorders>
              <w:top w:val="nil"/>
              <w:left w:val="nil"/>
              <w:bottom w:val="nil"/>
              <w:right w:val="nil"/>
            </w:tcBorders>
            <w:shd w:val="clear" w:color="auto" w:fill="auto"/>
            <w:noWrap/>
            <w:vAlign w:val="center"/>
            <w:hideMark/>
          </w:tcPr>
          <w:p w14:paraId="04D361A3" w14:textId="77777777" w:rsidR="00D443CC" w:rsidRPr="00D443CC" w:rsidRDefault="00D443CC" w:rsidP="00D443CC">
            <w:pPr>
              <w:spacing w:after="0"/>
              <w:jc w:val="center"/>
              <w:rPr>
                <w:color w:val="000000"/>
                <w:sz w:val="24"/>
                <w:szCs w:val="24"/>
              </w:rPr>
            </w:pPr>
            <w:r w:rsidRPr="00D443CC">
              <w:rPr>
                <w:color w:val="000000"/>
                <w:sz w:val="24"/>
                <w:szCs w:val="24"/>
              </w:rPr>
              <w:t>1180.16</w:t>
            </w:r>
          </w:p>
        </w:tc>
        <w:tc>
          <w:tcPr>
            <w:tcW w:w="1680" w:type="dxa"/>
            <w:tcBorders>
              <w:top w:val="nil"/>
              <w:left w:val="nil"/>
              <w:bottom w:val="nil"/>
              <w:right w:val="nil"/>
            </w:tcBorders>
            <w:shd w:val="clear" w:color="auto" w:fill="auto"/>
            <w:noWrap/>
            <w:vAlign w:val="center"/>
            <w:hideMark/>
          </w:tcPr>
          <w:p w14:paraId="3C5557EC" w14:textId="77777777" w:rsidR="00D443CC" w:rsidRPr="00D443CC" w:rsidRDefault="00D443CC" w:rsidP="00D443CC">
            <w:pPr>
              <w:spacing w:after="0"/>
              <w:jc w:val="center"/>
              <w:rPr>
                <w:color w:val="000000"/>
                <w:sz w:val="24"/>
                <w:szCs w:val="24"/>
              </w:rPr>
            </w:pPr>
            <w:r w:rsidRPr="00D443CC">
              <w:rPr>
                <w:color w:val="000000"/>
                <w:sz w:val="24"/>
                <w:szCs w:val="24"/>
              </w:rPr>
              <w:t>1100.23</w:t>
            </w:r>
          </w:p>
        </w:tc>
        <w:tc>
          <w:tcPr>
            <w:tcW w:w="1680" w:type="dxa"/>
            <w:tcBorders>
              <w:top w:val="nil"/>
              <w:left w:val="nil"/>
              <w:bottom w:val="nil"/>
              <w:right w:val="nil"/>
            </w:tcBorders>
            <w:shd w:val="clear" w:color="auto" w:fill="auto"/>
            <w:noWrap/>
            <w:vAlign w:val="center"/>
            <w:hideMark/>
          </w:tcPr>
          <w:p w14:paraId="311ACAEF" w14:textId="77777777"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D443CC" w:rsidRPr="00D443CC" w:rsidRDefault="00D443CC" w:rsidP="00D443C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77777777" w:rsidR="00D443CC" w:rsidRPr="00D443CC" w:rsidRDefault="00D443CC" w:rsidP="00D443CC">
            <w:pPr>
              <w:spacing w:after="0"/>
              <w:jc w:val="center"/>
              <w:rPr>
                <w:color w:val="000000"/>
                <w:sz w:val="24"/>
                <w:szCs w:val="24"/>
              </w:rPr>
            </w:pPr>
            <w:r w:rsidRPr="00D443C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77777777" w:rsidR="00D443CC" w:rsidRPr="00D443CC" w:rsidRDefault="00D443CC" w:rsidP="00D443CC">
            <w:pPr>
              <w:spacing w:after="0"/>
              <w:jc w:val="center"/>
              <w:rPr>
                <w:color w:val="000000"/>
                <w:sz w:val="24"/>
                <w:szCs w:val="24"/>
              </w:rPr>
            </w:pPr>
            <w:r w:rsidRPr="00D443CC">
              <w:rPr>
                <w:color w:val="000000"/>
                <w:sz w:val="24"/>
                <w:szCs w:val="24"/>
              </w:rPr>
              <w:t>-2.53</w:t>
            </w:r>
          </w:p>
        </w:tc>
        <w:tc>
          <w:tcPr>
            <w:tcW w:w="1680" w:type="dxa"/>
            <w:tcBorders>
              <w:top w:val="nil"/>
              <w:left w:val="nil"/>
              <w:bottom w:val="nil"/>
              <w:right w:val="nil"/>
            </w:tcBorders>
            <w:shd w:val="clear" w:color="auto" w:fill="auto"/>
            <w:noWrap/>
            <w:vAlign w:val="center"/>
            <w:hideMark/>
          </w:tcPr>
          <w:p w14:paraId="0E469C88" w14:textId="77777777" w:rsidR="00D443CC" w:rsidRPr="00D443CC" w:rsidRDefault="00D443CC" w:rsidP="00D443CC">
            <w:pPr>
              <w:spacing w:after="0"/>
              <w:jc w:val="center"/>
              <w:rPr>
                <w:color w:val="000000"/>
                <w:sz w:val="24"/>
                <w:szCs w:val="24"/>
              </w:rPr>
            </w:pPr>
            <w:r w:rsidRPr="00D443CC">
              <w:rPr>
                <w:color w:val="000000"/>
                <w:sz w:val="24"/>
                <w:szCs w:val="24"/>
              </w:rPr>
              <w:t>-2.20</w:t>
            </w:r>
          </w:p>
        </w:tc>
        <w:tc>
          <w:tcPr>
            <w:tcW w:w="1680" w:type="dxa"/>
            <w:tcBorders>
              <w:top w:val="nil"/>
              <w:left w:val="nil"/>
              <w:bottom w:val="nil"/>
              <w:right w:val="nil"/>
            </w:tcBorders>
            <w:shd w:val="clear" w:color="auto" w:fill="auto"/>
            <w:noWrap/>
            <w:vAlign w:val="center"/>
            <w:hideMark/>
          </w:tcPr>
          <w:p w14:paraId="45EFC90D" w14:textId="77777777" w:rsidR="00D443CC" w:rsidRPr="00D443CC" w:rsidRDefault="00D443CC" w:rsidP="00D443CC">
            <w:pPr>
              <w:spacing w:after="0"/>
              <w:jc w:val="center"/>
              <w:rPr>
                <w:color w:val="000000"/>
                <w:sz w:val="24"/>
                <w:szCs w:val="24"/>
              </w:rPr>
            </w:pPr>
            <w:r w:rsidRPr="00D443CC">
              <w:rPr>
                <w:color w:val="000000"/>
                <w:sz w:val="24"/>
                <w:szCs w:val="24"/>
              </w:rPr>
              <w:t>-0.96</w:t>
            </w:r>
          </w:p>
        </w:tc>
      </w:tr>
      <w:tr w:rsidR="00D443C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D443CC" w:rsidRPr="00D443CC" w:rsidRDefault="00D443CC" w:rsidP="00D443CC">
            <w:pPr>
              <w:spacing w:after="0"/>
              <w:jc w:val="left"/>
              <w:rPr>
                <w:color w:val="000000"/>
                <w:sz w:val="24"/>
                <w:szCs w:val="24"/>
              </w:rPr>
            </w:pPr>
            <w:r w:rsidRPr="00D443CC">
              <w:rPr>
                <w:color w:val="000000"/>
                <w:sz w:val="24"/>
                <w:szCs w:val="24"/>
              </w:rPr>
              <w:t>InitEQ_Regime</w:t>
            </w:r>
          </w:p>
        </w:tc>
        <w:tc>
          <w:tcPr>
            <w:tcW w:w="1431" w:type="dxa"/>
            <w:tcBorders>
              <w:top w:val="nil"/>
              <w:left w:val="nil"/>
              <w:bottom w:val="nil"/>
              <w:right w:val="nil"/>
            </w:tcBorders>
            <w:shd w:val="clear" w:color="auto" w:fill="auto"/>
            <w:noWrap/>
            <w:vAlign w:val="center"/>
            <w:hideMark/>
          </w:tcPr>
          <w:p w14:paraId="7C50B61D" w14:textId="77777777" w:rsidR="00D443CC" w:rsidRPr="00D443CC" w:rsidRDefault="00D443CC" w:rsidP="00D443CC">
            <w:pPr>
              <w:spacing w:after="0"/>
              <w:jc w:val="center"/>
              <w:rPr>
                <w:color w:val="000000"/>
                <w:sz w:val="24"/>
                <w:szCs w:val="24"/>
              </w:rPr>
            </w:pPr>
            <w:r w:rsidRPr="00D443C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77777777" w:rsidR="00D443CC" w:rsidRPr="00D443CC" w:rsidRDefault="00D443CC" w:rsidP="00D443CC">
            <w:pPr>
              <w:spacing w:after="0"/>
              <w:jc w:val="center"/>
              <w:rPr>
                <w:color w:val="000000"/>
                <w:sz w:val="24"/>
                <w:szCs w:val="24"/>
              </w:rPr>
            </w:pPr>
            <w:r w:rsidRPr="00D443CC">
              <w:rPr>
                <w:color w:val="000000"/>
                <w:sz w:val="24"/>
                <w:szCs w:val="24"/>
              </w:rPr>
              <w:t>3.23</w:t>
            </w:r>
          </w:p>
        </w:tc>
        <w:tc>
          <w:tcPr>
            <w:tcW w:w="1680" w:type="dxa"/>
            <w:tcBorders>
              <w:top w:val="nil"/>
              <w:left w:val="nil"/>
              <w:bottom w:val="nil"/>
              <w:right w:val="nil"/>
            </w:tcBorders>
            <w:shd w:val="clear" w:color="auto" w:fill="auto"/>
            <w:noWrap/>
            <w:vAlign w:val="center"/>
            <w:hideMark/>
          </w:tcPr>
          <w:p w14:paraId="7D1DFB08" w14:textId="77777777" w:rsidR="00D443CC" w:rsidRPr="00D443CC" w:rsidRDefault="00D443CC" w:rsidP="00D443CC">
            <w:pPr>
              <w:spacing w:after="0"/>
              <w:jc w:val="center"/>
              <w:rPr>
                <w:color w:val="000000"/>
                <w:sz w:val="24"/>
                <w:szCs w:val="24"/>
              </w:rPr>
            </w:pPr>
            <w:r w:rsidRPr="00D443CC">
              <w:rPr>
                <w:color w:val="000000"/>
                <w:sz w:val="24"/>
                <w:szCs w:val="24"/>
              </w:rPr>
              <w:t>3.26</w:t>
            </w:r>
          </w:p>
        </w:tc>
        <w:tc>
          <w:tcPr>
            <w:tcW w:w="1680" w:type="dxa"/>
            <w:tcBorders>
              <w:top w:val="nil"/>
              <w:left w:val="nil"/>
              <w:bottom w:val="nil"/>
              <w:right w:val="nil"/>
            </w:tcBorders>
            <w:shd w:val="clear" w:color="auto" w:fill="auto"/>
            <w:noWrap/>
            <w:vAlign w:val="center"/>
            <w:hideMark/>
          </w:tcPr>
          <w:p w14:paraId="02344F28" w14:textId="77777777" w:rsidR="00D443CC" w:rsidRPr="00D443CC" w:rsidRDefault="00D443CC" w:rsidP="00D443CC">
            <w:pPr>
              <w:spacing w:after="0"/>
              <w:jc w:val="center"/>
              <w:rPr>
                <w:color w:val="000000"/>
                <w:sz w:val="24"/>
                <w:szCs w:val="24"/>
              </w:rPr>
            </w:pPr>
            <w:r w:rsidRPr="00D443CC">
              <w:rPr>
                <w:color w:val="000000"/>
                <w:sz w:val="24"/>
                <w:szCs w:val="24"/>
              </w:rPr>
              <w:t>3.08</w:t>
            </w:r>
          </w:p>
        </w:tc>
      </w:tr>
      <w:tr w:rsidR="00D443C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D443CC" w:rsidRPr="00D443CC" w:rsidRDefault="00D443CC" w:rsidP="00D443CC">
            <w:pPr>
              <w:spacing w:after="0"/>
              <w:jc w:val="left"/>
              <w:rPr>
                <w:color w:val="000000"/>
                <w:sz w:val="24"/>
                <w:szCs w:val="24"/>
              </w:rPr>
            </w:pPr>
            <w:r w:rsidRPr="00D443CC">
              <w:rPr>
                <w:color w:val="000000"/>
                <w:sz w:val="24"/>
                <w:szCs w:val="24"/>
              </w:rPr>
              <w:t>Forecast_Recruitment</w:t>
            </w:r>
          </w:p>
        </w:tc>
        <w:tc>
          <w:tcPr>
            <w:tcW w:w="1431" w:type="dxa"/>
            <w:tcBorders>
              <w:top w:val="nil"/>
              <w:left w:val="nil"/>
              <w:bottom w:val="nil"/>
              <w:right w:val="nil"/>
            </w:tcBorders>
            <w:shd w:val="clear" w:color="auto" w:fill="auto"/>
            <w:noWrap/>
            <w:vAlign w:val="center"/>
            <w:hideMark/>
          </w:tcPr>
          <w:p w14:paraId="150EADA2"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77777777"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D443CC" w:rsidRPr="00D443CC" w:rsidRDefault="00D443CC" w:rsidP="00D443CC">
            <w:pPr>
              <w:spacing w:after="0"/>
              <w:jc w:val="left"/>
              <w:rPr>
                <w:color w:val="000000"/>
                <w:sz w:val="24"/>
                <w:szCs w:val="24"/>
              </w:rPr>
            </w:pPr>
            <w:r w:rsidRPr="00D443CC">
              <w:rPr>
                <w:color w:val="000000"/>
                <w:sz w:val="24"/>
                <w:szCs w:val="24"/>
              </w:rPr>
              <w:t>Parm_priors</w:t>
            </w:r>
          </w:p>
        </w:tc>
        <w:tc>
          <w:tcPr>
            <w:tcW w:w="1431" w:type="dxa"/>
            <w:tcBorders>
              <w:top w:val="nil"/>
              <w:left w:val="nil"/>
              <w:bottom w:val="nil"/>
              <w:right w:val="nil"/>
            </w:tcBorders>
            <w:shd w:val="clear" w:color="auto" w:fill="auto"/>
            <w:noWrap/>
            <w:vAlign w:val="center"/>
            <w:hideMark/>
          </w:tcPr>
          <w:p w14:paraId="79A14E52" w14:textId="77777777" w:rsidR="00D443CC" w:rsidRPr="00D443CC" w:rsidRDefault="00D443CC" w:rsidP="00D443CC">
            <w:pPr>
              <w:spacing w:after="0"/>
              <w:jc w:val="center"/>
              <w:rPr>
                <w:color w:val="000000"/>
                <w:sz w:val="24"/>
                <w:szCs w:val="24"/>
              </w:rPr>
            </w:pPr>
            <w:r w:rsidRPr="00D443C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77777777" w:rsidR="00D443CC" w:rsidRPr="00D443CC" w:rsidRDefault="00D443CC" w:rsidP="00D443CC">
            <w:pPr>
              <w:spacing w:after="0"/>
              <w:jc w:val="center"/>
              <w:rPr>
                <w:color w:val="000000"/>
                <w:sz w:val="24"/>
                <w:szCs w:val="24"/>
              </w:rPr>
            </w:pPr>
            <w:r w:rsidRPr="00D443CC">
              <w:rPr>
                <w:color w:val="000000"/>
                <w:sz w:val="24"/>
                <w:szCs w:val="24"/>
              </w:rPr>
              <w:t>1.32</w:t>
            </w:r>
          </w:p>
        </w:tc>
        <w:tc>
          <w:tcPr>
            <w:tcW w:w="1680" w:type="dxa"/>
            <w:tcBorders>
              <w:top w:val="nil"/>
              <w:left w:val="nil"/>
              <w:bottom w:val="nil"/>
              <w:right w:val="nil"/>
            </w:tcBorders>
            <w:shd w:val="clear" w:color="auto" w:fill="auto"/>
            <w:noWrap/>
            <w:vAlign w:val="center"/>
            <w:hideMark/>
          </w:tcPr>
          <w:p w14:paraId="7DA5574F" w14:textId="77777777" w:rsidR="00D443CC" w:rsidRPr="00D443CC" w:rsidRDefault="00D443CC" w:rsidP="00D443CC">
            <w:pPr>
              <w:spacing w:after="0"/>
              <w:jc w:val="center"/>
              <w:rPr>
                <w:color w:val="000000"/>
                <w:sz w:val="24"/>
                <w:szCs w:val="24"/>
              </w:rPr>
            </w:pPr>
            <w:r w:rsidRPr="00D443CC">
              <w:rPr>
                <w:color w:val="000000"/>
                <w:sz w:val="24"/>
                <w:szCs w:val="24"/>
              </w:rPr>
              <w:t>1.29</w:t>
            </w:r>
          </w:p>
        </w:tc>
        <w:tc>
          <w:tcPr>
            <w:tcW w:w="1680" w:type="dxa"/>
            <w:tcBorders>
              <w:top w:val="nil"/>
              <w:left w:val="nil"/>
              <w:bottom w:val="nil"/>
              <w:right w:val="nil"/>
            </w:tcBorders>
            <w:shd w:val="clear" w:color="auto" w:fill="auto"/>
            <w:noWrap/>
            <w:vAlign w:val="center"/>
            <w:hideMark/>
          </w:tcPr>
          <w:p w14:paraId="4B136996" w14:textId="77777777" w:rsidR="00D443CC" w:rsidRPr="00D443CC" w:rsidRDefault="00D443CC" w:rsidP="00D443CC">
            <w:pPr>
              <w:spacing w:after="0"/>
              <w:jc w:val="center"/>
              <w:rPr>
                <w:color w:val="000000"/>
                <w:sz w:val="24"/>
                <w:szCs w:val="24"/>
              </w:rPr>
            </w:pPr>
            <w:r w:rsidRPr="00D443CC">
              <w:rPr>
                <w:color w:val="000000"/>
                <w:sz w:val="24"/>
                <w:szCs w:val="24"/>
              </w:rPr>
              <w:t>1.24</w:t>
            </w:r>
          </w:p>
        </w:tc>
      </w:tr>
      <w:tr w:rsidR="00D443C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D443CC" w:rsidRPr="00D443CC" w:rsidRDefault="00D443CC" w:rsidP="00D443CC">
            <w:pPr>
              <w:spacing w:after="0"/>
              <w:jc w:val="left"/>
              <w:rPr>
                <w:color w:val="000000"/>
                <w:sz w:val="24"/>
                <w:szCs w:val="24"/>
              </w:rPr>
            </w:pPr>
            <w:r w:rsidRPr="00D443CC">
              <w:rPr>
                <w:color w:val="000000"/>
                <w:sz w:val="24"/>
                <w:szCs w:val="24"/>
              </w:rPr>
              <w:t>Parm_softbounds</w:t>
            </w:r>
          </w:p>
        </w:tc>
        <w:tc>
          <w:tcPr>
            <w:tcW w:w="1431" w:type="dxa"/>
            <w:tcBorders>
              <w:top w:val="nil"/>
              <w:left w:val="nil"/>
              <w:right w:val="nil"/>
            </w:tcBorders>
            <w:shd w:val="clear" w:color="auto" w:fill="auto"/>
            <w:noWrap/>
            <w:vAlign w:val="center"/>
            <w:hideMark/>
          </w:tcPr>
          <w:p w14:paraId="45D9269B"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431" w:type="dxa"/>
            <w:tcBorders>
              <w:top w:val="nil"/>
              <w:left w:val="nil"/>
              <w:right w:val="nil"/>
            </w:tcBorders>
            <w:shd w:val="clear" w:color="auto" w:fill="auto"/>
            <w:noWrap/>
            <w:vAlign w:val="center"/>
            <w:hideMark/>
          </w:tcPr>
          <w:p w14:paraId="36AADB54"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53AD093F"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304886A9" w14:textId="7777777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D443CC" w:rsidRPr="00D443CC" w:rsidRDefault="00D443CC" w:rsidP="00D443CC">
            <w:pPr>
              <w:spacing w:after="0"/>
              <w:jc w:val="left"/>
              <w:rPr>
                <w:color w:val="000000"/>
                <w:sz w:val="24"/>
                <w:szCs w:val="24"/>
              </w:rPr>
            </w:pPr>
            <w:r w:rsidRPr="00D443CC">
              <w:rPr>
                <w:color w:val="000000"/>
                <w:sz w:val="24"/>
                <w:szCs w:val="24"/>
              </w:rPr>
              <w:t>Parm_devs</w:t>
            </w:r>
          </w:p>
        </w:tc>
        <w:tc>
          <w:tcPr>
            <w:tcW w:w="1431" w:type="dxa"/>
            <w:tcBorders>
              <w:top w:val="nil"/>
              <w:left w:val="nil"/>
              <w:bottom w:val="single" w:sz="4" w:space="0" w:color="auto"/>
              <w:right w:val="nil"/>
            </w:tcBorders>
            <w:shd w:val="clear" w:color="auto" w:fill="auto"/>
            <w:noWrap/>
            <w:vAlign w:val="center"/>
            <w:hideMark/>
          </w:tcPr>
          <w:p w14:paraId="171D71B3" w14:textId="77777777" w:rsidR="00D443CC" w:rsidRPr="00D443CC" w:rsidRDefault="00D443CC" w:rsidP="00D443CC">
            <w:pPr>
              <w:spacing w:after="0"/>
              <w:jc w:val="center"/>
              <w:rPr>
                <w:color w:val="000000"/>
                <w:sz w:val="24"/>
                <w:szCs w:val="24"/>
              </w:rPr>
            </w:pPr>
            <w:r w:rsidRPr="00D443C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77777777" w:rsidR="00D443CC" w:rsidRPr="00D443CC" w:rsidRDefault="00D443CC" w:rsidP="00D443CC">
            <w:pPr>
              <w:spacing w:after="0"/>
              <w:jc w:val="center"/>
              <w:rPr>
                <w:color w:val="000000"/>
                <w:sz w:val="24"/>
                <w:szCs w:val="24"/>
              </w:rPr>
            </w:pPr>
            <w:r w:rsidRPr="00D443CC">
              <w:rPr>
                <w:color w:val="000000"/>
                <w:sz w:val="24"/>
                <w:szCs w:val="24"/>
              </w:rPr>
              <w:t>5.97</w:t>
            </w:r>
          </w:p>
        </w:tc>
        <w:tc>
          <w:tcPr>
            <w:tcW w:w="1680" w:type="dxa"/>
            <w:tcBorders>
              <w:top w:val="nil"/>
              <w:left w:val="nil"/>
              <w:bottom w:val="single" w:sz="4" w:space="0" w:color="auto"/>
              <w:right w:val="nil"/>
            </w:tcBorders>
            <w:shd w:val="clear" w:color="auto" w:fill="auto"/>
            <w:noWrap/>
            <w:vAlign w:val="center"/>
            <w:hideMark/>
          </w:tcPr>
          <w:p w14:paraId="0C2BFC86" w14:textId="77777777" w:rsidR="00D443CC" w:rsidRPr="00D443CC" w:rsidRDefault="00D443CC" w:rsidP="00D443CC">
            <w:pPr>
              <w:spacing w:after="0"/>
              <w:jc w:val="center"/>
              <w:rPr>
                <w:color w:val="000000"/>
                <w:sz w:val="24"/>
                <w:szCs w:val="24"/>
              </w:rPr>
            </w:pPr>
            <w:r w:rsidRPr="00D443CC">
              <w:rPr>
                <w:color w:val="000000"/>
                <w:sz w:val="24"/>
                <w:szCs w:val="24"/>
              </w:rPr>
              <w:t>5.89</w:t>
            </w:r>
          </w:p>
        </w:tc>
        <w:tc>
          <w:tcPr>
            <w:tcW w:w="1680" w:type="dxa"/>
            <w:tcBorders>
              <w:top w:val="nil"/>
              <w:left w:val="nil"/>
              <w:bottom w:val="single" w:sz="4" w:space="0" w:color="auto"/>
              <w:right w:val="nil"/>
            </w:tcBorders>
            <w:shd w:val="clear" w:color="auto" w:fill="auto"/>
            <w:noWrap/>
            <w:vAlign w:val="center"/>
            <w:hideMark/>
          </w:tcPr>
          <w:p w14:paraId="0E835EB9" w14:textId="77777777" w:rsidR="00D443CC" w:rsidRPr="00D443CC" w:rsidRDefault="00D443CC" w:rsidP="00D443CC">
            <w:pPr>
              <w:spacing w:after="0"/>
              <w:jc w:val="center"/>
              <w:rPr>
                <w:color w:val="000000"/>
                <w:sz w:val="24"/>
                <w:szCs w:val="24"/>
              </w:rPr>
            </w:pPr>
            <w:r w:rsidRPr="00D443CC">
              <w:rPr>
                <w:color w:val="000000"/>
                <w:sz w:val="24"/>
                <w:szCs w:val="24"/>
              </w:rPr>
              <w:t>5.62</w:t>
            </w:r>
          </w:p>
        </w:tc>
      </w:tr>
    </w:tbl>
    <w:p w14:paraId="4397EBC5" w14:textId="144B0730" w:rsidR="00A81834" w:rsidRDefault="00A81834" w:rsidP="00FE0BE7">
      <w:pPr>
        <w:jc w:val="left"/>
      </w:pPr>
    </w:p>
    <w:p w14:paraId="1D5F868B" w14:textId="2262E501" w:rsidR="00425C84" w:rsidRDefault="00425C84" w:rsidP="00FE0BE7">
      <w:pPr>
        <w:jc w:val="left"/>
        <w:rPr>
          <w:sz w:val="24"/>
          <w:szCs w:val="24"/>
        </w:rPr>
      </w:pPr>
      <w:r w:rsidRPr="00425C84">
        <w:rPr>
          <w:sz w:val="24"/>
          <w:szCs w:val="24"/>
        </w:rPr>
        <w:t xml:space="preserve">Table 6. Key parameter estimates from </w:t>
      </w:r>
      <w:r w:rsidRPr="00425C84">
        <w:rPr>
          <w:sz w:val="24"/>
          <w:szCs w:val="24"/>
        </w:rPr>
        <w:t xml:space="preserve">model 2019.1b (both from the 2023 assessment and with data </w:t>
      </w:r>
      <w:r>
        <w:rPr>
          <w:sz w:val="24"/>
          <w:szCs w:val="24"/>
        </w:rPr>
        <w:t>updated through September 2024) and model 2019.1e.5cm.</w:t>
      </w:r>
    </w:p>
    <w:tbl>
      <w:tblPr>
        <w:tblW w:w="6661" w:type="dxa"/>
        <w:tblLook w:val="04A0" w:firstRow="1" w:lastRow="0" w:firstColumn="1" w:lastColumn="0" w:noHBand="0" w:noVBand="1"/>
      </w:tblPr>
      <w:tblGrid>
        <w:gridCol w:w="1695"/>
        <w:gridCol w:w="1528"/>
        <w:gridCol w:w="1528"/>
        <w:gridCol w:w="1910"/>
      </w:tblGrid>
      <w:tr w:rsidR="00425C84" w:rsidRPr="00425C84" w14:paraId="4295DBE3" w14:textId="77777777" w:rsidTr="00425C84">
        <w:trPr>
          <w:trHeight w:val="251"/>
        </w:trPr>
        <w:tc>
          <w:tcPr>
            <w:tcW w:w="1695" w:type="dxa"/>
            <w:tcBorders>
              <w:top w:val="nil"/>
              <w:left w:val="nil"/>
              <w:bottom w:val="single" w:sz="4" w:space="0" w:color="auto"/>
              <w:right w:val="nil"/>
            </w:tcBorders>
            <w:shd w:val="clear" w:color="auto" w:fill="auto"/>
            <w:noWrap/>
            <w:vAlign w:val="bottom"/>
            <w:hideMark/>
          </w:tcPr>
          <w:p w14:paraId="6C9BD5B0" w14:textId="77777777" w:rsidR="00425C84" w:rsidRPr="00425C84" w:rsidRDefault="00425C84" w:rsidP="00425C84">
            <w:pPr>
              <w:spacing w:after="0"/>
              <w:jc w:val="left"/>
              <w:rPr>
                <w:color w:val="000000"/>
                <w:sz w:val="24"/>
                <w:szCs w:val="24"/>
              </w:rPr>
            </w:pPr>
            <w:r w:rsidRPr="00425C84">
              <w:rPr>
                <w:color w:val="000000"/>
                <w:sz w:val="24"/>
                <w:szCs w:val="24"/>
              </w:rPr>
              <w:t>Parameter</w:t>
            </w:r>
          </w:p>
        </w:tc>
        <w:tc>
          <w:tcPr>
            <w:tcW w:w="1528" w:type="dxa"/>
            <w:tcBorders>
              <w:top w:val="nil"/>
              <w:left w:val="nil"/>
              <w:bottom w:val="single" w:sz="4" w:space="0" w:color="auto"/>
              <w:right w:val="nil"/>
            </w:tcBorders>
            <w:shd w:val="clear" w:color="auto" w:fill="auto"/>
            <w:noWrap/>
            <w:vAlign w:val="bottom"/>
            <w:hideMark/>
          </w:tcPr>
          <w:p w14:paraId="3161A618" w14:textId="77777777" w:rsidR="00425C84" w:rsidRPr="00425C84" w:rsidRDefault="00425C84" w:rsidP="00425C84">
            <w:pPr>
              <w:spacing w:after="0"/>
              <w:jc w:val="center"/>
              <w:rPr>
                <w:color w:val="000000"/>
                <w:sz w:val="24"/>
                <w:szCs w:val="24"/>
              </w:rPr>
            </w:pPr>
            <w:r w:rsidRPr="00425C84">
              <w:rPr>
                <w:color w:val="000000"/>
                <w:sz w:val="24"/>
                <w:szCs w:val="24"/>
              </w:rPr>
              <w:t>2019.1b-23</w:t>
            </w:r>
          </w:p>
        </w:tc>
        <w:tc>
          <w:tcPr>
            <w:tcW w:w="1528" w:type="dxa"/>
            <w:tcBorders>
              <w:top w:val="nil"/>
              <w:left w:val="nil"/>
              <w:bottom w:val="single" w:sz="4" w:space="0" w:color="auto"/>
              <w:right w:val="nil"/>
            </w:tcBorders>
            <w:shd w:val="clear" w:color="auto" w:fill="auto"/>
            <w:noWrap/>
            <w:vAlign w:val="bottom"/>
            <w:hideMark/>
          </w:tcPr>
          <w:p w14:paraId="0A2DA297" w14:textId="77777777" w:rsidR="00425C84" w:rsidRPr="00425C84" w:rsidRDefault="00425C84" w:rsidP="00425C84">
            <w:pPr>
              <w:spacing w:after="0"/>
              <w:jc w:val="center"/>
              <w:rPr>
                <w:color w:val="000000"/>
                <w:sz w:val="24"/>
                <w:szCs w:val="24"/>
              </w:rPr>
            </w:pPr>
            <w:r w:rsidRPr="00425C84">
              <w:rPr>
                <w:color w:val="000000"/>
                <w:sz w:val="24"/>
                <w:szCs w:val="24"/>
              </w:rPr>
              <w:t>2019.1b-24</w:t>
            </w:r>
          </w:p>
        </w:tc>
        <w:tc>
          <w:tcPr>
            <w:tcW w:w="1910" w:type="dxa"/>
            <w:tcBorders>
              <w:top w:val="nil"/>
              <w:left w:val="nil"/>
              <w:bottom w:val="single" w:sz="4" w:space="0" w:color="auto"/>
              <w:right w:val="nil"/>
            </w:tcBorders>
            <w:shd w:val="clear" w:color="auto" w:fill="auto"/>
            <w:noWrap/>
            <w:vAlign w:val="bottom"/>
            <w:hideMark/>
          </w:tcPr>
          <w:p w14:paraId="13C3335B" w14:textId="77777777" w:rsidR="00425C84" w:rsidRPr="00425C84" w:rsidRDefault="00425C84" w:rsidP="00425C84">
            <w:pPr>
              <w:spacing w:after="0"/>
              <w:jc w:val="center"/>
              <w:rPr>
                <w:color w:val="000000"/>
                <w:sz w:val="24"/>
                <w:szCs w:val="24"/>
              </w:rPr>
            </w:pPr>
            <w:r w:rsidRPr="00425C84">
              <w:rPr>
                <w:color w:val="000000"/>
                <w:sz w:val="24"/>
                <w:szCs w:val="24"/>
              </w:rPr>
              <w:t>2019.1e.5cm</w:t>
            </w:r>
          </w:p>
        </w:tc>
      </w:tr>
      <w:tr w:rsidR="00425C84" w:rsidRPr="00425C84" w14:paraId="341EE8F9" w14:textId="77777777" w:rsidTr="00425C84">
        <w:trPr>
          <w:trHeight w:val="251"/>
        </w:trPr>
        <w:tc>
          <w:tcPr>
            <w:tcW w:w="1695" w:type="dxa"/>
            <w:tcBorders>
              <w:top w:val="single" w:sz="4" w:space="0" w:color="auto"/>
              <w:left w:val="nil"/>
              <w:bottom w:val="nil"/>
              <w:right w:val="nil"/>
            </w:tcBorders>
            <w:shd w:val="clear" w:color="auto" w:fill="auto"/>
            <w:noWrap/>
            <w:vAlign w:val="bottom"/>
            <w:hideMark/>
          </w:tcPr>
          <w:p w14:paraId="0A21654A" w14:textId="77777777" w:rsidR="00425C84" w:rsidRPr="00425C84" w:rsidRDefault="00425C84" w:rsidP="00425C84">
            <w:pPr>
              <w:spacing w:after="0"/>
              <w:jc w:val="left"/>
              <w:rPr>
                <w:color w:val="000000"/>
                <w:sz w:val="24"/>
                <w:szCs w:val="24"/>
              </w:rPr>
            </w:pPr>
            <w:r w:rsidRPr="00425C84">
              <w:rPr>
                <w:color w:val="000000"/>
                <w:sz w:val="24"/>
                <w:szCs w:val="24"/>
              </w:rPr>
              <w:t>NatM</w:t>
            </w:r>
          </w:p>
        </w:tc>
        <w:tc>
          <w:tcPr>
            <w:tcW w:w="1528" w:type="dxa"/>
            <w:tcBorders>
              <w:top w:val="single" w:sz="4" w:space="0" w:color="auto"/>
              <w:left w:val="nil"/>
              <w:bottom w:val="nil"/>
              <w:right w:val="nil"/>
            </w:tcBorders>
            <w:shd w:val="clear" w:color="auto" w:fill="auto"/>
            <w:noWrap/>
            <w:vAlign w:val="bottom"/>
            <w:hideMark/>
          </w:tcPr>
          <w:p w14:paraId="3E3788D9" w14:textId="77777777" w:rsidR="00425C84" w:rsidRPr="00425C84" w:rsidRDefault="00425C84" w:rsidP="00425C84">
            <w:pPr>
              <w:spacing w:after="0"/>
              <w:jc w:val="center"/>
              <w:rPr>
                <w:color w:val="000000"/>
                <w:sz w:val="24"/>
                <w:szCs w:val="24"/>
              </w:rPr>
            </w:pPr>
            <w:r w:rsidRPr="00425C84">
              <w:rPr>
                <w:color w:val="000000"/>
                <w:sz w:val="24"/>
                <w:szCs w:val="24"/>
              </w:rPr>
              <w:t>0.46</w:t>
            </w:r>
          </w:p>
        </w:tc>
        <w:tc>
          <w:tcPr>
            <w:tcW w:w="1528" w:type="dxa"/>
            <w:tcBorders>
              <w:top w:val="single" w:sz="4" w:space="0" w:color="auto"/>
              <w:left w:val="nil"/>
              <w:bottom w:val="nil"/>
              <w:right w:val="nil"/>
            </w:tcBorders>
            <w:shd w:val="clear" w:color="auto" w:fill="auto"/>
            <w:noWrap/>
            <w:vAlign w:val="bottom"/>
            <w:hideMark/>
          </w:tcPr>
          <w:p w14:paraId="7389B2D0" w14:textId="77777777" w:rsidR="00425C84" w:rsidRPr="00425C84" w:rsidRDefault="00425C84" w:rsidP="00425C84">
            <w:pPr>
              <w:spacing w:after="0"/>
              <w:jc w:val="center"/>
              <w:rPr>
                <w:color w:val="000000"/>
                <w:sz w:val="24"/>
                <w:szCs w:val="24"/>
              </w:rPr>
            </w:pPr>
            <w:r w:rsidRPr="00425C84">
              <w:rPr>
                <w:color w:val="000000"/>
                <w:sz w:val="24"/>
                <w:szCs w:val="24"/>
              </w:rPr>
              <w:t>0.46</w:t>
            </w:r>
          </w:p>
        </w:tc>
        <w:tc>
          <w:tcPr>
            <w:tcW w:w="1910" w:type="dxa"/>
            <w:tcBorders>
              <w:top w:val="single" w:sz="4" w:space="0" w:color="auto"/>
              <w:left w:val="nil"/>
              <w:bottom w:val="nil"/>
              <w:right w:val="nil"/>
            </w:tcBorders>
            <w:shd w:val="clear" w:color="auto" w:fill="auto"/>
            <w:noWrap/>
            <w:vAlign w:val="bottom"/>
            <w:hideMark/>
          </w:tcPr>
          <w:p w14:paraId="049DC86E" w14:textId="77777777" w:rsidR="00425C84" w:rsidRPr="00425C84" w:rsidRDefault="00425C84" w:rsidP="00425C84">
            <w:pPr>
              <w:spacing w:after="0"/>
              <w:jc w:val="center"/>
              <w:rPr>
                <w:color w:val="000000"/>
                <w:sz w:val="24"/>
                <w:szCs w:val="24"/>
              </w:rPr>
            </w:pPr>
            <w:r w:rsidRPr="00425C84">
              <w:rPr>
                <w:color w:val="000000"/>
                <w:sz w:val="24"/>
                <w:szCs w:val="24"/>
              </w:rPr>
              <w:t>0.47</w:t>
            </w:r>
          </w:p>
        </w:tc>
      </w:tr>
      <w:tr w:rsidR="00425C84" w:rsidRPr="00425C84" w14:paraId="4FB8CFCC" w14:textId="77777777" w:rsidTr="00425C84">
        <w:trPr>
          <w:trHeight w:val="251"/>
        </w:trPr>
        <w:tc>
          <w:tcPr>
            <w:tcW w:w="1695" w:type="dxa"/>
            <w:tcBorders>
              <w:top w:val="nil"/>
              <w:left w:val="nil"/>
              <w:bottom w:val="nil"/>
              <w:right w:val="nil"/>
            </w:tcBorders>
            <w:shd w:val="clear" w:color="auto" w:fill="auto"/>
            <w:noWrap/>
            <w:vAlign w:val="bottom"/>
            <w:hideMark/>
          </w:tcPr>
          <w:p w14:paraId="20DC5719" w14:textId="77777777" w:rsidR="00425C84" w:rsidRPr="00425C84" w:rsidRDefault="00425C84" w:rsidP="00425C84">
            <w:pPr>
              <w:spacing w:after="0"/>
              <w:jc w:val="left"/>
              <w:rPr>
                <w:color w:val="000000"/>
                <w:sz w:val="24"/>
                <w:szCs w:val="24"/>
              </w:rPr>
            </w:pPr>
            <w:r w:rsidRPr="00425C84">
              <w:rPr>
                <w:color w:val="000000"/>
                <w:sz w:val="24"/>
                <w:szCs w:val="24"/>
              </w:rPr>
              <w:t>NatM: 14-16</w:t>
            </w:r>
          </w:p>
        </w:tc>
        <w:tc>
          <w:tcPr>
            <w:tcW w:w="1528" w:type="dxa"/>
            <w:tcBorders>
              <w:top w:val="nil"/>
              <w:left w:val="nil"/>
              <w:bottom w:val="nil"/>
              <w:right w:val="nil"/>
            </w:tcBorders>
            <w:shd w:val="clear" w:color="auto" w:fill="auto"/>
            <w:noWrap/>
            <w:vAlign w:val="bottom"/>
            <w:hideMark/>
          </w:tcPr>
          <w:p w14:paraId="40062E3A" w14:textId="77777777" w:rsidR="00425C84" w:rsidRPr="00425C84" w:rsidRDefault="00425C84" w:rsidP="00425C84">
            <w:pPr>
              <w:spacing w:after="0"/>
              <w:jc w:val="center"/>
              <w:rPr>
                <w:color w:val="000000"/>
                <w:sz w:val="24"/>
                <w:szCs w:val="24"/>
              </w:rPr>
            </w:pPr>
            <w:r w:rsidRPr="00425C84">
              <w:rPr>
                <w:color w:val="000000"/>
                <w:sz w:val="24"/>
                <w:szCs w:val="24"/>
              </w:rPr>
              <w:t>0.79</w:t>
            </w:r>
          </w:p>
        </w:tc>
        <w:tc>
          <w:tcPr>
            <w:tcW w:w="1528" w:type="dxa"/>
            <w:tcBorders>
              <w:top w:val="nil"/>
              <w:left w:val="nil"/>
              <w:bottom w:val="nil"/>
              <w:right w:val="nil"/>
            </w:tcBorders>
            <w:shd w:val="clear" w:color="auto" w:fill="auto"/>
            <w:noWrap/>
            <w:vAlign w:val="bottom"/>
            <w:hideMark/>
          </w:tcPr>
          <w:p w14:paraId="4828403C" w14:textId="77777777" w:rsidR="00425C84" w:rsidRPr="00425C84" w:rsidRDefault="00425C84" w:rsidP="00425C84">
            <w:pPr>
              <w:spacing w:after="0"/>
              <w:jc w:val="center"/>
              <w:rPr>
                <w:color w:val="000000"/>
                <w:sz w:val="24"/>
                <w:szCs w:val="24"/>
              </w:rPr>
            </w:pPr>
            <w:r w:rsidRPr="00425C84">
              <w:rPr>
                <w:color w:val="000000"/>
                <w:sz w:val="24"/>
                <w:szCs w:val="24"/>
              </w:rPr>
              <w:t>0.80</w:t>
            </w:r>
          </w:p>
        </w:tc>
        <w:tc>
          <w:tcPr>
            <w:tcW w:w="1910" w:type="dxa"/>
            <w:tcBorders>
              <w:top w:val="nil"/>
              <w:left w:val="nil"/>
              <w:bottom w:val="nil"/>
              <w:right w:val="nil"/>
            </w:tcBorders>
            <w:shd w:val="clear" w:color="auto" w:fill="auto"/>
            <w:noWrap/>
            <w:vAlign w:val="bottom"/>
            <w:hideMark/>
          </w:tcPr>
          <w:p w14:paraId="4B351D7B" w14:textId="77777777" w:rsidR="00425C84" w:rsidRPr="00425C84" w:rsidRDefault="00425C84" w:rsidP="00425C84">
            <w:pPr>
              <w:spacing w:after="0"/>
              <w:jc w:val="center"/>
              <w:rPr>
                <w:color w:val="000000"/>
                <w:sz w:val="24"/>
                <w:szCs w:val="24"/>
              </w:rPr>
            </w:pPr>
            <w:r w:rsidRPr="00425C84">
              <w:rPr>
                <w:color w:val="000000"/>
                <w:sz w:val="24"/>
                <w:szCs w:val="24"/>
              </w:rPr>
              <w:t>0.83</w:t>
            </w:r>
          </w:p>
        </w:tc>
      </w:tr>
      <w:tr w:rsidR="00425C84" w:rsidRPr="00425C84" w14:paraId="55437BD3" w14:textId="77777777" w:rsidTr="00425C84">
        <w:trPr>
          <w:trHeight w:val="251"/>
        </w:trPr>
        <w:tc>
          <w:tcPr>
            <w:tcW w:w="1695" w:type="dxa"/>
            <w:tcBorders>
              <w:top w:val="nil"/>
              <w:left w:val="nil"/>
              <w:bottom w:val="nil"/>
              <w:right w:val="nil"/>
            </w:tcBorders>
            <w:shd w:val="clear" w:color="auto" w:fill="auto"/>
            <w:noWrap/>
            <w:vAlign w:val="bottom"/>
            <w:hideMark/>
          </w:tcPr>
          <w:p w14:paraId="0008B655" w14:textId="77777777" w:rsidR="00425C84" w:rsidRPr="00425C84" w:rsidRDefault="00425C84" w:rsidP="00425C84">
            <w:pPr>
              <w:spacing w:after="0"/>
              <w:jc w:val="left"/>
              <w:rPr>
                <w:color w:val="000000"/>
                <w:sz w:val="24"/>
                <w:szCs w:val="24"/>
              </w:rPr>
            </w:pPr>
            <w:r w:rsidRPr="00425C84">
              <w:rPr>
                <w:color w:val="000000"/>
                <w:sz w:val="24"/>
                <w:szCs w:val="24"/>
              </w:rPr>
              <w:t>LN(R0)</w:t>
            </w:r>
          </w:p>
        </w:tc>
        <w:tc>
          <w:tcPr>
            <w:tcW w:w="1528" w:type="dxa"/>
            <w:tcBorders>
              <w:top w:val="nil"/>
              <w:left w:val="nil"/>
              <w:bottom w:val="nil"/>
              <w:right w:val="nil"/>
            </w:tcBorders>
            <w:shd w:val="clear" w:color="auto" w:fill="auto"/>
            <w:noWrap/>
            <w:vAlign w:val="bottom"/>
            <w:hideMark/>
          </w:tcPr>
          <w:p w14:paraId="69477999" w14:textId="77777777" w:rsidR="00425C84" w:rsidRPr="00425C84" w:rsidRDefault="00425C84" w:rsidP="00425C84">
            <w:pPr>
              <w:spacing w:after="0"/>
              <w:jc w:val="center"/>
              <w:rPr>
                <w:color w:val="000000"/>
                <w:sz w:val="24"/>
                <w:szCs w:val="24"/>
              </w:rPr>
            </w:pPr>
            <w:r w:rsidRPr="00425C84">
              <w:rPr>
                <w:color w:val="000000"/>
                <w:sz w:val="24"/>
                <w:szCs w:val="24"/>
              </w:rPr>
              <w:t>12.86</w:t>
            </w:r>
          </w:p>
        </w:tc>
        <w:tc>
          <w:tcPr>
            <w:tcW w:w="1528" w:type="dxa"/>
            <w:tcBorders>
              <w:top w:val="nil"/>
              <w:left w:val="nil"/>
              <w:bottom w:val="nil"/>
              <w:right w:val="nil"/>
            </w:tcBorders>
            <w:shd w:val="clear" w:color="auto" w:fill="auto"/>
            <w:noWrap/>
            <w:vAlign w:val="bottom"/>
            <w:hideMark/>
          </w:tcPr>
          <w:p w14:paraId="7610CE8D" w14:textId="77777777" w:rsidR="00425C84" w:rsidRPr="00425C84" w:rsidRDefault="00425C84" w:rsidP="00425C84">
            <w:pPr>
              <w:spacing w:after="0"/>
              <w:jc w:val="center"/>
              <w:rPr>
                <w:color w:val="000000"/>
                <w:sz w:val="24"/>
                <w:szCs w:val="24"/>
              </w:rPr>
            </w:pPr>
            <w:r w:rsidRPr="00425C84">
              <w:rPr>
                <w:color w:val="000000"/>
                <w:sz w:val="24"/>
                <w:szCs w:val="24"/>
              </w:rPr>
              <w:t>12.87</w:t>
            </w:r>
          </w:p>
        </w:tc>
        <w:tc>
          <w:tcPr>
            <w:tcW w:w="1910" w:type="dxa"/>
            <w:tcBorders>
              <w:top w:val="nil"/>
              <w:left w:val="nil"/>
              <w:bottom w:val="nil"/>
              <w:right w:val="nil"/>
            </w:tcBorders>
            <w:shd w:val="clear" w:color="auto" w:fill="auto"/>
            <w:noWrap/>
            <w:vAlign w:val="bottom"/>
            <w:hideMark/>
          </w:tcPr>
          <w:p w14:paraId="7DD0FB3E" w14:textId="77777777" w:rsidR="00425C84" w:rsidRPr="00425C84" w:rsidRDefault="00425C84" w:rsidP="00425C84">
            <w:pPr>
              <w:spacing w:after="0"/>
              <w:jc w:val="center"/>
              <w:rPr>
                <w:color w:val="000000"/>
                <w:sz w:val="24"/>
                <w:szCs w:val="24"/>
              </w:rPr>
            </w:pPr>
            <w:r w:rsidRPr="00425C84">
              <w:rPr>
                <w:color w:val="000000"/>
                <w:sz w:val="24"/>
                <w:szCs w:val="24"/>
              </w:rPr>
              <w:t>13.10</w:t>
            </w:r>
          </w:p>
        </w:tc>
      </w:tr>
      <w:tr w:rsidR="00425C84" w:rsidRPr="00425C84" w14:paraId="427466F3" w14:textId="77777777" w:rsidTr="00425C84">
        <w:trPr>
          <w:trHeight w:val="251"/>
        </w:trPr>
        <w:tc>
          <w:tcPr>
            <w:tcW w:w="1695" w:type="dxa"/>
            <w:tcBorders>
              <w:top w:val="nil"/>
              <w:left w:val="nil"/>
              <w:bottom w:val="nil"/>
              <w:right w:val="nil"/>
            </w:tcBorders>
            <w:shd w:val="clear" w:color="auto" w:fill="auto"/>
            <w:noWrap/>
            <w:vAlign w:val="bottom"/>
            <w:hideMark/>
          </w:tcPr>
          <w:p w14:paraId="18F222B3" w14:textId="77777777" w:rsidR="00425C84" w:rsidRPr="00425C84" w:rsidRDefault="00425C84" w:rsidP="00425C84">
            <w:pPr>
              <w:spacing w:after="0"/>
              <w:jc w:val="left"/>
              <w:rPr>
                <w:color w:val="000000"/>
                <w:sz w:val="24"/>
                <w:szCs w:val="24"/>
              </w:rPr>
            </w:pPr>
            <w:r w:rsidRPr="00425C84">
              <w:rPr>
                <w:color w:val="000000"/>
                <w:sz w:val="24"/>
                <w:szCs w:val="24"/>
              </w:rPr>
              <w:t>q_twl</w:t>
            </w:r>
          </w:p>
        </w:tc>
        <w:tc>
          <w:tcPr>
            <w:tcW w:w="1528" w:type="dxa"/>
            <w:tcBorders>
              <w:top w:val="nil"/>
              <w:left w:val="nil"/>
              <w:bottom w:val="nil"/>
              <w:right w:val="nil"/>
            </w:tcBorders>
            <w:shd w:val="clear" w:color="auto" w:fill="auto"/>
            <w:noWrap/>
            <w:vAlign w:val="bottom"/>
            <w:hideMark/>
          </w:tcPr>
          <w:p w14:paraId="1C29E6BA" w14:textId="77777777" w:rsidR="00425C84" w:rsidRPr="00425C84" w:rsidRDefault="00425C84" w:rsidP="00425C84">
            <w:pPr>
              <w:spacing w:after="0"/>
              <w:jc w:val="center"/>
              <w:rPr>
                <w:color w:val="000000"/>
                <w:sz w:val="24"/>
                <w:szCs w:val="24"/>
              </w:rPr>
            </w:pPr>
            <w:r w:rsidRPr="00425C84">
              <w:rPr>
                <w:color w:val="000000"/>
                <w:sz w:val="24"/>
                <w:szCs w:val="24"/>
              </w:rPr>
              <w:t>1.08</w:t>
            </w:r>
          </w:p>
        </w:tc>
        <w:tc>
          <w:tcPr>
            <w:tcW w:w="1528" w:type="dxa"/>
            <w:tcBorders>
              <w:top w:val="nil"/>
              <w:left w:val="nil"/>
              <w:bottom w:val="nil"/>
              <w:right w:val="nil"/>
            </w:tcBorders>
            <w:shd w:val="clear" w:color="auto" w:fill="auto"/>
            <w:noWrap/>
            <w:vAlign w:val="bottom"/>
            <w:hideMark/>
          </w:tcPr>
          <w:p w14:paraId="0E851BCE" w14:textId="77777777" w:rsidR="00425C84" w:rsidRPr="00425C84" w:rsidRDefault="00425C84" w:rsidP="00425C84">
            <w:pPr>
              <w:spacing w:after="0"/>
              <w:jc w:val="center"/>
              <w:rPr>
                <w:color w:val="000000"/>
                <w:sz w:val="24"/>
                <w:szCs w:val="24"/>
              </w:rPr>
            </w:pPr>
            <w:r w:rsidRPr="00425C84">
              <w:rPr>
                <w:color w:val="000000"/>
                <w:sz w:val="24"/>
                <w:szCs w:val="24"/>
              </w:rPr>
              <w:t>1.07</w:t>
            </w:r>
          </w:p>
        </w:tc>
        <w:tc>
          <w:tcPr>
            <w:tcW w:w="1910" w:type="dxa"/>
            <w:tcBorders>
              <w:top w:val="nil"/>
              <w:left w:val="nil"/>
              <w:bottom w:val="nil"/>
              <w:right w:val="nil"/>
            </w:tcBorders>
            <w:shd w:val="clear" w:color="auto" w:fill="auto"/>
            <w:noWrap/>
            <w:vAlign w:val="bottom"/>
            <w:hideMark/>
          </w:tcPr>
          <w:p w14:paraId="23886416" w14:textId="77777777" w:rsidR="00425C84" w:rsidRPr="00425C84" w:rsidRDefault="00425C84" w:rsidP="00425C84">
            <w:pPr>
              <w:spacing w:after="0"/>
              <w:jc w:val="center"/>
              <w:rPr>
                <w:color w:val="000000"/>
                <w:sz w:val="24"/>
                <w:szCs w:val="24"/>
              </w:rPr>
            </w:pPr>
            <w:r w:rsidRPr="00425C84">
              <w:rPr>
                <w:color w:val="000000"/>
                <w:sz w:val="24"/>
                <w:szCs w:val="24"/>
              </w:rPr>
              <w:t>1.16</w:t>
            </w:r>
          </w:p>
        </w:tc>
      </w:tr>
      <w:tr w:rsidR="00425C84" w:rsidRPr="00425C84" w14:paraId="0BC565C8" w14:textId="77777777" w:rsidTr="00EA59C3">
        <w:trPr>
          <w:trHeight w:val="251"/>
        </w:trPr>
        <w:tc>
          <w:tcPr>
            <w:tcW w:w="1695" w:type="dxa"/>
            <w:tcBorders>
              <w:top w:val="nil"/>
              <w:left w:val="nil"/>
              <w:right w:val="nil"/>
            </w:tcBorders>
            <w:shd w:val="clear" w:color="auto" w:fill="auto"/>
            <w:noWrap/>
            <w:vAlign w:val="bottom"/>
            <w:hideMark/>
          </w:tcPr>
          <w:p w14:paraId="069E52A5" w14:textId="77777777" w:rsidR="00425C84" w:rsidRPr="00425C84" w:rsidRDefault="00425C84" w:rsidP="00425C84">
            <w:pPr>
              <w:spacing w:after="0"/>
              <w:jc w:val="left"/>
              <w:rPr>
                <w:color w:val="000000"/>
                <w:sz w:val="24"/>
                <w:szCs w:val="24"/>
              </w:rPr>
            </w:pPr>
            <w:r w:rsidRPr="00425C84">
              <w:rPr>
                <w:color w:val="000000"/>
                <w:sz w:val="24"/>
                <w:szCs w:val="24"/>
              </w:rPr>
              <w:t>q_ll</w:t>
            </w:r>
          </w:p>
        </w:tc>
        <w:tc>
          <w:tcPr>
            <w:tcW w:w="1528" w:type="dxa"/>
            <w:tcBorders>
              <w:top w:val="nil"/>
              <w:left w:val="nil"/>
              <w:right w:val="nil"/>
            </w:tcBorders>
            <w:shd w:val="clear" w:color="auto" w:fill="auto"/>
            <w:noWrap/>
            <w:vAlign w:val="bottom"/>
            <w:hideMark/>
          </w:tcPr>
          <w:p w14:paraId="02D539AB" w14:textId="77777777" w:rsidR="00425C84" w:rsidRPr="00425C84" w:rsidRDefault="00425C84" w:rsidP="00425C84">
            <w:pPr>
              <w:spacing w:after="0"/>
              <w:jc w:val="center"/>
              <w:rPr>
                <w:color w:val="000000"/>
                <w:sz w:val="24"/>
                <w:szCs w:val="24"/>
              </w:rPr>
            </w:pPr>
            <w:r w:rsidRPr="00425C84">
              <w:rPr>
                <w:color w:val="000000"/>
                <w:sz w:val="24"/>
                <w:szCs w:val="24"/>
              </w:rPr>
              <w:t>1.06</w:t>
            </w:r>
          </w:p>
        </w:tc>
        <w:tc>
          <w:tcPr>
            <w:tcW w:w="1528" w:type="dxa"/>
            <w:tcBorders>
              <w:top w:val="nil"/>
              <w:left w:val="nil"/>
              <w:right w:val="nil"/>
            </w:tcBorders>
            <w:shd w:val="clear" w:color="auto" w:fill="auto"/>
            <w:noWrap/>
            <w:vAlign w:val="bottom"/>
            <w:hideMark/>
          </w:tcPr>
          <w:p w14:paraId="491211AA" w14:textId="77777777" w:rsidR="00425C84" w:rsidRPr="00425C84" w:rsidRDefault="00425C84" w:rsidP="00425C84">
            <w:pPr>
              <w:spacing w:after="0"/>
              <w:jc w:val="center"/>
              <w:rPr>
                <w:color w:val="000000"/>
                <w:sz w:val="24"/>
                <w:szCs w:val="24"/>
              </w:rPr>
            </w:pPr>
            <w:r w:rsidRPr="00425C84">
              <w:rPr>
                <w:color w:val="000000"/>
                <w:sz w:val="24"/>
                <w:szCs w:val="24"/>
              </w:rPr>
              <w:t>1.06</w:t>
            </w:r>
          </w:p>
        </w:tc>
        <w:tc>
          <w:tcPr>
            <w:tcW w:w="1910" w:type="dxa"/>
            <w:tcBorders>
              <w:top w:val="nil"/>
              <w:left w:val="nil"/>
              <w:right w:val="nil"/>
            </w:tcBorders>
            <w:shd w:val="clear" w:color="auto" w:fill="auto"/>
            <w:noWrap/>
            <w:vAlign w:val="bottom"/>
            <w:hideMark/>
          </w:tcPr>
          <w:p w14:paraId="553C779B" w14:textId="77777777" w:rsidR="00425C84" w:rsidRPr="00425C84" w:rsidRDefault="00425C84" w:rsidP="00425C84">
            <w:pPr>
              <w:spacing w:after="0"/>
              <w:jc w:val="center"/>
              <w:rPr>
                <w:color w:val="000000"/>
                <w:sz w:val="24"/>
                <w:szCs w:val="24"/>
              </w:rPr>
            </w:pPr>
            <w:r w:rsidRPr="00425C84">
              <w:rPr>
                <w:color w:val="000000"/>
                <w:sz w:val="24"/>
                <w:szCs w:val="24"/>
              </w:rPr>
              <w:t>1.07</w:t>
            </w:r>
          </w:p>
        </w:tc>
      </w:tr>
      <w:tr w:rsidR="00425C84" w:rsidRPr="00425C84" w14:paraId="039D10EF" w14:textId="77777777" w:rsidTr="00EA59C3">
        <w:trPr>
          <w:trHeight w:val="251"/>
        </w:trPr>
        <w:tc>
          <w:tcPr>
            <w:tcW w:w="1695" w:type="dxa"/>
            <w:tcBorders>
              <w:top w:val="nil"/>
              <w:left w:val="nil"/>
              <w:bottom w:val="single" w:sz="4" w:space="0" w:color="auto"/>
              <w:right w:val="nil"/>
            </w:tcBorders>
            <w:shd w:val="clear" w:color="auto" w:fill="auto"/>
            <w:noWrap/>
            <w:vAlign w:val="bottom"/>
            <w:hideMark/>
          </w:tcPr>
          <w:p w14:paraId="2EDE4F6C" w14:textId="77777777" w:rsidR="00425C84" w:rsidRPr="00425C84" w:rsidRDefault="00425C84" w:rsidP="00425C84">
            <w:pPr>
              <w:spacing w:after="0"/>
              <w:jc w:val="left"/>
              <w:rPr>
                <w:color w:val="000000"/>
                <w:sz w:val="24"/>
                <w:szCs w:val="24"/>
              </w:rPr>
            </w:pPr>
            <w:r w:rsidRPr="00425C84">
              <w:rPr>
                <w:color w:val="000000"/>
                <w:sz w:val="24"/>
                <w:szCs w:val="24"/>
              </w:rPr>
              <w:t>q_llenv</w:t>
            </w:r>
          </w:p>
        </w:tc>
        <w:tc>
          <w:tcPr>
            <w:tcW w:w="1528" w:type="dxa"/>
            <w:tcBorders>
              <w:top w:val="nil"/>
              <w:left w:val="nil"/>
              <w:bottom w:val="single" w:sz="4" w:space="0" w:color="auto"/>
              <w:right w:val="nil"/>
            </w:tcBorders>
            <w:shd w:val="clear" w:color="auto" w:fill="auto"/>
            <w:noWrap/>
            <w:vAlign w:val="bottom"/>
            <w:hideMark/>
          </w:tcPr>
          <w:p w14:paraId="2199AAB1" w14:textId="77777777" w:rsidR="00425C84" w:rsidRPr="00425C84" w:rsidRDefault="00425C84" w:rsidP="00425C84">
            <w:pPr>
              <w:spacing w:after="0"/>
              <w:jc w:val="center"/>
              <w:rPr>
                <w:color w:val="000000"/>
                <w:sz w:val="24"/>
                <w:szCs w:val="24"/>
              </w:rPr>
            </w:pPr>
            <w:r w:rsidRPr="00425C84">
              <w:rPr>
                <w:color w:val="000000"/>
                <w:sz w:val="24"/>
                <w:szCs w:val="24"/>
              </w:rPr>
              <w:t>1.42</w:t>
            </w:r>
          </w:p>
        </w:tc>
        <w:tc>
          <w:tcPr>
            <w:tcW w:w="1528" w:type="dxa"/>
            <w:tcBorders>
              <w:top w:val="nil"/>
              <w:left w:val="nil"/>
              <w:bottom w:val="single" w:sz="4" w:space="0" w:color="auto"/>
              <w:right w:val="nil"/>
            </w:tcBorders>
            <w:shd w:val="clear" w:color="auto" w:fill="auto"/>
            <w:noWrap/>
            <w:vAlign w:val="bottom"/>
            <w:hideMark/>
          </w:tcPr>
          <w:p w14:paraId="1F361495" w14:textId="77777777" w:rsidR="00425C84" w:rsidRPr="00425C84" w:rsidRDefault="00425C84" w:rsidP="00425C84">
            <w:pPr>
              <w:spacing w:after="0"/>
              <w:jc w:val="center"/>
              <w:rPr>
                <w:color w:val="000000"/>
                <w:sz w:val="24"/>
                <w:szCs w:val="24"/>
              </w:rPr>
            </w:pPr>
            <w:r w:rsidRPr="00425C84">
              <w:rPr>
                <w:color w:val="000000"/>
                <w:sz w:val="24"/>
                <w:szCs w:val="24"/>
              </w:rPr>
              <w:t>1.46</w:t>
            </w:r>
          </w:p>
        </w:tc>
        <w:tc>
          <w:tcPr>
            <w:tcW w:w="1910" w:type="dxa"/>
            <w:tcBorders>
              <w:top w:val="nil"/>
              <w:left w:val="nil"/>
              <w:bottom w:val="single" w:sz="4" w:space="0" w:color="auto"/>
              <w:right w:val="nil"/>
            </w:tcBorders>
            <w:shd w:val="clear" w:color="auto" w:fill="auto"/>
            <w:noWrap/>
            <w:vAlign w:val="bottom"/>
            <w:hideMark/>
          </w:tcPr>
          <w:p w14:paraId="78C04828" w14:textId="77777777" w:rsidR="00425C84" w:rsidRPr="00425C84" w:rsidRDefault="00425C84" w:rsidP="00425C84">
            <w:pPr>
              <w:spacing w:after="0"/>
              <w:jc w:val="center"/>
              <w:rPr>
                <w:color w:val="000000"/>
                <w:sz w:val="24"/>
                <w:szCs w:val="24"/>
              </w:rPr>
            </w:pPr>
            <w:r w:rsidRPr="00425C84">
              <w:rPr>
                <w:color w:val="000000"/>
                <w:sz w:val="24"/>
                <w:szCs w:val="24"/>
              </w:rPr>
              <w:t>1.37</w:t>
            </w:r>
          </w:p>
        </w:tc>
      </w:tr>
    </w:tbl>
    <w:p w14:paraId="46F81780" w14:textId="77777777" w:rsidR="00425C84" w:rsidRPr="00425C84" w:rsidRDefault="00425C84"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r w:rsidR="00782B27">
        <w:rPr>
          <w:sz w:val="24"/>
          <w:szCs w:val="24"/>
        </w:rPr>
        <w:t xml:space="preserve">AgeingError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7557449B" w:rsidR="0067137F" w:rsidRPr="00711F03" w:rsidRDefault="001013F4" w:rsidP="00331328">
      <w:pPr>
        <w:jc w:val="left"/>
        <w:rPr>
          <w:sz w:val="24"/>
          <w:szCs w:val="24"/>
        </w:rPr>
      </w:pPr>
      <w:r w:rsidRPr="001013F4">
        <w:rPr>
          <w:noProof/>
          <w:sz w:val="24"/>
          <w:szCs w:val="24"/>
        </w:rPr>
        <w:lastRenderedPageBreak/>
        <w:drawing>
          <wp:inline distT="0" distB="0" distL="0" distR="0" wp14:anchorId="6E0114F4" wp14:editId="389DE94F">
            <wp:extent cx="5943600" cy="5943600"/>
            <wp:effectExtent l="0" t="0" r="0" b="0"/>
            <wp:docPr id="3" name="Picture 3"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comp_compare_pot_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 xml:space="preserve">after removing the greater than 10 lengths per haul filter and </w:t>
      </w:r>
      <w:r w:rsidR="006C1F7A">
        <w:rPr>
          <w:sz w:val="24"/>
          <w:szCs w:val="24"/>
        </w:rPr>
        <w:t>merging ADF&amp;G length frequency data with federal data (bottom panel).</w:t>
      </w:r>
    </w:p>
    <w:p w14:paraId="0FFBF6BE" w14:textId="08570192" w:rsidR="0067137F" w:rsidRPr="00711F03" w:rsidRDefault="00EC31D7" w:rsidP="00331328">
      <w:pPr>
        <w:jc w:val="left"/>
        <w:rPr>
          <w:sz w:val="24"/>
          <w:szCs w:val="24"/>
        </w:rPr>
      </w:pPr>
      <w:r w:rsidRPr="00EC31D7">
        <w:rPr>
          <w:noProof/>
          <w:sz w:val="24"/>
          <w:szCs w:val="24"/>
        </w:rPr>
        <w:lastRenderedPageBreak/>
        <w:drawing>
          <wp:inline distT="0" distB="0" distL="0" distR="0" wp14:anchorId="6A6E95A4" wp14:editId="14D4C333">
            <wp:extent cx="5943600" cy="3467100"/>
            <wp:effectExtent l="0" t="0" r="0" b="0"/>
            <wp:docPr id="5" name="Picture 5"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Asmnts\goa_pcod\2024\plots\other\lcomp_compare_bin_tsrv.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69903BA" w14:textId="1C65D840"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1cm (lcomp_new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127CB747" w:rsidR="000802F6" w:rsidRDefault="000802F6" w:rsidP="00047D84">
      <w:pPr>
        <w:jc w:val="left"/>
        <w:rPr>
          <w:sz w:val="24"/>
          <w:szCs w:val="24"/>
        </w:rPr>
      </w:pPr>
      <w:r w:rsidRPr="000802F6">
        <w:rPr>
          <w:noProof/>
          <w:sz w:val="24"/>
          <w:szCs w:val="24"/>
        </w:rPr>
        <w:lastRenderedPageBreak/>
        <w:drawing>
          <wp:inline distT="0" distB="0" distL="0" distR="0" wp14:anchorId="5E4D5A40" wp14:editId="2099E81F">
            <wp:extent cx="5943600" cy="4572000"/>
            <wp:effectExtent l="0" t="0" r="0" b="0"/>
            <wp:docPr id="4" name="Picture 4"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rsch\output\compare\data_plots\decompare2_spawnbio_uncertain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2B6F256D" w:rsidR="00425C84" w:rsidRDefault="00425C84" w:rsidP="00047D84">
      <w:pPr>
        <w:jc w:val="left"/>
        <w:rPr>
          <w:sz w:val="24"/>
          <w:szCs w:val="24"/>
        </w:rPr>
      </w:pPr>
      <w:r w:rsidRPr="00425C84">
        <w:rPr>
          <w:noProof/>
          <w:sz w:val="24"/>
          <w:szCs w:val="24"/>
        </w:rPr>
        <w:lastRenderedPageBreak/>
        <w:drawing>
          <wp:inline distT="0" distB="0" distL="0" distR="0" wp14:anchorId="6BB2E856" wp14:editId="799720DF">
            <wp:extent cx="5943600" cy="4572000"/>
            <wp:effectExtent l="0" t="0" r="0" b="0"/>
            <wp:docPr id="16" name="Picture 16"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rsch\output\compare\data_plots\becompare2_spawnbio_uncertaint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 xml:space="preserve">Figure 10. </w:t>
      </w:r>
      <w:r>
        <w:rPr>
          <w:sz w:val="24"/>
          <w:szCs w:val="24"/>
        </w:rPr>
        <w:t xml:space="preserve">Estimated spawning biomass from </w:t>
      </w:r>
      <w:r>
        <w:rPr>
          <w:sz w:val="24"/>
          <w:szCs w:val="24"/>
        </w:rPr>
        <w:t>the 2023 assessment model 2019.1b, model 2019.1b with updated data through 2024, and the recommended model 2019.1e.5cm</w:t>
      </w:r>
      <w:r>
        <w:rPr>
          <w:sz w:val="24"/>
          <w:szCs w:val="24"/>
        </w:rPr>
        <w:t>.</w:t>
      </w:r>
    </w:p>
    <w:p w14:paraId="1A4DEE9E" w14:textId="6D024B4E" w:rsidR="00B51B2F" w:rsidRDefault="00B51B2F" w:rsidP="00425C84">
      <w:pPr>
        <w:jc w:val="left"/>
        <w:rPr>
          <w:sz w:val="24"/>
          <w:szCs w:val="24"/>
        </w:rPr>
      </w:pPr>
      <w:r w:rsidRPr="00B51B2F">
        <w:rPr>
          <w:noProof/>
          <w:sz w:val="24"/>
          <w:szCs w:val="24"/>
        </w:rPr>
        <w:lastRenderedPageBreak/>
        <w:drawing>
          <wp:inline distT="0" distB="0" distL="0" distR="0" wp14:anchorId="0184B793" wp14:editId="5C9C1794">
            <wp:extent cx="5943600" cy="4572000"/>
            <wp:effectExtent l="0" t="0" r="0" b="0"/>
            <wp:docPr id="18" name="Picture 18"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9_recrui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 xml:space="preserve">Figure 11. </w:t>
      </w:r>
      <w:r>
        <w:rPr>
          <w:sz w:val="24"/>
          <w:szCs w:val="24"/>
        </w:rPr>
        <w:t xml:space="preserve">Estimated </w:t>
      </w:r>
      <w:r>
        <w:rPr>
          <w:sz w:val="24"/>
          <w:szCs w:val="24"/>
        </w:rPr>
        <w:t>recruitment</w:t>
      </w:r>
      <w:r>
        <w:rPr>
          <w:sz w:val="24"/>
          <w:szCs w:val="24"/>
        </w:rPr>
        <w:t xml:space="preserve"> from the 2023 assessment model 2019.1b, model 2019.1b with updated data through 2024, and the recommended model 2019.1e.5cm.</w:t>
      </w:r>
    </w:p>
    <w:p w14:paraId="3A0DB2E0" w14:textId="7ED868F3" w:rsidR="00B51B2F" w:rsidRDefault="00B51B2F" w:rsidP="00B51B2F">
      <w:pPr>
        <w:jc w:val="left"/>
        <w:rPr>
          <w:sz w:val="24"/>
          <w:szCs w:val="24"/>
        </w:rPr>
      </w:pPr>
      <w:r w:rsidRPr="00B51B2F">
        <w:rPr>
          <w:noProof/>
          <w:sz w:val="24"/>
          <w:szCs w:val="24"/>
        </w:rPr>
        <w:lastRenderedPageBreak/>
        <w:drawing>
          <wp:inline distT="0" distB="0" distL="0" distR="0" wp14:anchorId="24EF135F" wp14:editId="4277503B">
            <wp:extent cx="5943600" cy="4572000"/>
            <wp:effectExtent l="0" t="0" r="0" b="0"/>
            <wp:docPr id="19" name="Picture 19"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8_Fvalue_uncertaint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4859015" w14:textId="70432235" w:rsidR="00B51B2F" w:rsidRDefault="00B51B2F" w:rsidP="00B51B2F">
      <w:pPr>
        <w:jc w:val="left"/>
        <w:rPr>
          <w:sz w:val="24"/>
          <w:szCs w:val="24"/>
        </w:rPr>
      </w:pPr>
      <w:r>
        <w:rPr>
          <w:sz w:val="24"/>
          <w:szCs w:val="24"/>
        </w:rPr>
        <w:t>Figure 12.</w:t>
      </w:r>
      <w:r>
        <w:rPr>
          <w:sz w:val="24"/>
          <w:szCs w:val="24"/>
        </w:rPr>
        <w:t xml:space="preserve"> Estimated </w:t>
      </w:r>
      <w:r>
        <w:rPr>
          <w:sz w:val="24"/>
          <w:szCs w:val="24"/>
        </w:rPr>
        <w:t>fishing mortality</w:t>
      </w:r>
      <w:r>
        <w:rPr>
          <w:sz w:val="24"/>
          <w:szCs w:val="24"/>
        </w:rPr>
        <w:t xml:space="preserve"> from the 2023 assessment model 2019.1b, model 2019.1b with updated data through 2024, and the recommended model 2019.1e.5cm.</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6"/>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BF735" w14:textId="77777777" w:rsidR="00B73643" w:rsidRDefault="00B73643">
      <w:pPr>
        <w:spacing w:after="0"/>
      </w:pPr>
      <w:r>
        <w:separator/>
      </w:r>
    </w:p>
  </w:endnote>
  <w:endnote w:type="continuationSeparator" w:id="0">
    <w:p w14:paraId="439B8752" w14:textId="77777777" w:rsidR="00B73643" w:rsidRDefault="00B736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50F85CAD" w:rsidR="00990418" w:rsidRDefault="00990418">
        <w:pPr>
          <w:pStyle w:val="Footer"/>
          <w:jc w:val="center"/>
        </w:pPr>
        <w:r>
          <w:fldChar w:fldCharType="begin"/>
        </w:r>
        <w:r>
          <w:instrText xml:space="preserve"> PAGE   \* MERGEFORMAT </w:instrText>
        </w:r>
        <w:r>
          <w:fldChar w:fldCharType="separate"/>
        </w:r>
        <w:r w:rsidR="00B51B2F">
          <w:rPr>
            <w:noProof/>
          </w:rPr>
          <w:t>8</w:t>
        </w:r>
        <w:r>
          <w:rPr>
            <w:noProof/>
          </w:rPr>
          <w:fldChar w:fldCharType="end"/>
        </w:r>
      </w:p>
    </w:sdtContent>
  </w:sdt>
  <w:p w14:paraId="41DD732A" w14:textId="77777777" w:rsidR="00990418" w:rsidRDefault="00990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DED55" w14:textId="77777777" w:rsidR="00B73643" w:rsidRDefault="00B73643">
      <w:pPr>
        <w:spacing w:after="0"/>
      </w:pPr>
      <w:r>
        <w:separator/>
      </w:r>
    </w:p>
  </w:footnote>
  <w:footnote w:type="continuationSeparator" w:id="0">
    <w:p w14:paraId="414E1ACE" w14:textId="77777777" w:rsidR="00B73643" w:rsidRDefault="00B736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1264E"/>
    <w:rsid w:val="0002571A"/>
    <w:rsid w:val="000313FD"/>
    <w:rsid w:val="00033A08"/>
    <w:rsid w:val="00047D84"/>
    <w:rsid w:val="00057FA0"/>
    <w:rsid w:val="000702B9"/>
    <w:rsid w:val="000802F6"/>
    <w:rsid w:val="00083DC2"/>
    <w:rsid w:val="00086083"/>
    <w:rsid w:val="000A2F5F"/>
    <w:rsid w:val="000A721A"/>
    <w:rsid w:val="000B7A48"/>
    <w:rsid w:val="000C4EBC"/>
    <w:rsid w:val="000D6DA0"/>
    <w:rsid w:val="000F3A86"/>
    <w:rsid w:val="001013F4"/>
    <w:rsid w:val="00105165"/>
    <w:rsid w:val="00161770"/>
    <w:rsid w:val="00167894"/>
    <w:rsid w:val="00177C09"/>
    <w:rsid w:val="001A300F"/>
    <w:rsid w:val="001C467B"/>
    <w:rsid w:val="001D0170"/>
    <w:rsid w:val="001D7FE8"/>
    <w:rsid w:val="00200974"/>
    <w:rsid w:val="00220C2D"/>
    <w:rsid w:val="00232DEF"/>
    <w:rsid w:val="00233CB4"/>
    <w:rsid w:val="002510E9"/>
    <w:rsid w:val="00251493"/>
    <w:rsid w:val="00254EB8"/>
    <w:rsid w:val="002576DF"/>
    <w:rsid w:val="00260461"/>
    <w:rsid w:val="00274CF1"/>
    <w:rsid w:val="002A30F5"/>
    <w:rsid w:val="002A36D7"/>
    <w:rsid w:val="002A519C"/>
    <w:rsid w:val="002A5B8B"/>
    <w:rsid w:val="002A7C8F"/>
    <w:rsid w:val="002C0B9B"/>
    <w:rsid w:val="002F4E33"/>
    <w:rsid w:val="00331328"/>
    <w:rsid w:val="00334D4B"/>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30096"/>
    <w:rsid w:val="00435501"/>
    <w:rsid w:val="00446972"/>
    <w:rsid w:val="00454148"/>
    <w:rsid w:val="00471C21"/>
    <w:rsid w:val="004A6B71"/>
    <w:rsid w:val="004D68F5"/>
    <w:rsid w:val="004E7779"/>
    <w:rsid w:val="00517B0B"/>
    <w:rsid w:val="00546C3C"/>
    <w:rsid w:val="00546D11"/>
    <w:rsid w:val="00556016"/>
    <w:rsid w:val="0055631D"/>
    <w:rsid w:val="00561165"/>
    <w:rsid w:val="00567524"/>
    <w:rsid w:val="005747CE"/>
    <w:rsid w:val="005843FB"/>
    <w:rsid w:val="00590215"/>
    <w:rsid w:val="005A4736"/>
    <w:rsid w:val="005C4BBD"/>
    <w:rsid w:val="005D2416"/>
    <w:rsid w:val="005D4389"/>
    <w:rsid w:val="005E7D59"/>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5399D"/>
    <w:rsid w:val="0086037D"/>
    <w:rsid w:val="008B2012"/>
    <w:rsid w:val="008B2EF3"/>
    <w:rsid w:val="008E5437"/>
    <w:rsid w:val="008F24F0"/>
    <w:rsid w:val="008F351E"/>
    <w:rsid w:val="008F5443"/>
    <w:rsid w:val="009030D8"/>
    <w:rsid w:val="00904A7F"/>
    <w:rsid w:val="009059E2"/>
    <w:rsid w:val="00913C48"/>
    <w:rsid w:val="009228BF"/>
    <w:rsid w:val="0092765D"/>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52B6E"/>
    <w:rsid w:val="00A558BD"/>
    <w:rsid w:val="00A81834"/>
    <w:rsid w:val="00AB2CFB"/>
    <w:rsid w:val="00B110EF"/>
    <w:rsid w:val="00B15355"/>
    <w:rsid w:val="00B24CE1"/>
    <w:rsid w:val="00B25842"/>
    <w:rsid w:val="00B407FD"/>
    <w:rsid w:val="00B51B2F"/>
    <w:rsid w:val="00B55FEB"/>
    <w:rsid w:val="00B72960"/>
    <w:rsid w:val="00B73643"/>
    <w:rsid w:val="00B73718"/>
    <w:rsid w:val="00B75C26"/>
    <w:rsid w:val="00B966CA"/>
    <w:rsid w:val="00B97A3B"/>
    <w:rsid w:val="00BE49E4"/>
    <w:rsid w:val="00BE7BF7"/>
    <w:rsid w:val="00C158B1"/>
    <w:rsid w:val="00C541A6"/>
    <w:rsid w:val="00C61C16"/>
    <w:rsid w:val="00C74AB8"/>
    <w:rsid w:val="00C915BC"/>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70C8C"/>
    <w:rsid w:val="00E70D24"/>
    <w:rsid w:val="00E72619"/>
    <w:rsid w:val="00E85D72"/>
    <w:rsid w:val="00E978DE"/>
    <w:rsid w:val="00EA59C3"/>
    <w:rsid w:val="00EB7076"/>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irp.org/(S(351jmbntvnsjt1aadkposzje))/journal/articles.aspx?searchCode=Bernat+Codina&amp;searchField=authors&amp;page=1"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scirp.org/(S(351jmbntvnsjt1aadkposzje))/journal/articles.aspx?searchCode=Ignasi+Porras&amp;searchField=authors&amp;page=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rp.org/(S(351jmbntvnsjt1aadkposzje))/journal/articles.aspx?searchCode=Marta+Masdeu&amp;searchField=authors&amp;page=1"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scirp.org/(S(351jmbntvnsjt1aadkposzje))/journal/articles.aspx?searchCode=Anna+Domingo-Dalmau&amp;searchField=authors&amp;page=1"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www.scirp.org/(S(351jmbntvnsjt1aadkposzje))/journal/articles.aspx?searchCode=M%c2%aa+%c3%81ngeles+Gonz%c3%a1lez&amp;searchField=authors&amp;page=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B34BAF-C8E0-40B7-B2AB-DE0A81BB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21</Pages>
  <Words>3258</Words>
  <Characters>18574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NPFMC Gulf of Alaska Groundfish Plan Team</dc:creator>
  <cp:lastModifiedBy>Pete.Hulson</cp:lastModifiedBy>
  <cp:revision>13</cp:revision>
  <dcterms:created xsi:type="dcterms:W3CDTF">2023-09-13T23:05:00Z</dcterms:created>
  <dcterms:modified xsi:type="dcterms:W3CDTF">2024-09-07T20:05:00Z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