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 xml:space="preserve">Pete </w:t>
      </w:r>
      <w:proofErr w:type="spellStart"/>
      <w:r w:rsidRPr="00711F03">
        <w:rPr>
          <w:sz w:val="24"/>
          <w:szCs w:val="24"/>
        </w:rPr>
        <w:t>Hulson</w:t>
      </w:r>
      <w:proofErr w:type="spellEnd"/>
      <w:r w:rsidR="000313FD" w:rsidRPr="00711F03">
        <w:rPr>
          <w:sz w:val="24"/>
          <w:szCs w:val="24"/>
        </w:rPr>
        <w:t xml:space="preserve">, Steve </w:t>
      </w:r>
      <w:proofErr w:type="spellStart"/>
      <w:r w:rsidR="000313FD" w:rsidRPr="00711F03">
        <w:rPr>
          <w:sz w:val="24"/>
          <w:szCs w:val="24"/>
        </w:rPr>
        <w:t>Barbeaux</w:t>
      </w:r>
      <w:proofErr w:type="spellEnd"/>
      <w:r w:rsidR="000313FD" w:rsidRPr="00711F03">
        <w:rPr>
          <w:sz w:val="24"/>
          <w:szCs w:val="24"/>
        </w:rPr>
        <w:t>,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FBC08E2" w14:textId="6A2B5CBE" w:rsidR="000313FD" w:rsidRPr="00AA7891" w:rsidRDefault="00425C97" w:rsidP="00987064">
      <w:pPr>
        <w:jc w:val="left"/>
        <w:rPr>
          <w:sz w:val="24"/>
          <w:szCs w:val="24"/>
        </w:rPr>
      </w:pPr>
      <w:r w:rsidRPr="00AA7891">
        <w:rPr>
          <w:sz w:val="24"/>
          <w:szCs w:val="24"/>
        </w:rPr>
        <w:t>The</w:t>
      </w:r>
      <w:r w:rsidR="000313FD" w:rsidRPr="00AA7891">
        <w:rPr>
          <w:sz w:val="24"/>
          <w:szCs w:val="24"/>
        </w:rPr>
        <w:t xml:space="preserve"> </w:t>
      </w:r>
      <w:r w:rsidRPr="00AA7891">
        <w:rPr>
          <w:sz w:val="24"/>
          <w:szCs w:val="24"/>
        </w:rPr>
        <w:t>explored</w:t>
      </w:r>
      <w:r w:rsidR="000313FD" w:rsidRPr="00AA7891">
        <w:rPr>
          <w:sz w:val="24"/>
          <w:szCs w:val="24"/>
        </w:rPr>
        <w:t xml:space="preserve"> model </w:t>
      </w:r>
      <w:r w:rsidR="0060280C" w:rsidRPr="00AA7891">
        <w:rPr>
          <w:sz w:val="24"/>
          <w:szCs w:val="24"/>
        </w:rPr>
        <w:t>alternatives</w:t>
      </w:r>
      <w:r w:rsidRPr="00AA7891">
        <w:rPr>
          <w:sz w:val="24"/>
          <w:szCs w:val="24"/>
        </w:rPr>
        <w:t xml:space="preserve"> for the 2024</w:t>
      </w:r>
      <w:r w:rsidR="000313FD" w:rsidRPr="00AA7891">
        <w:rPr>
          <w:sz w:val="24"/>
          <w:szCs w:val="24"/>
        </w:rPr>
        <w:t xml:space="preserve"> assessment of Gulf of Alaska (GOA) Pacific cod</w:t>
      </w:r>
      <w:r w:rsidRPr="00AA7891">
        <w:rPr>
          <w:sz w:val="24"/>
          <w:szCs w:val="24"/>
        </w:rPr>
        <w:t xml:space="preserve"> involve changes to input data.</w:t>
      </w:r>
      <w:r w:rsidR="000313FD" w:rsidRPr="00AA7891">
        <w:rPr>
          <w:sz w:val="24"/>
          <w:szCs w:val="24"/>
        </w:rPr>
        <w:t xml:space="preserve"> </w:t>
      </w:r>
      <w:r w:rsidRPr="00AA7891">
        <w:rPr>
          <w:sz w:val="24"/>
          <w:szCs w:val="24"/>
        </w:rPr>
        <w:t>T</w:t>
      </w:r>
      <w:r w:rsidR="00FA33F6" w:rsidRPr="00AA7891">
        <w:rPr>
          <w:sz w:val="24"/>
          <w:szCs w:val="24"/>
        </w:rPr>
        <w:t>he</w:t>
      </w:r>
      <w:r w:rsidRPr="00AA7891">
        <w:rPr>
          <w:sz w:val="24"/>
          <w:szCs w:val="24"/>
        </w:rPr>
        <w:t xml:space="preserve"> changes</w:t>
      </w:r>
      <w:r w:rsidR="00FA33F6" w:rsidRPr="00AA7891">
        <w:rPr>
          <w:sz w:val="24"/>
          <w:szCs w:val="24"/>
        </w:rPr>
        <w:t xml:space="preserve"> implemented in the model alternatives include correcting errors in data input files, improving model consistency with other</w:t>
      </w:r>
      <w:r w:rsidR="00D9256C" w:rsidRPr="00AA7891">
        <w:rPr>
          <w:sz w:val="24"/>
          <w:szCs w:val="24"/>
        </w:rPr>
        <w:t xml:space="preserve"> AFSC</w:t>
      </w:r>
      <w:r w:rsidR="00FA33F6" w:rsidRPr="00AA7891">
        <w:rPr>
          <w:sz w:val="24"/>
          <w:szCs w:val="24"/>
        </w:rPr>
        <w:t xml:space="preserve"> cod assessments, updating important data input parameters, simplifying fishery length composition expansion methods, and improving model efficiency.</w:t>
      </w:r>
      <w:r w:rsidR="00AA7891" w:rsidRPr="00AA7891">
        <w:rPr>
          <w:sz w:val="24"/>
          <w:szCs w:val="24"/>
        </w:rPr>
        <w:t xml:space="preserve"> </w:t>
      </w:r>
      <w:r w:rsidR="00FA33F6" w:rsidRPr="00AA7891">
        <w:rPr>
          <w:sz w:val="24"/>
          <w:szCs w:val="24"/>
        </w:rPr>
        <w:t>Ultimately, the model</w:t>
      </w:r>
      <w:r w:rsidR="00CF63B7" w:rsidRPr="00AA7891">
        <w:rPr>
          <w:sz w:val="24"/>
          <w:szCs w:val="24"/>
        </w:rPr>
        <w:t>s</w:t>
      </w:r>
      <w:r w:rsidR="00FA33F6" w:rsidRPr="00AA7891">
        <w:rPr>
          <w:sz w:val="24"/>
          <w:szCs w:val="24"/>
        </w:rPr>
        <w:t xml:space="preserve"> we recommend be presented for consideration at the November </w:t>
      </w:r>
      <w:proofErr w:type="spellStart"/>
      <w:r w:rsidR="00FA33F6" w:rsidRPr="00AA7891">
        <w:rPr>
          <w:sz w:val="24"/>
          <w:szCs w:val="24"/>
        </w:rPr>
        <w:t>Groundfish</w:t>
      </w:r>
      <w:proofErr w:type="spellEnd"/>
      <w:r w:rsidR="00FA33F6" w:rsidRPr="00AA7891">
        <w:rPr>
          <w:sz w:val="24"/>
          <w:szCs w:val="24"/>
        </w:rPr>
        <w:t xml:space="preserve"> Plan Team</w:t>
      </w:r>
      <w:r w:rsidR="000313FD" w:rsidRPr="00AA7891">
        <w:rPr>
          <w:sz w:val="24"/>
          <w:szCs w:val="24"/>
        </w:rPr>
        <w:t xml:space="preserve"> result</w:t>
      </w:r>
      <w:r w:rsidR="00FA33F6" w:rsidRPr="00AA7891">
        <w:rPr>
          <w:sz w:val="24"/>
          <w:szCs w:val="24"/>
        </w:rPr>
        <w:t>s</w:t>
      </w:r>
      <w:r w:rsidR="000313FD" w:rsidRPr="00AA7891">
        <w:rPr>
          <w:sz w:val="24"/>
          <w:szCs w:val="24"/>
        </w:rPr>
        <w:t xml:space="preserve"> in improvements as compared t</w:t>
      </w:r>
      <w:r w:rsidR="00FA33F6" w:rsidRPr="00AA7891">
        <w:rPr>
          <w:sz w:val="24"/>
          <w:szCs w:val="24"/>
        </w:rPr>
        <w:t>o the accepted model in 2023 (model 2019.1b</w:t>
      </w:r>
      <w:r w:rsidR="000313FD" w:rsidRPr="00AA7891">
        <w:rPr>
          <w:sz w:val="24"/>
          <w:szCs w:val="24"/>
        </w:rPr>
        <w:t>)</w:t>
      </w:r>
      <w:r w:rsidR="0060280C" w:rsidRPr="00AA7891">
        <w:rPr>
          <w:sz w:val="24"/>
          <w:szCs w:val="24"/>
        </w:rPr>
        <w:t>.</w:t>
      </w:r>
    </w:p>
    <w:p w14:paraId="1C91E1E5" w14:textId="34D89B53" w:rsidR="00AA7891" w:rsidRPr="00AA7891" w:rsidRDefault="00AA7891" w:rsidP="00987064">
      <w:pPr>
        <w:jc w:val="left"/>
        <w:rPr>
          <w:sz w:val="24"/>
          <w:szCs w:val="24"/>
        </w:rPr>
      </w:pPr>
      <w:r w:rsidRPr="00AA7891">
        <w:rPr>
          <w:sz w:val="24"/>
          <w:szCs w:val="24"/>
        </w:rPr>
        <w:t>Including the AFSC longline survey within the REMA model for appor</w:t>
      </w:r>
      <w:r w:rsidR="00AF0231">
        <w:rPr>
          <w:sz w:val="24"/>
          <w:szCs w:val="24"/>
        </w:rPr>
        <w:t xml:space="preserve">tionment was also explored, </w:t>
      </w:r>
      <w:r w:rsidRPr="00AA7891">
        <w:rPr>
          <w:sz w:val="24"/>
          <w:szCs w:val="24"/>
        </w:rPr>
        <w:t>the results of which are presented here. We recommend development of the REMA model to include an environmental l</w:t>
      </w:r>
      <w:r>
        <w:rPr>
          <w:sz w:val="24"/>
          <w:szCs w:val="24"/>
        </w:rPr>
        <w:t>ink with the scaling parameters</w:t>
      </w:r>
      <w:r w:rsidRPr="00AA7891">
        <w:rPr>
          <w:sz w:val="24"/>
          <w:szCs w:val="24"/>
        </w:rPr>
        <w:t xml:space="preserve"> and further development </w:t>
      </w:r>
      <w:r>
        <w:rPr>
          <w:sz w:val="24"/>
          <w:szCs w:val="24"/>
        </w:rPr>
        <w:t xml:space="preserve">of </w:t>
      </w:r>
      <w:r w:rsidRPr="00AA7891">
        <w:rPr>
          <w:sz w:val="24"/>
          <w:szCs w:val="24"/>
        </w:rPr>
        <w:t>environmental</w:t>
      </w:r>
      <w:r>
        <w:rPr>
          <w:sz w:val="24"/>
          <w:szCs w:val="24"/>
        </w:rPr>
        <w:t xml:space="preserve"> indices</w:t>
      </w:r>
      <w:r w:rsidRPr="00AA7891">
        <w:rPr>
          <w:sz w:val="24"/>
          <w:szCs w:val="24"/>
        </w:rPr>
        <w:t xml:space="preserve"> for each sub-region within the GOA</w:t>
      </w:r>
      <w:r>
        <w:rPr>
          <w:sz w:val="24"/>
          <w:szCs w:val="24"/>
        </w:rPr>
        <w:t xml:space="preserve"> prior to integration of the AFSC longline survey within the REMA model. We make this recommendation to avoid introducing unnecessary variability in the apportionment estimates among sub-regions that may be reduced once these developments are completed.</w:t>
      </w:r>
      <w:r w:rsidRPr="00AA7891">
        <w:rPr>
          <w:sz w:val="24"/>
          <w:szCs w:val="24"/>
        </w:rPr>
        <w:t xml:space="preserve"> </w:t>
      </w:r>
    </w:p>
    <w:p w14:paraId="30E8813A" w14:textId="53A9552F" w:rsidR="000313FD" w:rsidRDefault="000313FD" w:rsidP="000313FD">
      <w:pPr>
        <w:pStyle w:val="Heading1"/>
        <w:pBdr>
          <w:top w:val="nil"/>
          <w:left w:val="nil"/>
          <w:bottom w:val="nil"/>
          <w:right w:val="nil"/>
          <w:between w:val="nil"/>
        </w:pBdr>
      </w:pPr>
      <w:r>
        <w:t>Data</w:t>
      </w:r>
    </w:p>
    <w:p w14:paraId="1546CAE7" w14:textId="3AD4B4D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w:t>
      </w:r>
      <w:proofErr w:type="spellStart"/>
      <w:r w:rsidR="006A0382">
        <w:rPr>
          <w:sz w:val="24"/>
          <w:szCs w:val="24"/>
        </w:rPr>
        <w:t>afscdata</w:t>
      </w:r>
      <w:proofErr w:type="spellEnd"/>
      <w:r w:rsidR="006A0382">
        <w:rPr>
          <w:sz w:val="24"/>
          <w:szCs w:val="24"/>
        </w:rPr>
        <w:t xml:space="preserve">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5C0AE7C3"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w:t>
      </w:r>
      <w:proofErr w:type="spellStart"/>
      <w:r>
        <w:rPr>
          <w:sz w:val="24"/>
          <w:szCs w:val="24"/>
        </w:rPr>
        <w:t>Ground</w:t>
      </w:r>
      <w:r w:rsidR="00D9256C">
        <w:rPr>
          <w:sz w:val="24"/>
          <w:szCs w:val="24"/>
        </w:rPr>
        <w:t>fish</w:t>
      </w:r>
      <w:proofErr w:type="spellEnd"/>
      <w:r w:rsidR="00D9256C">
        <w:rPr>
          <w:sz w:val="24"/>
          <w:szCs w:val="24"/>
        </w:rPr>
        <w:t xml:space="preserve">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ken for two primary reasons: (1) it did not seem like a reasonable use of assessment authors’ time to develop this code that would only be used for this single assessment cycle, and (2)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w:t>
      </w:r>
      <w:r w:rsidR="00AA7891">
        <w:rPr>
          <w:sz w:val="24"/>
          <w:szCs w:val="24"/>
        </w:rPr>
        <w:t>ill</w:t>
      </w:r>
      <w:r w:rsidR="008B2EF3">
        <w:rPr>
          <w:sz w:val="24"/>
          <w:szCs w:val="24"/>
        </w:rPr>
        <w:t xml:space="preserve"> be done in the November SAFE document, in the following table we highlight the data that has been added since the last full assessment</w:t>
      </w:r>
      <w:r w:rsidR="00AA7891">
        <w:rPr>
          <w:sz w:val="24"/>
          <w:szCs w:val="24"/>
        </w:rPr>
        <w:t xml:space="preserve"> </w:t>
      </w:r>
      <w:r w:rsidR="00CF63B7">
        <w:rPr>
          <w:sz w:val="24"/>
          <w:szCs w:val="24"/>
        </w:rPr>
        <w:t xml:space="preserve">and </w:t>
      </w:r>
      <w:r w:rsidR="00AA7891">
        <w:rPr>
          <w:sz w:val="24"/>
          <w:szCs w:val="24"/>
        </w:rPr>
        <w:t>included</w:t>
      </w:r>
      <w:r w:rsidR="00CF63B7">
        <w:rPr>
          <w:sz w:val="24"/>
          <w:szCs w:val="24"/>
        </w:rPr>
        <w:t xml:space="preserve"> in the model alternatives presented here</w:t>
      </w:r>
      <w:r w:rsidR="00AA7891" w:rsidRPr="00AA7891">
        <w:rPr>
          <w:sz w:val="24"/>
          <w:szCs w:val="24"/>
        </w:rPr>
        <w:t xml:space="preserve"> </w:t>
      </w:r>
      <w:r w:rsidR="00AA7891">
        <w:rPr>
          <w:sz w:val="24"/>
          <w:szCs w:val="24"/>
        </w:rPr>
        <w:t>in bold font</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proofErr w:type="spellStart"/>
      <w:r w:rsidR="00331328" w:rsidRPr="00711F03">
        <w:rPr>
          <w:sz w:val="24"/>
          <w:szCs w:val="24"/>
        </w:rPr>
        <w:t>Methot</w:t>
      </w:r>
      <w:proofErr w:type="spellEnd"/>
      <w:r w:rsidR="00331328" w:rsidRPr="00711F03">
        <w:rPr>
          <w:sz w:val="24"/>
          <w:szCs w:val="24"/>
        </w:rPr>
        <w:t xml:space="preserve"> and </w:t>
      </w:r>
      <w:proofErr w:type="spellStart"/>
      <w:r w:rsidR="00331328" w:rsidRPr="00711F03">
        <w:rPr>
          <w:sz w:val="24"/>
          <w:szCs w:val="24"/>
        </w:rPr>
        <w:t>Wetzell</w:t>
      </w:r>
      <w:proofErr w:type="spellEnd"/>
      <w:r w:rsidR="00331328" w:rsidRPr="00711F03">
        <w:rPr>
          <w:sz w:val="24"/>
          <w:szCs w:val="24"/>
        </w:rPr>
        <w:t xml:space="preserve">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r w:rsidR="00BE49E4">
        <w:rPr>
          <w:sz w:val="24"/>
          <w:szCs w:val="24"/>
        </w:rPr>
        <w:t xml:space="preserve">in the computation of the AFSC longline survey length composition, the lengths were inadvertently set to 1 cm larger. 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16273E84" w:rsidR="00BE49E4" w:rsidRDefault="00BE49E4" w:rsidP="00C74AB8">
      <w:pPr>
        <w:pStyle w:val="ListParagraph"/>
        <w:numPr>
          <w:ilvl w:val="0"/>
          <w:numId w:val="46"/>
        </w:numPr>
        <w:jc w:val="left"/>
        <w:rPr>
          <w:sz w:val="24"/>
          <w:szCs w:val="24"/>
        </w:rPr>
      </w:pPr>
      <w:r>
        <w:rPr>
          <w:sz w:val="24"/>
          <w:szCs w:val="24"/>
        </w:rPr>
        <w:lastRenderedPageBreak/>
        <w:t>2019.1c.4: the fishery length composition input sample size has</w:t>
      </w:r>
      <w:r w:rsidR="00CF63B7">
        <w:rPr>
          <w:sz w:val="24"/>
          <w:szCs w:val="24"/>
        </w:rPr>
        <w:t xml:space="preserve"> </w:t>
      </w:r>
      <w:r w:rsidR="00EC0FA3">
        <w:rPr>
          <w:sz w:val="24"/>
          <w:szCs w:val="24"/>
        </w:rPr>
        <w:t>historically</w:t>
      </w:r>
      <w:r>
        <w:rPr>
          <w:sz w:val="24"/>
          <w:szCs w:val="24"/>
        </w:rPr>
        <w:t xml:space="preserve"> been set at the number of hauls sampled, with a maximum of 200. However, in the computation of 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4BE5D534"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58BBB8D8" w:rsidR="002A7C8F" w:rsidRPr="001A300F" w:rsidRDefault="008324EE" w:rsidP="008324EE">
      <w:pPr>
        <w:rPr>
          <w:sz w:val="24"/>
          <w:szCs w:val="24"/>
        </w:rPr>
      </w:pPr>
      <w:r w:rsidRPr="001A300F">
        <w:rPr>
          <w:sz w:val="24"/>
          <w:szCs w:val="24"/>
        </w:rPr>
        <w:t xml:space="preserve">Within the </w:t>
      </w:r>
      <w:r w:rsidR="00EC0FA3">
        <w:rPr>
          <w:sz w:val="24"/>
          <w:szCs w:val="24"/>
        </w:rPr>
        <w:t>GOA cod assessment model</w:t>
      </w:r>
      <w:r w:rsidR="00161770" w:rsidRPr="001A300F">
        <w:rPr>
          <w:sz w:val="24"/>
          <w:szCs w:val="24"/>
        </w:rPr>
        <w:t xml:space="preserve"> ageing error i</w:t>
      </w:r>
      <w:r w:rsidRPr="001A300F">
        <w:rPr>
          <w:sz w:val="24"/>
          <w:szCs w:val="24"/>
        </w:rPr>
        <w:t xml:space="preserve">s applied using </w:t>
      </w:r>
      <w:r w:rsidR="00D9256C">
        <w:rPr>
          <w:sz w:val="24"/>
          <w:szCs w:val="24"/>
        </w:rPr>
        <w:t xml:space="preserve">paired </w:t>
      </w:r>
      <w:r w:rsidRPr="001A300F">
        <w:rPr>
          <w:sz w:val="24"/>
          <w:szCs w:val="24"/>
        </w:rPr>
        <w:t>r</w:t>
      </w:r>
      <w:r w:rsidR="00EC0FA3">
        <w:rPr>
          <w:sz w:val="24"/>
          <w:szCs w:val="24"/>
        </w:rPr>
        <w:t xml:space="preserve">eader-tester data.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161770" w:rsidRPr="001A300F">
        <w:rPr>
          <w:sz w:val="24"/>
          <w:szCs w:val="24"/>
        </w:rPr>
        <w:t>2021.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available within both regions. Using the a linear ageing error method within the R-package </w:t>
      </w:r>
      <w:proofErr w:type="spellStart"/>
      <w:r w:rsidR="002A7C8F" w:rsidRPr="001A300F">
        <w:rPr>
          <w:sz w:val="24"/>
          <w:szCs w:val="24"/>
        </w:rPr>
        <w:t>AgeingError</w:t>
      </w:r>
      <w:proofErr w:type="spellEnd"/>
      <w:r w:rsidR="002A7C8F" w:rsidRPr="001A300F">
        <w:rPr>
          <w:sz w:val="24"/>
          <w:szCs w:val="24"/>
        </w:rPr>
        <w:t xml:space="preserve"> </w:t>
      </w:r>
      <w:r w:rsidR="002A7C8F" w:rsidRPr="00935DB1">
        <w:rPr>
          <w:sz w:val="24"/>
          <w:szCs w:val="24"/>
        </w:rPr>
        <w:t>(</w:t>
      </w:r>
      <w:r w:rsidR="00935DB1">
        <w:rPr>
          <w:sz w:val="24"/>
          <w:szCs w:val="24"/>
        </w:rPr>
        <w:t>Punt et al. 2008</w:t>
      </w:r>
      <w:bookmarkStart w:id="0" w:name="_GoBack"/>
      <w:bookmarkEnd w:id="0"/>
      <w:r w:rsidR="002A7C8F" w:rsidRPr="00935DB1">
        <w:rPr>
          <w:sz w:val="24"/>
          <w:szCs w:val="24"/>
        </w:rPr>
        <w:t>) we</w:t>
      </w:r>
      <w:r w:rsidR="002A7C8F" w:rsidRPr="001A300F">
        <w:rPr>
          <w:sz w:val="24"/>
          <w:szCs w:val="24"/>
        </w:rPr>
        <w:t xml:space="preserv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F63B7">
        <w:rPr>
          <w:sz w:val="24"/>
          <w:szCs w:val="24"/>
        </w:rPr>
        <w:t xml:space="preserve"> We note, that besides updating the ageing error SD parameters, a difference in this approach with model 2019.1b</w:t>
      </w:r>
      <w:r w:rsidR="00EC0FA3">
        <w:rPr>
          <w:sz w:val="24"/>
          <w:szCs w:val="24"/>
        </w:rPr>
        <w:t xml:space="preserve"> accepted in 2023 is that ageing error started</w:t>
      </w:r>
      <w:r w:rsidR="00CF63B7">
        <w:rPr>
          <w:sz w:val="24"/>
          <w:szCs w:val="24"/>
        </w:rPr>
        <w:t xml:space="preserve"> at age-3, whereas in 2019.1d we start ageing error at age-1.</w:t>
      </w:r>
    </w:p>
    <w:p w14:paraId="714D76D9" w14:textId="4BC056BF" w:rsidR="00161770" w:rsidRPr="001A300F" w:rsidRDefault="00782B27" w:rsidP="008324EE">
      <w:pPr>
        <w:rPr>
          <w:sz w:val="24"/>
          <w:szCs w:val="24"/>
        </w:rPr>
      </w:pPr>
      <w:r w:rsidRPr="001A300F">
        <w:rPr>
          <w:sz w:val="24"/>
          <w:szCs w:val="24"/>
        </w:rPr>
        <w:t xml:space="preserve">Because bias was discovered in the age reading for cod prior to </w:t>
      </w:r>
      <w:r w:rsidRPr="00935DB1">
        <w:rPr>
          <w:sz w:val="24"/>
          <w:szCs w:val="24"/>
        </w:rPr>
        <w:t>2007 (</w:t>
      </w:r>
      <w:proofErr w:type="spellStart"/>
      <w:r w:rsidR="00935DB1" w:rsidRPr="00935DB1">
        <w:rPr>
          <w:sz w:val="24"/>
          <w:szCs w:val="24"/>
        </w:rPr>
        <w:t>Barbeaux</w:t>
      </w:r>
      <w:proofErr w:type="spellEnd"/>
      <w:r w:rsidR="00935DB1" w:rsidRPr="00935DB1">
        <w:rPr>
          <w:sz w:val="24"/>
          <w:szCs w:val="24"/>
        </w:rPr>
        <w:t xml:space="preserve"> et al. 2019</w:t>
      </w:r>
      <w:r w:rsidRPr="00935DB1">
        <w:rPr>
          <w:sz w:val="24"/>
          <w:szCs w:val="24"/>
        </w:rPr>
        <w:t>)</w:t>
      </w:r>
      <w:r w:rsidRPr="001A300F">
        <w:rPr>
          <w:sz w:val="24"/>
          <w:szCs w:val="24"/>
        </w:rPr>
        <w:t xml:space="preserve"> model 201</w:t>
      </w:r>
      <w:r w:rsidR="00EC0FA3">
        <w:rPr>
          <w:sz w:val="24"/>
          <w:szCs w:val="24"/>
        </w:rPr>
        <w:t>9.1b estimated</w:t>
      </w:r>
      <w:r w:rsidRPr="001A300F">
        <w:rPr>
          <w:sz w:val="24"/>
          <w:szCs w:val="24"/>
        </w:rPr>
        <w:t xml:space="preserve">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w:t>
      </w:r>
      <w:proofErr w:type="spellStart"/>
      <w:r w:rsidR="00161770" w:rsidRPr="001A300F">
        <w:rPr>
          <w:sz w:val="24"/>
          <w:szCs w:val="24"/>
        </w:rPr>
        <w:t>AgeingError</w:t>
      </w:r>
      <w:proofErr w:type="spellEnd"/>
      <w:r w:rsidR="00161770" w:rsidRPr="001A300F">
        <w:rPr>
          <w:sz w:val="24"/>
          <w:szCs w:val="24"/>
        </w:rPr>
        <w:t xml:space="preserve"> R-package we estimated the bias i</w:t>
      </w:r>
      <w:r w:rsidRPr="001A300F">
        <w:rPr>
          <w:sz w:val="24"/>
          <w:szCs w:val="24"/>
        </w:rPr>
        <w:t>n the pre-2007 data (Figure 1). In model 2019.1d, rather than e</w:t>
      </w:r>
      <w:r w:rsidR="00EC0FA3">
        <w:rPr>
          <w:sz w:val="24"/>
          <w:szCs w:val="24"/>
        </w:rPr>
        <w:t>stimate bias, we fix</w:t>
      </w:r>
      <w:r w:rsidRPr="001A300F">
        <w:rPr>
          <w:sz w:val="24"/>
          <w:szCs w:val="24"/>
        </w:rPr>
        <w:t xml:space="preserve"> the bias parameters based on the results from the </w:t>
      </w:r>
      <w:proofErr w:type="spellStart"/>
      <w:r w:rsidRPr="001A300F">
        <w:rPr>
          <w:sz w:val="24"/>
          <w:szCs w:val="24"/>
        </w:rPr>
        <w:t>AgeingError</w:t>
      </w:r>
      <w:proofErr w:type="spellEnd"/>
      <w:r w:rsidRPr="001A300F">
        <w:rPr>
          <w:sz w:val="24"/>
          <w:szCs w:val="24"/>
        </w:rPr>
        <w:t xml:space="preserve"> model fit</w:t>
      </w:r>
      <w:r w:rsidR="00260461">
        <w:rPr>
          <w:sz w:val="24"/>
          <w:szCs w:val="24"/>
        </w:rPr>
        <w:t xml:space="preserve"> to these re-read data</w:t>
      </w:r>
      <w:r w:rsidRPr="001A300F">
        <w:rPr>
          <w:sz w:val="24"/>
          <w:szCs w:val="24"/>
        </w:rPr>
        <w:t>, wh</w:t>
      </w:r>
      <w:r w:rsidR="00EC0FA3">
        <w:rPr>
          <w:sz w:val="24"/>
          <w:szCs w:val="24"/>
        </w:rPr>
        <w:t>ere the bias was 0.24 for age-1</w:t>
      </w:r>
      <w:r w:rsidRPr="001A300F">
        <w:rPr>
          <w:sz w:val="24"/>
          <w:szCs w:val="24"/>
        </w:rPr>
        <w:t xml:space="preserve">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lastRenderedPageBreak/>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656BB1BF" w:rsidR="00782B27" w:rsidRPr="001A300F" w:rsidRDefault="00782B27" w:rsidP="00782B27">
      <w:pPr>
        <w:rPr>
          <w:sz w:val="24"/>
          <w:szCs w:val="24"/>
        </w:rPr>
      </w:pPr>
      <w:r w:rsidRPr="001A300F">
        <w:rPr>
          <w:sz w:val="24"/>
          <w:szCs w:val="24"/>
        </w:rPr>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 hauls have bee</w:t>
      </w:r>
      <w:r w:rsidR="002A30F5" w:rsidRPr="001A300F">
        <w:rPr>
          <w:sz w:val="24"/>
          <w:szCs w:val="24"/>
        </w:rPr>
        <w:t>n removed that sampled less than</w:t>
      </w:r>
      <w:r w:rsidRPr="001A300F">
        <w:rPr>
          <w:sz w:val="24"/>
          <w:szCs w:val="24"/>
        </w:rPr>
        <w:t xml:space="preserve"> 10 fish for length frequency within the haul. 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58A9472B" w:rsidR="001A300F" w:rsidRDefault="001A300F" w:rsidP="00782B27">
      <w:pPr>
        <w:rPr>
          <w:sz w:val="24"/>
          <w:szCs w:val="24"/>
        </w:rPr>
      </w:pPr>
      <w:r w:rsidRPr="001A300F">
        <w:rPr>
          <w:sz w:val="24"/>
          <w:szCs w:val="24"/>
        </w:rPr>
        <w:t>Length frequencies are also collected within the fisheries managed by the Alaska Department of Fish and Game (ADF&amp;G) and have been integrated within the GOA cod assessment. The use of ADF&amp;G length frequency data occurs when there is federal data missing at a trimester-area-gear level</w:t>
      </w:r>
      <w:r w:rsidR="00430096">
        <w:rPr>
          <w:sz w:val="24"/>
          <w:szCs w:val="24"/>
        </w:rPr>
        <w:t>. It is important to note, that following this method if there is federal data within a trimester-area-gear the ADF&amp;G length frequency data is not used,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12ECDAE5"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assessment.</w:t>
      </w:r>
      <w:r w:rsidR="00260461">
        <w:rPr>
          <w:sz w:val="24"/>
          <w:szCs w:val="24"/>
        </w:rPr>
        <w:t xml:space="preserve"> In order to merge the ADF&amp;G data, we also transition the fishery length composition expansion from weighting by catch at the week-area-gear level to weighting by catch at the trimester-area-gear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2396365F" w14:textId="1FA7A2AE" w:rsidR="00EC0FA3" w:rsidRDefault="00EC0FA3" w:rsidP="00EC0FA3">
      <w:pPr>
        <w:pStyle w:val="Heading3"/>
        <w:rPr>
          <w:szCs w:val="24"/>
        </w:rPr>
      </w:pPr>
      <w:r>
        <w:t>2019.1e</w:t>
      </w:r>
      <w:r>
        <w:t>.2cm and 2019.1e.5bm</w:t>
      </w:r>
    </w:p>
    <w:p w14:paraId="482CF189" w14:textId="498039C9"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xml:space="preserve">. The first additional model, 2019.1e.2cm evaluates using 2 cm bins, and the second, 2019.1e.5cm, evaluates using 5 cm bins. Using recent bottom trawl survey length compositions as an example, increasing the bin size serves to smooth the length composition while retaining important signal within the data (Figure 3). </w:t>
      </w:r>
    </w:p>
    <w:p w14:paraId="03B320D0" w14:textId="21BB28AD" w:rsidR="00EC0FA3" w:rsidRDefault="00EC0FA3" w:rsidP="00EC0FA3">
      <w:pPr>
        <w:pStyle w:val="Heading2"/>
        <w:rPr>
          <w:sz w:val="24"/>
          <w:szCs w:val="24"/>
        </w:rPr>
      </w:pPr>
      <w:r w:rsidRPr="00711F03">
        <w:rPr>
          <w:sz w:val="24"/>
          <w:szCs w:val="24"/>
        </w:rPr>
        <w:t xml:space="preserve">Description of Alternative </w:t>
      </w:r>
      <w:r>
        <w:rPr>
          <w:sz w:val="24"/>
          <w:szCs w:val="24"/>
        </w:rPr>
        <w:t>Apportionment</w:t>
      </w:r>
    </w:p>
    <w:p w14:paraId="24142A59" w14:textId="7B476BFA" w:rsidR="00EC0FA3" w:rsidRPr="00EC0FA3" w:rsidRDefault="00EC0FA3" w:rsidP="00EC0FA3">
      <w:pPr>
        <w:rPr>
          <w:sz w:val="24"/>
          <w:szCs w:val="24"/>
        </w:rPr>
      </w:pPr>
      <w:r w:rsidRPr="00EC0FA3">
        <w:rPr>
          <w:sz w:val="24"/>
          <w:szCs w:val="24"/>
        </w:rPr>
        <w:t xml:space="preserve">There are a handful of assessments conducted at AFSC that utilize both the </w:t>
      </w:r>
      <w:r>
        <w:rPr>
          <w:sz w:val="24"/>
          <w:szCs w:val="24"/>
        </w:rPr>
        <w:t xml:space="preserve">AFSC </w:t>
      </w:r>
      <w:r w:rsidRPr="00EC0FA3">
        <w:rPr>
          <w:sz w:val="24"/>
          <w:szCs w:val="24"/>
        </w:rPr>
        <w:t>bottom trawl survey biomass and lo</w:t>
      </w:r>
      <w:r>
        <w:rPr>
          <w:sz w:val="24"/>
          <w:szCs w:val="24"/>
        </w:rPr>
        <w:t>n</w:t>
      </w:r>
      <w:r w:rsidRPr="00EC0FA3">
        <w:rPr>
          <w:sz w:val="24"/>
          <w:szCs w:val="24"/>
        </w:rPr>
        <w:t xml:space="preserve">gline </w:t>
      </w:r>
      <w:r>
        <w:rPr>
          <w:sz w:val="24"/>
          <w:szCs w:val="24"/>
        </w:rPr>
        <w:t>survey Relative Population Weight</w:t>
      </w:r>
      <w:r w:rsidR="00056CA4">
        <w:rPr>
          <w:sz w:val="24"/>
          <w:szCs w:val="24"/>
        </w:rPr>
        <w:t xml:space="preserve"> (RPW)</w:t>
      </w:r>
      <w:r>
        <w:rPr>
          <w:sz w:val="24"/>
          <w:szCs w:val="24"/>
        </w:rPr>
        <w:t xml:space="preserve"> indices within the REMA model (e.g</w:t>
      </w:r>
      <w:r w:rsidRPr="00935DB1">
        <w:rPr>
          <w:sz w:val="24"/>
          <w:szCs w:val="24"/>
        </w:rPr>
        <w:t xml:space="preserve">., </w:t>
      </w:r>
      <w:proofErr w:type="spellStart"/>
      <w:r w:rsidRPr="00935DB1">
        <w:rPr>
          <w:sz w:val="24"/>
          <w:szCs w:val="24"/>
        </w:rPr>
        <w:t>Echave</w:t>
      </w:r>
      <w:proofErr w:type="spellEnd"/>
      <w:r w:rsidRPr="00935DB1">
        <w:rPr>
          <w:sz w:val="24"/>
          <w:szCs w:val="24"/>
        </w:rPr>
        <w:t xml:space="preserve"> et al., 2023).</w:t>
      </w:r>
      <w:r w:rsidR="00056CA4">
        <w:rPr>
          <w:sz w:val="24"/>
          <w:szCs w:val="24"/>
        </w:rPr>
        <w:t xml:space="preserve"> Further, it has been a longstanding request by the SSC that the AFSC longline survey be considered for apportionment within the GOA cod assessment. Here, we compare the current method of apportionment using the AFSC bottom trawl survey biomass only with apportionment after integrating the AFSC bottom trawl survey biomass and longline survey RPW within the REMA model.</w:t>
      </w:r>
    </w:p>
    <w:p w14:paraId="5735B02E" w14:textId="77777777" w:rsidR="00EC0FA3" w:rsidRDefault="00EC0FA3" w:rsidP="00331328">
      <w:pPr>
        <w:jc w:val="left"/>
        <w:rPr>
          <w:sz w:val="24"/>
          <w:szCs w:val="24"/>
        </w:rPr>
      </w:pP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653876C8"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w:t>
      </w:r>
      <w:r w:rsidR="00056CA4">
        <w:rPr>
          <w:sz w:val="24"/>
          <w:szCs w:val="24"/>
        </w:rPr>
        <w:t xml:space="preserve">absolute </w:t>
      </w:r>
      <w:r w:rsidRPr="00425C84">
        <w:rPr>
          <w:sz w:val="24"/>
          <w:szCs w:val="24"/>
        </w:rPr>
        <w:t xml:space="preserve">average percent difference in estimates of spawning biomass that was greater than 1%: </w:t>
      </w:r>
      <w:r w:rsidR="00425C84" w:rsidRPr="00425C84">
        <w:rPr>
          <w:sz w:val="24"/>
          <w:szCs w:val="24"/>
        </w:rPr>
        <w:t xml:space="preserve">2019.1c.2 in which the length bin was corrected for the longline survey length composition,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2E6C0C">
        <w:rPr>
          <w:sz w:val="24"/>
          <w:szCs w:val="24"/>
        </w:rPr>
        <w:t xml:space="preserve"> (other key parameter estimates are shown in Table 6)</w:t>
      </w:r>
      <w:r w:rsidR="00A558BD">
        <w:rPr>
          <w:sz w:val="24"/>
          <w:szCs w:val="24"/>
        </w:rPr>
        <w:t>.</w:t>
      </w:r>
      <w:r w:rsidR="002E6C0C">
        <w:rPr>
          <w:sz w:val="24"/>
          <w:szCs w:val="24"/>
        </w:rPr>
        <w:t xml:space="preserve"> The overall negative log-likelihood in model 2019.1c decreased compared to model 2019.1b (Table 4), due primarily to a decrease in the length composition component</w:t>
      </w:r>
      <w:r w:rsidR="008A273A">
        <w:rPr>
          <w:sz w:val="24"/>
          <w:szCs w:val="24"/>
        </w:rPr>
        <w:t>, which decreased as the input sample size decreased to reflect the number of hauls from which samples were used in the fishery length composition expansion.</w:t>
      </w:r>
    </w:p>
    <w:p w14:paraId="70B11A48" w14:textId="033F2531" w:rsidR="00846C32" w:rsidRPr="00711F03" w:rsidRDefault="00846C32" w:rsidP="00846C32">
      <w:pPr>
        <w:pStyle w:val="Heading2"/>
        <w:rPr>
          <w:sz w:val="24"/>
          <w:szCs w:val="24"/>
        </w:rPr>
      </w:pPr>
      <w:r w:rsidRPr="00711F03">
        <w:rPr>
          <w:sz w:val="24"/>
          <w:szCs w:val="24"/>
        </w:rPr>
        <w:t>Model 2019.1</w:t>
      </w:r>
      <w:r w:rsidR="00D76419">
        <w:rPr>
          <w:sz w:val="24"/>
          <w:szCs w:val="24"/>
        </w:rPr>
        <w:t>d – updating ageing error</w:t>
      </w:r>
    </w:p>
    <w:p w14:paraId="3D61020D" w14:textId="27CC8F48"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w:t>
      </w:r>
      <w:r w:rsidR="002E6C0C">
        <w:rPr>
          <w:sz w:val="24"/>
          <w:szCs w:val="24"/>
        </w:rPr>
        <w:t xml:space="preserve"> (Table 4)</w:t>
      </w:r>
      <w:r w:rsidR="00F50CC2">
        <w:rPr>
          <w:sz w:val="24"/>
          <w:szCs w:val="24"/>
        </w:rPr>
        <w:t>, indicating that updating ageing error and bias parameters improved model fit. The largest decrease in negative log-likelihood occurred for the conditional age-at-length data component, although, there was a decrease in the negative log-likelihood for each data component of the model.</w:t>
      </w:r>
      <w:r w:rsidR="008A273A">
        <w:rPr>
          <w:sz w:val="24"/>
          <w:szCs w:val="24"/>
        </w:rPr>
        <w:t xml:space="preserve"> Compared to model 2019.1b and 2019.1c the AFSC bottom trawl catchability parameter estimate in model 2019.1d increased </w:t>
      </w:r>
      <w:r w:rsidR="008A273A">
        <w:rPr>
          <w:sz w:val="24"/>
          <w:szCs w:val="24"/>
        </w:rPr>
        <w:t>(other key parameter estimates are shown in Table 6).</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7C40CE21"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(as illustrated by the aggregated fit in Figure 7) improved for the longline and pot fishery compared to model 2019.1d, but slightly degraded for the trawl fishery.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particularly the longline survey (Table 5). Visually, the fit to the bottom trawl survey is similar between models 2019.1d and 2019.1e (top panel Figure 8). The fit to the longline survey results in the largest differences between 2019.1d and 2019.1e in the mid-2000s (bottom panel Figure 8), although, the fit since 2010 has been similar between these two models.</w:t>
      </w:r>
    </w:p>
    <w:p w14:paraId="27116F17" w14:textId="5B326CAB" w:rsidR="00EF4F30" w:rsidRDefault="00EF4F30" w:rsidP="00B24CE1">
      <w:pPr>
        <w:jc w:val="left"/>
        <w:rPr>
          <w:sz w:val="24"/>
          <w:szCs w:val="24"/>
        </w:rPr>
      </w:pPr>
      <w:r>
        <w:rPr>
          <w:sz w:val="24"/>
          <w:szCs w:val="24"/>
        </w:rPr>
        <w:lastRenderedPageBreak/>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t>Recommended model 2019.1e.5cm/2024.0</w:t>
      </w:r>
    </w:p>
    <w:p w14:paraId="0F45698D" w14:textId="406B9F9A" w:rsidR="00990418" w:rsidRDefault="00EA59C3" w:rsidP="00B24CE1">
      <w:pPr>
        <w:jc w:val="left"/>
        <w:rPr>
          <w:sz w:val="24"/>
          <w:szCs w:val="24"/>
        </w:rPr>
      </w:pPr>
      <w:r>
        <w:rPr>
          <w:sz w:val="24"/>
          <w:szCs w:val="24"/>
        </w:rPr>
        <w:t>We recommend that model 219.1e.5cm be pursued for consideration at the November Plan Team meeting as an alternative model to the accepted model 2019.1b. This model represents a number of improvements to the 2023 assessment model that include correcting errors in data input files, improving model consistency with other AFSC cod assessments, updating important data input parameters, simplifying fishery length composition expansion methods, and improving model efficiency through extending the bins for length composition data. Ultimately the model estimates a shift in spawning biomass to smaller values (Figure 10), however,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fishery length composition was expanded. Because of these changes in parameter estimates and the number of improvements made to the input data sources for the model, we recommend consideration of a model renumbering to 2024.0 for this model.</w:t>
      </w:r>
    </w:p>
    <w:p w14:paraId="235B0207" w14:textId="0E4F9050" w:rsidR="008A273A" w:rsidRPr="00711F03" w:rsidRDefault="008A273A" w:rsidP="008A273A">
      <w:pPr>
        <w:pStyle w:val="Heading2"/>
        <w:rPr>
          <w:sz w:val="24"/>
          <w:szCs w:val="24"/>
        </w:rPr>
      </w:pPr>
      <w:r>
        <w:rPr>
          <w:sz w:val="24"/>
          <w:szCs w:val="24"/>
        </w:rPr>
        <w:t>Alternative apportionment investigation</w:t>
      </w:r>
    </w:p>
    <w:p w14:paraId="7BD6B6C6" w14:textId="16333707" w:rsidR="008A273A" w:rsidRDefault="00AF0231" w:rsidP="00B24CE1">
      <w:pPr>
        <w:jc w:val="left"/>
        <w:rPr>
          <w:sz w:val="24"/>
          <w:szCs w:val="24"/>
        </w:rPr>
      </w:pPr>
      <w:r>
        <w:rPr>
          <w:sz w:val="24"/>
          <w:szCs w:val="24"/>
        </w:rPr>
        <w:t>Using the REMA model we estimated alternative apportionment by integrating the AFSC longline survey RPW index with the AFSC bottom trawl survey biomass index. We followed a factorial design consisting of combinations that varied the number of process error parameters (either a single parameter or a parameter by sub-region), the number of scaling parameters (either a single parameter or a parameter by sub-region), and parameters to estimate additional uncertainty applied to the bottom trawl and longline survey indices (either one or both). AIC comparison across these combinations resulted in four models that were not statistically different with difference in AIC values of less than 1. Whether estimating 1 or 3 process error parameters did not result in different AIC values, and whether estimating additional uncertainty for the trawl survey or both the trawl survey and longline survey did not result in different AIC values.</w:t>
      </w:r>
      <w:r w:rsidR="00567B68">
        <w:rPr>
          <w:sz w:val="24"/>
          <w:szCs w:val="24"/>
        </w:rPr>
        <w:t xml:space="preserve"> We compare across these four models to illustrate the differences in apportionment with the current convention of only using the bottom trawl survey.</w:t>
      </w:r>
    </w:p>
    <w:p w14:paraId="72C88F86" w14:textId="3B12C6AC" w:rsidR="00104C96" w:rsidRDefault="00567B68" w:rsidP="00B24CE1">
      <w:pPr>
        <w:jc w:val="left"/>
        <w:rPr>
          <w:sz w:val="24"/>
          <w:szCs w:val="24"/>
        </w:rPr>
      </w:pPr>
      <w:r>
        <w:rPr>
          <w:sz w:val="24"/>
          <w:szCs w:val="24"/>
        </w:rPr>
        <w:t>O</w:t>
      </w:r>
      <w:r w:rsidR="00181C7D">
        <w:rPr>
          <w:sz w:val="24"/>
          <w:szCs w:val="24"/>
        </w:rPr>
        <w:t>ver the last 5</w:t>
      </w:r>
      <w:r>
        <w:rPr>
          <w:sz w:val="24"/>
          <w:szCs w:val="24"/>
        </w:rPr>
        <w:t xml:space="preserve"> years of surveys (</w:t>
      </w:r>
      <w:r w:rsidR="00181C7D">
        <w:rPr>
          <w:sz w:val="24"/>
          <w:szCs w:val="24"/>
        </w:rPr>
        <w:t>from 2019</w:t>
      </w:r>
      <w:r>
        <w:rPr>
          <w:sz w:val="24"/>
          <w:szCs w:val="24"/>
        </w:rPr>
        <w:t xml:space="preserve"> – 2023) the varia</w:t>
      </w:r>
      <w:r w:rsidR="00181C7D">
        <w:rPr>
          <w:sz w:val="24"/>
          <w:szCs w:val="24"/>
        </w:rPr>
        <w:t>bility in apportionment for the each of the GOA</w:t>
      </w:r>
      <w:r>
        <w:rPr>
          <w:sz w:val="24"/>
          <w:szCs w:val="24"/>
        </w:rPr>
        <w:t xml:space="preserve"> </w:t>
      </w:r>
      <w:r w:rsidR="00181C7D">
        <w:rPr>
          <w:sz w:val="24"/>
          <w:szCs w:val="24"/>
        </w:rPr>
        <w:t>sub-</w:t>
      </w:r>
      <w:r>
        <w:rPr>
          <w:sz w:val="24"/>
          <w:szCs w:val="24"/>
        </w:rPr>
        <w:t>region</w:t>
      </w:r>
      <w:r w:rsidR="00181C7D">
        <w:rPr>
          <w:sz w:val="24"/>
          <w:szCs w:val="24"/>
        </w:rPr>
        <w:t>s</w:t>
      </w:r>
      <w:r>
        <w:rPr>
          <w:sz w:val="24"/>
          <w:szCs w:val="24"/>
        </w:rPr>
        <w:t xml:space="preserve"> has been larger when using both the trawl and longline surveys as compared to using only the trawl survey</w:t>
      </w:r>
      <w:r w:rsidR="00A431C0">
        <w:rPr>
          <w:sz w:val="24"/>
          <w:szCs w:val="24"/>
        </w:rPr>
        <w:t xml:space="preserve"> (Table 7 and illustrated in Figure 13)</w:t>
      </w:r>
      <w:r w:rsidR="00181C7D">
        <w:rPr>
          <w:sz w:val="24"/>
          <w:szCs w:val="24"/>
        </w:rPr>
        <w:t xml:space="preserve">. The coefficient of variation (CV) in apportionment estimates over the most recent 5 years is, on average, about 70% larger when using both surveys as compared to only the trawl survey. </w:t>
      </w:r>
      <w:r>
        <w:rPr>
          <w:sz w:val="24"/>
          <w:szCs w:val="24"/>
        </w:rPr>
        <w:t xml:space="preserve"> </w:t>
      </w:r>
      <w:r w:rsidR="00181C7D">
        <w:rPr>
          <w:sz w:val="24"/>
          <w:szCs w:val="24"/>
        </w:rPr>
        <w:t>C</w:t>
      </w:r>
      <w:r w:rsidR="00935DB1">
        <w:rPr>
          <w:sz w:val="24"/>
          <w:szCs w:val="24"/>
        </w:rPr>
        <w:t>ompared</w:t>
      </w:r>
      <w:r w:rsidR="00181C7D">
        <w:rPr>
          <w:sz w:val="24"/>
          <w:szCs w:val="24"/>
        </w:rPr>
        <w:t xml:space="preserve"> to apportionment that was used in the </w:t>
      </w:r>
      <w:r w:rsidR="00935DB1">
        <w:rPr>
          <w:sz w:val="24"/>
          <w:szCs w:val="24"/>
        </w:rPr>
        <w:t>2</w:t>
      </w:r>
      <w:r w:rsidR="00181C7D">
        <w:rPr>
          <w:sz w:val="24"/>
          <w:szCs w:val="24"/>
        </w:rPr>
        <w:t>023 assessment</w:t>
      </w:r>
      <w:r>
        <w:rPr>
          <w:sz w:val="24"/>
          <w:szCs w:val="24"/>
        </w:rPr>
        <w:t xml:space="preserve">, using both the longline and trawl survey results in a larger apportionment to the Eastern and Western GOA and smaller apportionment to the Central GOA as compared to </w:t>
      </w:r>
      <w:r w:rsidR="00A431C0">
        <w:rPr>
          <w:sz w:val="24"/>
          <w:szCs w:val="24"/>
        </w:rPr>
        <w:t xml:space="preserve">using the trawl survey data only. </w:t>
      </w:r>
      <w:r w:rsidR="00181C7D">
        <w:rPr>
          <w:sz w:val="24"/>
          <w:szCs w:val="24"/>
        </w:rPr>
        <w:t xml:space="preserve">This change in apportionment and variability is primary due to </w:t>
      </w:r>
      <w:r w:rsidR="00104C96">
        <w:rPr>
          <w:sz w:val="24"/>
          <w:szCs w:val="24"/>
        </w:rPr>
        <w:t>differences</w:t>
      </w:r>
      <w:r w:rsidR="00181C7D">
        <w:rPr>
          <w:sz w:val="24"/>
          <w:szCs w:val="24"/>
        </w:rPr>
        <w:t xml:space="preserve"> in the relative biomass and RPW that is estimated within each of the sub-regions for each survey (</w:t>
      </w:r>
      <w:r w:rsidR="00935DB1">
        <w:rPr>
          <w:sz w:val="24"/>
          <w:szCs w:val="24"/>
        </w:rPr>
        <w:t xml:space="preserve">illustrated in </w:t>
      </w:r>
      <w:r w:rsidR="00181C7D">
        <w:rPr>
          <w:sz w:val="24"/>
          <w:szCs w:val="24"/>
        </w:rPr>
        <w:t xml:space="preserve">Figure 14). </w:t>
      </w:r>
      <w:r w:rsidR="00104C96">
        <w:rPr>
          <w:sz w:val="24"/>
          <w:szCs w:val="24"/>
        </w:rPr>
        <w:t xml:space="preserve">Particularly for the </w:t>
      </w:r>
      <w:r w:rsidR="00104C96">
        <w:rPr>
          <w:sz w:val="24"/>
          <w:szCs w:val="24"/>
        </w:rPr>
        <w:lastRenderedPageBreak/>
        <w:t xml:space="preserve">Eastern GOA, the AFSC longline survey estimates relatively larger RPW than the trawl survey estimates biomass. </w:t>
      </w:r>
    </w:p>
    <w:p w14:paraId="12EFE5CC" w14:textId="313579E7" w:rsidR="00181C7D" w:rsidRPr="00711F03" w:rsidRDefault="00104C96" w:rsidP="00B24CE1">
      <w:pPr>
        <w:jc w:val="left"/>
        <w:rPr>
          <w:sz w:val="24"/>
          <w:szCs w:val="24"/>
        </w:rPr>
      </w:pPr>
      <w:r>
        <w:rPr>
          <w:sz w:val="24"/>
          <w:szCs w:val="24"/>
        </w:rPr>
        <w:t>Within the GOA cod assessment, there remains an environmental link between bottom temperature and AFSC survey longline catchability. However, the environmental index used for this link does not yet have a sub-region component. Further, the REMA model does not have the functionality to include an environmental</w:t>
      </w:r>
      <w:r w:rsidR="00935DB1">
        <w:rPr>
          <w:sz w:val="24"/>
          <w:szCs w:val="24"/>
        </w:rPr>
        <w:t xml:space="preserve"> link, for</w:t>
      </w:r>
      <w:r>
        <w:rPr>
          <w:sz w:val="24"/>
          <w:szCs w:val="24"/>
        </w:rPr>
        <w:t xml:space="preserve"> this case we would propose developing a link with the scaling parameter that would mimic the link used in the main assessment. While increased variability in itself is not a reason to reject using the REMA model with indices from both surveys, we hypothesize that including an environmental link within the REMA model may serve to dampen some of the variability that results when using the AFSC longline survey as an additional index. Further, while there is some shift in apportionment when using the multi-index REMA model, the results are not substantially different than using the AFSC bottom trawl survey on </w:t>
      </w:r>
      <w:r w:rsidR="00CE52BA">
        <w:rPr>
          <w:sz w:val="24"/>
          <w:szCs w:val="24"/>
        </w:rPr>
        <w:t>its</w:t>
      </w:r>
      <w:r>
        <w:rPr>
          <w:sz w:val="24"/>
          <w:szCs w:val="24"/>
        </w:rPr>
        <w:t xml:space="preserve"> own. For these reasons, we recommend to continue using only the AFSC bottom trawl survey for apportionment in the GOA </w:t>
      </w:r>
      <w:r w:rsidR="00CE52BA">
        <w:rPr>
          <w:sz w:val="24"/>
          <w:szCs w:val="24"/>
        </w:rPr>
        <w:t>cod assessment until (1) functionality in the REMA model is developed to accommodate an environmental link with the scaling parameters, and (2) environmental indices that can be linked to the AFSC longline survey are developed at the sub-region scale.</w:t>
      </w:r>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19E8A952" w:rsidR="0002571A" w:rsidRDefault="0002571A" w:rsidP="0002571A">
      <w:pPr>
        <w:ind w:left="720" w:hanging="720"/>
        <w:jc w:val="left"/>
        <w:rPr>
          <w:sz w:val="24"/>
          <w:szCs w:val="24"/>
        </w:rPr>
      </w:pPr>
      <w:proofErr w:type="spellStart"/>
      <w:r w:rsidRPr="00935DB1">
        <w:rPr>
          <w:sz w:val="24"/>
          <w:szCs w:val="24"/>
        </w:rPr>
        <w:t>Barbeaux</w:t>
      </w:r>
      <w:proofErr w:type="spellEnd"/>
      <w:r w:rsidRPr="00935DB1">
        <w:rPr>
          <w:sz w:val="24"/>
          <w:szCs w:val="24"/>
        </w:rPr>
        <w:t xml:space="preserve">. S. J., K. Aydin, B. </w:t>
      </w:r>
      <w:proofErr w:type="spellStart"/>
      <w:r w:rsidRPr="00935DB1">
        <w:rPr>
          <w:sz w:val="24"/>
          <w:szCs w:val="24"/>
        </w:rPr>
        <w:t>Fissel</w:t>
      </w:r>
      <w:proofErr w:type="spellEnd"/>
      <w:r w:rsidRPr="00935DB1">
        <w:rPr>
          <w:sz w:val="24"/>
          <w:szCs w:val="24"/>
        </w:rPr>
        <w:t xml:space="preserve">, K. </w:t>
      </w:r>
      <w:proofErr w:type="spellStart"/>
      <w:r w:rsidRPr="00935DB1">
        <w:rPr>
          <w:sz w:val="24"/>
          <w:szCs w:val="24"/>
        </w:rPr>
        <w:t>Holsman</w:t>
      </w:r>
      <w:proofErr w:type="spellEnd"/>
      <w:r w:rsidRPr="00935DB1">
        <w:rPr>
          <w:sz w:val="24"/>
          <w:szCs w:val="24"/>
        </w:rPr>
        <w:t xml:space="preserve">, </w:t>
      </w:r>
      <w:r w:rsidR="00935DB1" w:rsidRPr="00935DB1">
        <w:rPr>
          <w:sz w:val="24"/>
          <w:szCs w:val="24"/>
        </w:rPr>
        <w:t xml:space="preserve">B. Laurel, </w:t>
      </w:r>
      <w:r w:rsidRPr="00935DB1">
        <w:rPr>
          <w:sz w:val="24"/>
          <w:szCs w:val="24"/>
        </w:rPr>
        <w:t xml:space="preserve">W. </w:t>
      </w:r>
      <w:proofErr w:type="spellStart"/>
      <w:r w:rsidRPr="00935DB1">
        <w:rPr>
          <w:sz w:val="24"/>
          <w:szCs w:val="24"/>
        </w:rPr>
        <w:t>Palsson</w:t>
      </w:r>
      <w:proofErr w:type="spellEnd"/>
      <w:r w:rsidRPr="00935DB1">
        <w:rPr>
          <w:sz w:val="24"/>
          <w:szCs w:val="24"/>
        </w:rPr>
        <w:t xml:space="preserve">, </w:t>
      </w:r>
      <w:r w:rsidR="00935DB1" w:rsidRPr="00935DB1">
        <w:rPr>
          <w:sz w:val="24"/>
          <w:szCs w:val="24"/>
        </w:rPr>
        <w:t xml:space="preserve">L. Rogers, </w:t>
      </w:r>
      <w:r w:rsidRPr="00935DB1">
        <w:rPr>
          <w:sz w:val="24"/>
          <w:szCs w:val="24"/>
        </w:rPr>
        <w:t xml:space="preserve">K. </w:t>
      </w:r>
      <w:proofErr w:type="spellStart"/>
      <w:r w:rsidRPr="00935DB1">
        <w:rPr>
          <w:sz w:val="24"/>
          <w:szCs w:val="24"/>
        </w:rPr>
        <w:t>Shotw</w:t>
      </w:r>
      <w:r w:rsidR="00935DB1" w:rsidRPr="00935DB1">
        <w:rPr>
          <w:sz w:val="24"/>
          <w:szCs w:val="24"/>
        </w:rPr>
        <w:t>ell</w:t>
      </w:r>
      <w:proofErr w:type="spellEnd"/>
      <w:r w:rsidR="00935DB1" w:rsidRPr="00935DB1">
        <w:rPr>
          <w:sz w:val="24"/>
          <w:szCs w:val="24"/>
        </w:rPr>
        <w:t xml:space="preserve">, Q. Yang, and S. </w:t>
      </w:r>
      <w:proofErr w:type="spellStart"/>
      <w:r w:rsidR="00935DB1" w:rsidRPr="00935DB1">
        <w:rPr>
          <w:sz w:val="24"/>
          <w:szCs w:val="24"/>
        </w:rPr>
        <w:t>Zador</w:t>
      </w:r>
      <w:proofErr w:type="spellEnd"/>
      <w:r w:rsidR="00935DB1" w:rsidRPr="00935DB1">
        <w:rPr>
          <w:sz w:val="24"/>
          <w:szCs w:val="24"/>
        </w:rPr>
        <w:t>. 2019</w:t>
      </w:r>
      <w:r w:rsidRPr="00935DB1">
        <w:rPr>
          <w:sz w:val="24"/>
          <w:szCs w:val="24"/>
        </w:rPr>
        <w:t xml:space="preserve">. Assessment of the Pacific cod stock in the Gulf of Alaska. </w:t>
      </w:r>
      <w:r w:rsidRPr="00935DB1">
        <w:rPr>
          <w:i/>
          <w:iCs/>
          <w:sz w:val="24"/>
          <w:szCs w:val="24"/>
        </w:rPr>
        <w:t>In</w:t>
      </w:r>
      <w:r w:rsidRPr="00935DB1">
        <w:rPr>
          <w:sz w:val="24"/>
          <w:szCs w:val="24"/>
        </w:rPr>
        <w:t xml:space="preserve"> Stock assessment and fishery evaluation report for the </w:t>
      </w:r>
      <w:proofErr w:type="spellStart"/>
      <w:r w:rsidRPr="00935DB1">
        <w:rPr>
          <w:sz w:val="24"/>
          <w:szCs w:val="24"/>
        </w:rPr>
        <w:t>groundfish</w:t>
      </w:r>
      <w:proofErr w:type="spellEnd"/>
      <w:r w:rsidRPr="00935DB1">
        <w:rPr>
          <w:sz w:val="24"/>
          <w:szCs w:val="24"/>
        </w:rPr>
        <w:t xml:space="preserve"> resources of the Gulf of Alaska. North Pacific Fishery Management Council, 605 W. 4th Avenue Suite 306, Anchorage, AK 99501</w:t>
      </w:r>
    </w:p>
    <w:p w14:paraId="0DB47E84" w14:textId="71FB6E51" w:rsidR="00935DB1" w:rsidRPr="00935DB1" w:rsidRDefault="00935DB1" w:rsidP="0002571A">
      <w:pPr>
        <w:ind w:left="720" w:hanging="720"/>
        <w:jc w:val="left"/>
        <w:rPr>
          <w:sz w:val="24"/>
          <w:szCs w:val="24"/>
        </w:rPr>
      </w:pPr>
      <w:proofErr w:type="spellStart"/>
      <w:r w:rsidRPr="00935DB1">
        <w:rPr>
          <w:sz w:val="24"/>
          <w:szCs w:val="24"/>
        </w:rPr>
        <w:t>Echave</w:t>
      </w:r>
      <w:proofErr w:type="spellEnd"/>
      <w:r w:rsidRPr="00935DB1">
        <w:rPr>
          <w:sz w:val="24"/>
          <w:szCs w:val="24"/>
        </w:rPr>
        <w:t xml:space="preserve">, K. B., K. A. </w:t>
      </w:r>
      <w:proofErr w:type="spellStart"/>
      <w:r w:rsidRPr="00935DB1">
        <w:rPr>
          <w:sz w:val="24"/>
          <w:szCs w:val="24"/>
        </w:rPr>
        <w:t>Siwicke</w:t>
      </w:r>
      <w:proofErr w:type="spellEnd"/>
      <w:r w:rsidRPr="00935DB1">
        <w:rPr>
          <w:sz w:val="24"/>
          <w:szCs w:val="24"/>
        </w:rPr>
        <w:t xml:space="preserve">, J. Sullivan, and B. </w:t>
      </w:r>
      <w:proofErr w:type="spellStart"/>
      <w:r w:rsidRPr="00935DB1">
        <w:rPr>
          <w:sz w:val="24"/>
          <w:szCs w:val="24"/>
        </w:rPr>
        <w:t>Ferriss</w:t>
      </w:r>
      <w:proofErr w:type="spellEnd"/>
      <w:r w:rsidRPr="00935DB1">
        <w:rPr>
          <w:sz w:val="24"/>
          <w:szCs w:val="24"/>
        </w:rPr>
        <w:t xml:space="preserve">, 2023. Assessment of the </w:t>
      </w:r>
      <w:proofErr w:type="spellStart"/>
      <w:r w:rsidRPr="00935DB1">
        <w:rPr>
          <w:sz w:val="24"/>
          <w:szCs w:val="24"/>
        </w:rPr>
        <w:t>Shortraker</w:t>
      </w:r>
      <w:proofErr w:type="spellEnd"/>
      <w:r w:rsidRPr="00935DB1">
        <w:rPr>
          <w:sz w:val="24"/>
          <w:szCs w:val="24"/>
        </w:rPr>
        <w:t xml:space="preserve"> Rockfish stock in the Gulf of Alaska. </w:t>
      </w:r>
      <w:r w:rsidRPr="00935DB1">
        <w:rPr>
          <w:i/>
          <w:iCs/>
          <w:sz w:val="24"/>
          <w:szCs w:val="24"/>
        </w:rPr>
        <w:t>In</w:t>
      </w:r>
      <w:r w:rsidRPr="00935DB1">
        <w:rPr>
          <w:sz w:val="24"/>
          <w:szCs w:val="24"/>
        </w:rPr>
        <w:t xml:space="preserve"> Stock assessment and fishery evaluation report for the </w:t>
      </w:r>
      <w:proofErr w:type="spellStart"/>
      <w:r w:rsidRPr="00935DB1">
        <w:rPr>
          <w:sz w:val="24"/>
          <w:szCs w:val="24"/>
        </w:rPr>
        <w:t>groundfish</w:t>
      </w:r>
      <w:proofErr w:type="spellEnd"/>
      <w:r w:rsidRPr="00935DB1">
        <w:rPr>
          <w:sz w:val="24"/>
          <w:szCs w:val="24"/>
        </w:rPr>
        <w:t xml:space="preserve"> resources of the Gulf of Alaska. North Pacific Fishery Management Council, 605 W. 4th Avenue Suite 306, Anchorage, AK 99501</w:t>
      </w:r>
    </w:p>
    <w:p w14:paraId="6BE4E963" w14:textId="1AC4F798" w:rsidR="00935DB1" w:rsidRPr="00935DB1" w:rsidRDefault="00935DB1" w:rsidP="0002571A">
      <w:pPr>
        <w:ind w:left="720" w:hanging="720"/>
        <w:jc w:val="left"/>
        <w:rPr>
          <w:sz w:val="24"/>
          <w:szCs w:val="24"/>
        </w:rPr>
      </w:pPr>
      <w:r w:rsidRPr="00935DB1">
        <w:rPr>
          <w:sz w:val="24"/>
          <w:szCs w:val="24"/>
        </w:rPr>
        <w:t xml:space="preserve">Punt, A.E., Smith, D.C., </w:t>
      </w:r>
      <w:proofErr w:type="spellStart"/>
      <w:r w:rsidRPr="00935DB1">
        <w:rPr>
          <w:sz w:val="24"/>
          <w:szCs w:val="24"/>
        </w:rPr>
        <w:t>KrusicGolub</w:t>
      </w:r>
      <w:proofErr w:type="spellEnd"/>
      <w:r w:rsidRPr="00935DB1">
        <w:rPr>
          <w:sz w:val="24"/>
          <w:szCs w:val="24"/>
        </w:rPr>
        <w:t xml:space="preserve">, K., Robertson, S., 2008. Quantifying age-reading error for use in fisheries stock assessments, with application to species in Australia’s southern and eastern </w:t>
      </w:r>
      <w:proofErr w:type="spellStart"/>
      <w:r w:rsidRPr="00935DB1">
        <w:rPr>
          <w:sz w:val="24"/>
          <w:szCs w:val="24"/>
        </w:rPr>
        <w:t>scalefish</w:t>
      </w:r>
      <w:proofErr w:type="spellEnd"/>
      <w:r w:rsidRPr="00935DB1">
        <w:rPr>
          <w:sz w:val="24"/>
          <w:szCs w:val="24"/>
        </w:rPr>
        <w:t xml:space="preserve"> and shark fishery. Can. J. Fish. </w:t>
      </w:r>
      <w:proofErr w:type="spellStart"/>
      <w:r w:rsidRPr="00935DB1">
        <w:rPr>
          <w:sz w:val="24"/>
          <w:szCs w:val="24"/>
        </w:rPr>
        <w:t>Aquat</w:t>
      </w:r>
      <w:proofErr w:type="spellEnd"/>
      <w:r w:rsidRPr="00935DB1">
        <w:rPr>
          <w:sz w:val="24"/>
          <w:szCs w:val="24"/>
        </w:rPr>
        <w:t>. Sci. 65 (9), 1991–2005.</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AA7891">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AA7891">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AA7891">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AA7891">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proofErr w:type="spellStart"/>
            <w:r w:rsidRPr="00F50CC2">
              <w:rPr>
                <w:color w:val="000000"/>
                <w:sz w:val="24"/>
                <w:szCs w:val="24"/>
              </w:rPr>
              <w:t>Srv</w:t>
            </w:r>
            <w:proofErr w:type="spellEnd"/>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AA7891">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proofErr w:type="spellStart"/>
            <w:r w:rsidRPr="00F50CC2">
              <w:rPr>
                <w:color w:val="000000"/>
                <w:sz w:val="24"/>
                <w:szCs w:val="24"/>
              </w:rPr>
              <w:t>LLSrv</w:t>
            </w:r>
            <w:proofErr w:type="spellEnd"/>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AA7891">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AA7891">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AA7891">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AA7891">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InitEQ_Regime</w:t>
            </w:r>
            <w:proofErr w:type="spellEnd"/>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AA7891">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Forecast_Recruitment</w:t>
            </w:r>
            <w:proofErr w:type="spellEnd"/>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AA7891">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Parm_priors</w:t>
            </w:r>
            <w:proofErr w:type="spellEnd"/>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AA7891">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Parm_softbounds</w:t>
            </w:r>
            <w:proofErr w:type="spellEnd"/>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AA7891">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Parm_devs</w:t>
            </w:r>
            <w:proofErr w:type="spellEnd"/>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D443C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D443CC" w:rsidRPr="00D443CC" w:rsidRDefault="00D443CC" w:rsidP="00D443C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77777777" w:rsidR="00D443CC" w:rsidRPr="00D443CC" w:rsidRDefault="00D443CC" w:rsidP="00D443CC">
            <w:pPr>
              <w:spacing w:after="0"/>
              <w:jc w:val="center"/>
              <w:rPr>
                <w:color w:val="000000"/>
                <w:sz w:val="24"/>
                <w:szCs w:val="24"/>
              </w:rPr>
            </w:pPr>
            <w:r w:rsidRPr="00D443C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77777777" w:rsidR="00D443CC" w:rsidRPr="00D443CC" w:rsidRDefault="00D443CC" w:rsidP="00D443CC">
            <w:pPr>
              <w:spacing w:after="0"/>
              <w:jc w:val="center"/>
              <w:rPr>
                <w:color w:val="000000"/>
                <w:sz w:val="24"/>
                <w:szCs w:val="24"/>
              </w:rPr>
            </w:pPr>
            <w:r w:rsidRPr="00D443CC">
              <w:rPr>
                <w:color w:val="000000"/>
                <w:sz w:val="24"/>
                <w:szCs w:val="24"/>
              </w:rPr>
              <w:t>2693.24</w:t>
            </w:r>
          </w:p>
        </w:tc>
        <w:tc>
          <w:tcPr>
            <w:tcW w:w="1680" w:type="dxa"/>
            <w:tcBorders>
              <w:top w:val="nil"/>
              <w:left w:val="nil"/>
              <w:bottom w:val="nil"/>
              <w:right w:val="nil"/>
            </w:tcBorders>
            <w:shd w:val="clear" w:color="auto" w:fill="auto"/>
            <w:noWrap/>
            <w:vAlign w:val="center"/>
            <w:hideMark/>
          </w:tcPr>
          <w:p w14:paraId="3E8A44AF" w14:textId="77777777" w:rsidR="00D443CC" w:rsidRPr="00D443CC" w:rsidRDefault="00D443CC" w:rsidP="00D443CC">
            <w:pPr>
              <w:spacing w:after="0"/>
              <w:jc w:val="center"/>
              <w:rPr>
                <w:color w:val="000000"/>
                <w:sz w:val="24"/>
                <w:szCs w:val="24"/>
              </w:rPr>
            </w:pPr>
            <w:r w:rsidRPr="00D443CC">
              <w:rPr>
                <w:color w:val="000000"/>
                <w:sz w:val="24"/>
                <w:szCs w:val="24"/>
              </w:rPr>
              <w:t>2328.98</w:t>
            </w:r>
          </w:p>
        </w:tc>
        <w:tc>
          <w:tcPr>
            <w:tcW w:w="1680" w:type="dxa"/>
            <w:tcBorders>
              <w:top w:val="nil"/>
              <w:left w:val="nil"/>
              <w:bottom w:val="nil"/>
              <w:right w:val="nil"/>
            </w:tcBorders>
            <w:shd w:val="clear" w:color="auto" w:fill="auto"/>
            <w:noWrap/>
            <w:vAlign w:val="center"/>
            <w:hideMark/>
          </w:tcPr>
          <w:p w14:paraId="5979B5BB" w14:textId="77777777" w:rsidR="00D443CC" w:rsidRPr="00D443CC" w:rsidRDefault="00D443CC" w:rsidP="00D443CC">
            <w:pPr>
              <w:spacing w:after="0"/>
              <w:jc w:val="center"/>
              <w:rPr>
                <w:color w:val="000000"/>
                <w:sz w:val="24"/>
                <w:szCs w:val="24"/>
              </w:rPr>
            </w:pPr>
            <w:r w:rsidRPr="00D443CC">
              <w:rPr>
                <w:color w:val="000000"/>
                <w:sz w:val="24"/>
                <w:szCs w:val="24"/>
              </w:rPr>
              <w:t>1967.19</w:t>
            </w:r>
          </w:p>
        </w:tc>
      </w:tr>
      <w:tr w:rsidR="00D443C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D443CC" w:rsidRPr="00D443CC" w:rsidRDefault="00D443CC" w:rsidP="00D443C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77777777" w:rsidR="00D443CC" w:rsidRPr="00D443CC" w:rsidRDefault="00D443CC" w:rsidP="00D443CC">
            <w:pPr>
              <w:spacing w:after="0"/>
              <w:jc w:val="center"/>
              <w:rPr>
                <w:color w:val="000000"/>
                <w:sz w:val="24"/>
                <w:szCs w:val="24"/>
              </w:rPr>
            </w:pPr>
            <w:r w:rsidRPr="00D443C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77777777" w:rsidR="00D443CC" w:rsidRPr="00D443CC" w:rsidRDefault="00D443CC" w:rsidP="00D443CC">
            <w:pPr>
              <w:spacing w:after="0"/>
              <w:jc w:val="center"/>
              <w:rPr>
                <w:color w:val="000000"/>
                <w:sz w:val="24"/>
                <w:szCs w:val="24"/>
              </w:rPr>
            </w:pPr>
            <w:r w:rsidRPr="00D443CC">
              <w:rPr>
                <w:color w:val="000000"/>
                <w:sz w:val="24"/>
                <w:szCs w:val="24"/>
              </w:rPr>
              <w:t>1.67E-12</w:t>
            </w:r>
          </w:p>
        </w:tc>
        <w:tc>
          <w:tcPr>
            <w:tcW w:w="1680" w:type="dxa"/>
            <w:tcBorders>
              <w:top w:val="nil"/>
              <w:left w:val="nil"/>
              <w:bottom w:val="nil"/>
              <w:right w:val="nil"/>
            </w:tcBorders>
            <w:shd w:val="clear" w:color="auto" w:fill="auto"/>
            <w:noWrap/>
            <w:vAlign w:val="center"/>
            <w:hideMark/>
          </w:tcPr>
          <w:p w14:paraId="5751BC37" w14:textId="77777777" w:rsidR="00D443CC" w:rsidRPr="00D443CC" w:rsidRDefault="00D443CC" w:rsidP="00D443CC">
            <w:pPr>
              <w:spacing w:after="0"/>
              <w:jc w:val="center"/>
              <w:rPr>
                <w:color w:val="000000"/>
                <w:sz w:val="24"/>
                <w:szCs w:val="24"/>
              </w:rPr>
            </w:pPr>
            <w:r w:rsidRPr="00D443CC">
              <w:rPr>
                <w:color w:val="000000"/>
                <w:sz w:val="24"/>
                <w:szCs w:val="24"/>
              </w:rPr>
              <w:t>1.40E-12</w:t>
            </w:r>
          </w:p>
        </w:tc>
        <w:tc>
          <w:tcPr>
            <w:tcW w:w="1680" w:type="dxa"/>
            <w:tcBorders>
              <w:top w:val="nil"/>
              <w:left w:val="nil"/>
              <w:bottom w:val="nil"/>
              <w:right w:val="nil"/>
            </w:tcBorders>
            <w:shd w:val="clear" w:color="auto" w:fill="auto"/>
            <w:noWrap/>
            <w:vAlign w:val="center"/>
            <w:hideMark/>
          </w:tcPr>
          <w:p w14:paraId="75AE7D24" w14:textId="77777777" w:rsidR="00D443CC" w:rsidRPr="00D443CC" w:rsidRDefault="00D443CC" w:rsidP="00D443CC">
            <w:pPr>
              <w:spacing w:after="0"/>
              <w:jc w:val="center"/>
              <w:rPr>
                <w:color w:val="000000"/>
                <w:sz w:val="24"/>
                <w:szCs w:val="24"/>
              </w:rPr>
            </w:pPr>
            <w:r w:rsidRPr="00D443CC">
              <w:rPr>
                <w:color w:val="000000"/>
                <w:sz w:val="24"/>
                <w:szCs w:val="24"/>
              </w:rPr>
              <w:t>1.35E-12</w:t>
            </w:r>
          </w:p>
        </w:tc>
      </w:tr>
      <w:tr w:rsidR="00D443C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D443CC" w:rsidRPr="00D443CC" w:rsidRDefault="00D443CC" w:rsidP="00D443C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77777777" w:rsidR="00D443CC" w:rsidRPr="00D443CC" w:rsidRDefault="00D443CC" w:rsidP="00D443CC">
            <w:pPr>
              <w:spacing w:after="0"/>
              <w:jc w:val="center"/>
              <w:rPr>
                <w:color w:val="000000"/>
                <w:sz w:val="24"/>
                <w:szCs w:val="24"/>
              </w:rPr>
            </w:pPr>
            <w:r w:rsidRPr="00D443C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7777777" w:rsidR="00D443CC" w:rsidRPr="00D443CC" w:rsidRDefault="00D443CC" w:rsidP="00D443CC">
            <w:pPr>
              <w:spacing w:after="0"/>
              <w:jc w:val="center"/>
              <w:rPr>
                <w:color w:val="000000"/>
                <w:sz w:val="24"/>
                <w:szCs w:val="24"/>
              </w:rPr>
            </w:pPr>
            <w:r w:rsidRPr="00D443CC">
              <w:rPr>
                <w:color w:val="000000"/>
                <w:sz w:val="24"/>
                <w:szCs w:val="24"/>
              </w:rPr>
              <w:t>3.81</w:t>
            </w:r>
          </w:p>
        </w:tc>
        <w:tc>
          <w:tcPr>
            <w:tcW w:w="1680" w:type="dxa"/>
            <w:tcBorders>
              <w:top w:val="nil"/>
              <w:left w:val="nil"/>
              <w:bottom w:val="nil"/>
              <w:right w:val="nil"/>
            </w:tcBorders>
            <w:shd w:val="clear" w:color="auto" w:fill="auto"/>
            <w:noWrap/>
            <w:vAlign w:val="center"/>
            <w:hideMark/>
          </w:tcPr>
          <w:p w14:paraId="22DCECCC" w14:textId="77777777" w:rsidR="00D443CC" w:rsidRPr="00D443CC" w:rsidRDefault="00D443CC" w:rsidP="00D443CC">
            <w:pPr>
              <w:spacing w:after="0"/>
              <w:jc w:val="center"/>
              <w:rPr>
                <w:color w:val="000000"/>
                <w:sz w:val="24"/>
                <w:szCs w:val="24"/>
              </w:rPr>
            </w:pPr>
            <w:r w:rsidRPr="00D443CC">
              <w:rPr>
                <w:color w:val="000000"/>
                <w:sz w:val="24"/>
                <w:szCs w:val="24"/>
              </w:rPr>
              <w:t>4.68</w:t>
            </w:r>
          </w:p>
        </w:tc>
        <w:tc>
          <w:tcPr>
            <w:tcW w:w="1680" w:type="dxa"/>
            <w:tcBorders>
              <w:top w:val="nil"/>
              <w:left w:val="nil"/>
              <w:bottom w:val="nil"/>
              <w:right w:val="nil"/>
            </w:tcBorders>
            <w:shd w:val="clear" w:color="auto" w:fill="auto"/>
            <w:noWrap/>
            <w:vAlign w:val="center"/>
            <w:hideMark/>
          </w:tcPr>
          <w:p w14:paraId="10751BF7" w14:textId="77777777" w:rsidR="00D443CC" w:rsidRPr="00D443CC" w:rsidRDefault="00D443CC" w:rsidP="00D443CC">
            <w:pPr>
              <w:spacing w:after="0"/>
              <w:jc w:val="center"/>
              <w:rPr>
                <w:color w:val="000000"/>
                <w:sz w:val="24"/>
                <w:szCs w:val="24"/>
              </w:rPr>
            </w:pPr>
            <w:r w:rsidRPr="00D443CC">
              <w:rPr>
                <w:color w:val="000000"/>
                <w:sz w:val="24"/>
                <w:szCs w:val="24"/>
              </w:rPr>
              <w:t>5.64</w:t>
            </w:r>
          </w:p>
        </w:tc>
      </w:tr>
      <w:tr w:rsidR="00D443C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D443CC" w:rsidRPr="00D443CC" w:rsidRDefault="00D443CC" w:rsidP="00D443CC">
            <w:pPr>
              <w:spacing w:after="0"/>
              <w:jc w:val="right"/>
              <w:rPr>
                <w:color w:val="000000"/>
                <w:sz w:val="24"/>
                <w:szCs w:val="24"/>
              </w:rPr>
            </w:pPr>
            <w:proofErr w:type="spellStart"/>
            <w:r w:rsidRPr="00D443CC">
              <w:rPr>
                <w:color w:val="000000"/>
                <w:sz w:val="24"/>
                <w:szCs w:val="24"/>
              </w:rPr>
              <w:t>Srv</w:t>
            </w:r>
            <w:proofErr w:type="spellEnd"/>
          </w:p>
        </w:tc>
        <w:tc>
          <w:tcPr>
            <w:tcW w:w="1431" w:type="dxa"/>
            <w:tcBorders>
              <w:top w:val="nil"/>
              <w:left w:val="nil"/>
              <w:bottom w:val="nil"/>
              <w:right w:val="nil"/>
            </w:tcBorders>
            <w:shd w:val="clear" w:color="auto" w:fill="auto"/>
            <w:noWrap/>
            <w:vAlign w:val="center"/>
            <w:hideMark/>
          </w:tcPr>
          <w:p w14:paraId="7143BAFA" w14:textId="77777777" w:rsidR="00D443CC" w:rsidRPr="00D443CC" w:rsidRDefault="00D443CC" w:rsidP="00D443CC">
            <w:pPr>
              <w:spacing w:after="0"/>
              <w:jc w:val="center"/>
              <w:rPr>
                <w:color w:val="000000"/>
                <w:sz w:val="24"/>
                <w:szCs w:val="24"/>
              </w:rPr>
            </w:pPr>
            <w:r w:rsidRPr="00D443C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77777777" w:rsidR="00D443CC" w:rsidRPr="00D443CC" w:rsidRDefault="00D443CC" w:rsidP="00D443CC">
            <w:pPr>
              <w:spacing w:after="0"/>
              <w:jc w:val="center"/>
              <w:rPr>
                <w:color w:val="000000"/>
                <w:sz w:val="24"/>
                <w:szCs w:val="24"/>
              </w:rPr>
            </w:pPr>
            <w:r w:rsidRPr="00D443CC">
              <w:rPr>
                <w:color w:val="000000"/>
                <w:sz w:val="24"/>
                <w:szCs w:val="24"/>
              </w:rPr>
              <w:t>-5.25</w:t>
            </w:r>
          </w:p>
        </w:tc>
        <w:tc>
          <w:tcPr>
            <w:tcW w:w="1680" w:type="dxa"/>
            <w:tcBorders>
              <w:top w:val="nil"/>
              <w:left w:val="nil"/>
              <w:bottom w:val="nil"/>
              <w:right w:val="nil"/>
            </w:tcBorders>
            <w:shd w:val="clear" w:color="auto" w:fill="auto"/>
            <w:noWrap/>
            <w:vAlign w:val="center"/>
            <w:hideMark/>
          </w:tcPr>
          <w:p w14:paraId="2BAEFDD5" w14:textId="77777777" w:rsidR="00D443CC" w:rsidRPr="00D443CC" w:rsidRDefault="00D443CC" w:rsidP="00D443CC">
            <w:pPr>
              <w:spacing w:after="0"/>
              <w:jc w:val="center"/>
              <w:rPr>
                <w:color w:val="000000"/>
                <w:sz w:val="24"/>
                <w:szCs w:val="24"/>
              </w:rPr>
            </w:pPr>
            <w:r w:rsidRPr="00D443CC">
              <w:rPr>
                <w:color w:val="000000"/>
                <w:sz w:val="24"/>
                <w:szCs w:val="24"/>
              </w:rPr>
              <w:t>-5.14</w:t>
            </w:r>
          </w:p>
        </w:tc>
        <w:tc>
          <w:tcPr>
            <w:tcW w:w="1680" w:type="dxa"/>
            <w:tcBorders>
              <w:top w:val="nil"/>
              <w:left w:val="nil"/>
              <w:bottom w:val="nil"/>
              <w:right w:val="nil"/>
            </w:tcBorders>
            <w:shd w:val="clear" w:color="auto" w:fill="auto"/>
            <w:noWrap/>
            <w:vAlign w:val="center"/>
            <w:hideMark/>
          </w:tcPr>
          <w:p w14:paraId="734C9676" w14:textId="77777777" w:rsidR="00D443CC" w:rsidRPr="00D443CC" w:rsidRDefault="00D443CC" w:rsidP="00D443CC">
            <w:pPr>
              <w:spacing w:after="0"/>
              <w:jc w:val="center"/>
              <w:rPr>
                <w:color w:val="000000"/>
                <w:sz w:val="24"/>
                <w:szCs w:val="24"/>
              </w:rPr>
            </w:pPr>
            <w:r w:rsidRPr="00D443CC">
              <w:rPr>
                <w:color w:val="000000"/>
                <w:sz w:val="24"/>
                <w:szCs w:val="24"/>
              </w:rPr>
              <w:t>-5.22</w:t>
            </w:r>
          </w:p>
        </w:tc>
      </w:tr>
      <w:tr w:rsidR="00D443C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D443CC" w:rsidRPr="00D443CC" w:rsidRDefault="00D443CC" w:rsidP="00D443CC">
            <w:pPr>
              <w:spacing w:after="0"/>
              <w:jc w:val="right"/>
              <w:rPr>
                <w:color w:val="000000"/>
                <w:sz w:val="24"/>
                <w:szCs w:val="24"/>
              </w:rPr>
            </w:pPr>
            <w:proofErr w:type="spellStart"/>
            <w:r w:rsidRPr="00D443CC">
              <w:rPr>
                <w:color w:val="000000"/>
                <w:sz w:val="24"/>
                <w:szCs w:val="24"/>
              </w:rPr>
              <w:t>LLSrv</w:t>
            </w:r>
            <w:proofErr w:type="spellEnd"/>
          </w:p>
        </w:tc>
        <w:tc>
          <w:tcPr>
            <w:tcW w:w="1431" w:type="dxa"/>
            <w:tcBorders>
              <w:top w:val="nil"/>
              <w:left w:val="nil"/>
              <w:bottom w:val="nil"/>
              <w:right w:val="nil"/>
            </w:tcBorders>
            <w:shd w:val="clear" w:color="auto" w:fill="auto"/>
            <w:noWrap/>
            <w:vAlign w:val="center"/>
            <w:hideMark/>
          </w:tcPr>
          <w:p w14:paraId="2173F24A" w14:textId="77777777" w:rsidR="00D443CC" w:rsidRPr="00D443CC" w:rsidRDefault="00D443CC" w:rsidP="00D443CC">
            <w:pPr>
              <w:spacing w:after="0"/>
              <w:jc w:val="center"/>
              <w:rPr>
                <w:color w:val="000000"/>
                <w:sz w:val="24"/>
                <w:szCs w:val="24"/>
              </w:rPr>
            </w:pPr>
            <w:r w:rsidRPr="00D443C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77777777" w:rsidR="00D443CC" w:rsidRPr="00D443CC" w:rsidRDefault="00D443CC" w:rsidP="00D443CC">
            <w:pPr>
              <w:spacing w:after="0"/>
              <w:jc w:val="center"/>
              <w:rPr>
                <w:color w:val="000000"/>
                <w:sz w:val="24"/>
                <w:szCs w:val="24"/>
              </w:rPr>
            </w:pPr>
            <w:r w:rsidRPr="00D443CC">
              <w:rPr>
                <w:color w:val="000000"/>
                <w:sz w:val="24"/>
                <w:szCs w:val="24"/>
              </w:rPr>
              <w:t>9.06</w:t>
            </w:r>
          </w:p>
        </w:tc>
        <w:tc>
          <w:tcPr>
            <w:tcW w:w="1680" w:type="dxa"/>
            <w:tcBorders>
              <w:top w:val="nil"/>
              <w:left w:val="nil"/>
              <w:bottom w:val="nil"/>
              <w:right w:val="nil"/>
            </w:tcBorders>
            <w:shd w:val="clear" w:color="auto" w:fill="auto"/>
            <w:noWrap/>
            <w:vAlign w:val="center"/>
            <w:hideMark/>
          </w:tcPr>
          <w:p w14:paraId="6A05E418" w14:textId="77777777" w:rsidR="00D443CC" w:rsidRPr="00D443CC" w:rsidRDefault="00D443CC" w:rsidP="00D443CC">
            <w:pPr>
              <w:spacing w:after="0"/>
              <w:jc w:val="center"/>
              <w:rPr>
                <w:color w:val="000000"/>
                <w:sz w:val="24"/>
                <w:szCs w:val="24"/>
              </w:rPr>
            </w:pPr>
            <w:r w:rsidRPr="00D443CC">
              <w:rPr>
                <w:color w:val="000000"/>
                <w:sz w:val="24"/>
                <w:szCs w:val="24"/>
              </w:rPr>
              <w:t>9.82</w:t>
            </w:r>
          </w:p>
        </w:tc>
        <w:tc>
          <w:tcPr>
            <w:tcW w:w="1680" w:type="dxa"/>
            <w:tcBorders>
              <w:top w:val="nil"/>
              <w:left w:val="nil"/>
              <w:bottom w:val="nil"/>
              <w:right w:val="nil"/>
            </w:tcBorders>
            <w:shd w:val="clear" w:color="auto" w:fill="auto"/>
            <w:noWrap/>
            <w:vAlign w:val="center"/>
            <w:hideMark/>
          </w:tcPr>
          <w:p w14:paraId="7F0C5970" w14:textId="77777777" w:rsidR="00D443CC" w:rsidRPr="00D443CC" w:rsidRDefault="00D443CC" w:rsidP="00D443CC">
            <w:pPr>
              <w:spacing w:after="0"/>
              <w:jc w:val="center"/>
              <w:rPr>
                <w:color w:val="000000"/>
                <w:sz w:val="24"/>
                <w:szCs w:val="24"/>
              </w:rPr>
            </w:pPr>
            <w:r w:rsidRPr="00D443CC">
              <w:rPr>
                <w:color w:val="000000"/>
                <w:sz w:val="24"/>
                <w:szCs w:val="24"/>
              </w:rPr>
              <w:t>10.85</w:t>
            </w:r>
          </w:p>
        </w:tc>
      </w:tr>
      <w:tr w:rsidR="00D443C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D443CC" w:rsidRPr="00D443CC" w:rsidRDefault="00D443CC" w:rsidP="00D443C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77777777" w:rsidR="00D443CC" w:rsidRPr="00D443CC" w:rsidRDefault="00D443CC" w:rsidP="00D443CC">
            <w:pPr>
              <w:spacing w:after="0"/>
              <w:jc w:val="center"/>
              <w:rPr>
                <w:color w:val="000000"/>
                <w:sz w:val="24"/>
                <w:szCs w:val="24"/>
              </w:rPr>
            </w:pPr>
            <w:r w:rsidRPr="00D443CC">
              <w:rPr>
                <w:color w:val="000000"/>
                <w:sz w:val="24"/>
                <w:szCs w:val="24"/>
              </w:rPr>
              <w:t>1817.93</w:t>
            </w:r>
          </w:p>
        </w:tc>
        <w:tc>
          <w:tcPr>
            <w:tcW w:w="1431" w:type="dxa"/>
            <w:tcBorders>
              <w:top w:val="nil"/>
              <w:left w:val="nil"/>
              <w:bottom w:val="nil"/>
              <w:right w:val="nil"/>
            </w:tcBorders>
            <w:shd w:val="clear" w:color="auto" w:fill="auto"/>
            <w:noWrap/>
            <w:vAlign w:val="center"/>
            <w:hideMark/>
          </w:tcPr>
          <w:p w14:paraId="2DFE4737" w14:textId="77777777" w:rsidR="00D443CC" w:rsidRPr="00D443CC" w:rsidRDefault="00D443CC" w:rsidP="00D443CC">
            <w:pPr>
              <w:spacing w:after="0"/>
              <w:jc w:val="center"/>
              <w:rPr>
                <w:color w:val="000000"/>
                <w:sz w:val="24"/>
                <w:szCs w:val="24"/>
              </w:rPr>
            </w:pPr>
            <w:r w:rsidRPr="00D443CC">
              <w:rPr>
                <w:color w:val="000000"/>
                <w:sz w:val="24"/>
                <w:szCs w:val="24"/>
              </w:rPr>
              <w:t>1868.43</w:t>
            </w:r>
          </w:p>
        </w:tc>
        <w:tc>
          <w:tcPr>
            <w:tcW w:w="1680" w:type="dxa"/>
            <w:tcBorders>
              <w:top w:val="nil"/>
              <w:left w:val="nil"/>
              <w:bottom w:val="nil"/>
              <w:right w:val="nil"/>
            </w:tcBorders>
            <w:shd w:val="clear" w:color="auto" w:fill="auto"/>
            <w:noWrap/>
            <w:vAlign w:val="center"/>
            <w:hideMark/>
          </w:tcPr>
          <w:p w14:paraId="0EFEC839" w14:textId="77777777" w:rsidR="00D443CC" w:rsidRPr="00D443CC" w:rsidRDefault="00D443CC" w:rsidP="00D443CC">
            <w:pPr>
              <w:spacing w:after="0"/>
              <w:jc w:val="center"/>
              <w:rPr>
                <w:color w:val="000000"/>
                <w:sz w:val="24"/>
                <w:szCs w:val="24"/>
              </w:rPr>
            </w:pPr>
            <w:r w:rsidRPr="00D443CC">
              <w:rPr>
                <w:color w:val="000000"/>
                <w:sz w:val="24"/>
                <w:szCs w:val="24"/>
              </w:rPr>
              <w:t>1704.53</w:t>
            </w:r>
          </w:p>
        </w:tc>
        <w:tc>
          <w:tcPr>
            <w:tcW w:w="1680" w:type="dxa"/>
            <w:tcBorders>
              <w:top w:val="nil"/>
              <w:left w:val="nil"/>
              <w:bottom w:val="nil"/>
              <w:right w:val="nil"/>
            </w:tcBorders>
            <w:shd w:val="clear" w:color="auto" w:fill="auto"/>
            <w:noWrap/>
            <w:vAlign w:val="center"/>
            <w:hideMark/>
          </w:tcPr>
          <w:p w14:paraId="5F53F1DF" w14:textId="77777777"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D443CC" w:rsidRPr="00D443CC" w:rsidRDefault="00D443CC" w:rsidP="00D443C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77777777" w:rsidR="00D443CC" w:rsidRPr="00D443CC" w:rsidRDefault="00D443CC" w:rsidP="00D443CC">
            <w:pPr>
              <w:spacing w:after="0"/>
              <w:jc w:val="center"/>
              <w:rPr>
                <w:color w:val="000000"/>
                <w:sz w:val="24"/>
                <w:szCs w:val="24"/>
              </w:rPr>
            </w:pPr>
            <w:r w:rsidRPr="00D443CC">
              <w:rPr>
                <w:color w:val="000000"/>
                <w:sz w:val="24"/>
                <w:szCs w:val="24"/>
              </w:rPr>
              <w:t>1101.99</w:t>
            </w:r>
          </w:p>
        </w:tc>
        <w:tc>
          <w:tcPr>
            <w:tcW w:w="1431" w:type="dxa"/>
            <w:tcBorders>
              <w:top w:val="nil"/>
              <w:left w:val="nil"/>
              <w:bottom w:val="nil"/>
              <w:right w:val="nil"/>
            </w:tcBorders>
            <w:shd w:val="clear" w:color="auto" w:fill="auto"/>
            <w:noWrap/>
            <w:vAlign w:val="center"/>
            <w:hideMark/>
          </w:tcPr>
          <w:p w14:paraId="04D361A3" w14:textId="77777777" w:rsidR="00D443CC" w:rsidRPr="00D443CC" w:rsidRDefault="00D443CC" w:rsidP="00D443CC">
            <w:pPr>
              <w:spacing w:after="0"/>
              <w:jc w:val="center"/>
              <w:rPr>
                <w:color w:val="000000"/>
                <w:sz w:val="24"/>
                <w:szCs w:val="24"/>
              </w:rPr>
            </w:pPr>
            <w:r w:rsidRPr="00D443CC">
              <w:rPr>
                <w:color w:val="000000"/>
                <w:sz w:val="24"/>
                <w:szCs w:val="24"/>
              </w:rPr>
              <w:t>1180.16</w:t>
            </w:r>
          </w:p>
        </w:tc>
        <w:tc>
          <w:tcPr>
            <w:tcW w:w="1680" w:type="dxa"/>
            <w:tcBorders>
              <w:top w:val="nil"/>
              <w:left w:val="nil"/>
              <w:bottom w:val="nil"/>
              <w:right w:val="nil"/>
            </w:tcBorders>
            <w:shd w:val="clear" w:color="auto" w:fill="auto"/>
            <w:noWrap/>
            <w:vAlign w:val="center"/>
            <w:hideMark/>
          </w:tcPr>
          <w:p w14:paraId="3C5557EC" w14:textId="77777777" w:rsidR="00D443CC" w:rsidRPr="00D443CC" w:rsidRDefault="00D443CC" w:rsidP="00D443CC">
            <w:pPr>
              <w:spacing w:after="0"/>
              <w:jc w:val="center"/>
              <w:rPr>
                <w:color w:val="000000"/>
                <w:sz w:val="24"/>
                <w:szCs w:val="24"/>
              </w:rPr>
            </w:pPr>
            <w:r w:rsidRPr="00D443CC">
              <w:rPr>
                <w:color w:val="000000"/>
                <w:sz w:val="24"/>
                <w:szCs w:val="24"/>
              </w:rPr>
              <w:t>1100.23</w:t>
            </w:r>
          </w:p>
        </w:tc>
        <w:tc>
          <w:tcPr>
            <w:tcW w:w="1680" w:type="dxa"/>
            <w:tcBorders>
              <w:top w:val="nil"/>
              <w:left w:val="nil"/>
              <w:bottom w:val="nil"/>
              <w:right w:val="nil"/>
            </w:tcBorders>
            <w:shd w:val="clear" w:color="auto" w:fill="auto"/>
            <w:noWrap/>
            <w:vAlign w:val="center"/>
            <w:hideMark/>
          </w:tcPr>
          <w:p w14:paraId="311ACAEF" w14:textId="77777777"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D443CC" w:rsidRPr="00D443CC" w:rsidRDefault="00D443CC" w:rsidP="00D443C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77777777" w:rsidR="00D443CC" w:rsidRPr="00D443CC" w:rsidRDefault="00D443CC" w:rsidP="00D443CC">
            <w:pPr>
              <w:spacing w:after="0"/>
              <w:jc w:val="center"/>
              <w:rPr>
                <w:color w:val="000000"/>
                <w:sz w:val="24"/>
                <w:szCs w:val="24"/>
              </w:rPr>
            </w:pPr>
            <w:r w:rsidRPr="00D443C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77777777" w:rsidR="00D443CC" w:rsidRPr="00D443CC" w:rsidRDefault="00D443CC" w:rsidP="00D443CC">
            <w:pPr>
              <w:spacing w:after="0"/>
              <w:jc w:val="center"/>
              <w:rPr>
                <w:color w:val="000000"/>
                <w:sz w:val="24"/>
                <w:szCs w:val="24"/>
              </w:rPr>
            </w:pPr>
            <w:r w:rsidRPr="00D443CC">
              <w:rPr>
                <w:color w:val="000000"/>
                <w:sz w:val="24"/>
                <w:szCs w:val="24"/>
              </w:rPr>
              <w:t>-2.53</w:t>
            </w:r>
          </w:p>
        </w:tc>
        <w:tc>
          <w:tcPr>
            <w:tcW w:w="1680" w:type="dxa"/>
            <w:tcBorders>
              <w:top w:val="nil"/>
              <w:left w:val="nil"/>
              <w:bottom w:val="nil"/>
              <w:right w:val="nil"/>
            </w:tcBorders>
            <w:shd w:val="clear" w:color="auto" w:fill="auto"/>
            <w:noWrap/>
            <w:vAlign w:val="center"/>
            <w:hideMark/>
          </w:tcPr>
          <w:p w14:paraId="0E469C88" w14:textId="77777777" w:rsidR="00D443CC" w:rsidRPr="00D443CC" w:rsidRDefault="00D443CC" w:rsidP="00D443CC">
            <w:pPr>
              <w:spacing w:after="0"/>
              <w:jc w:val="center"/>
              <w:rPr>
                <w:color w:val="000000"/>
                <w:sz w:val="24"/>
                <w:szCs w:val="24"/>
              </w:rPr>
            </w:pPr>
            <w:r w:rsidRPr="00D443CC">
              <w:rPr>
                <w:color w:val="000000"/>
                <w:sz w:val="24"/>
                <w:szCs w:val="24"/>
              </w:rPr>
              <w:t>-2.20</w:t>
            </w:r>
          </w:p>
        </w:tc>
        <w:tc>
          <w:tcPr>
            <w:tcW w:w="1680" w:type="dxa"/>
            <w:tcBorders>
              <w:top w:val="nil"/>
              <w:left w:val="nil"/>
              <w:bottom w:val="nil"/>
              <w:right w:val="nil"/>
            </w:tcBorders>
            <w:shd w:val="clear" w:color="auto" w:fill="auto"/>
            <w:noWrap/>
            <w:vAlign w:val="center"/>
            <w:hideMark/>
          </w:tcPr>
          <w:p w14:paraId="45EFC90D" w14:textId="77777777" w:rsidR="00D443CC" w:rsidRPr="00D443CC" w:rsidRDefault="00D443CC" w:rsidP="00D443CC">
            <w:pPr>
              <w:spacing w:after="0"/>
              <w:jc w:val="center"/>
              <w:rPr>
                <w:color w:val="000000"/>
                <w:sz w:val="24"/>
                <w:szCs w:val="24"/>
              </w:rPr>
            </w:pPr>
            <w:r w:rsidRPr="00D443CC">
              <w:rPr>
                <w:color w:val="000000"/>
                <w:sz w:val="24"/>
                <w:szCs w:val="24"/>
              </w:rPr>
              <w:t>-0.96</w:t>
            </w:r>
          </w:p>
        </w:tc>
      </w:tr>
      <w:tr w:rsidR="00D443C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D443CC" w:rsidRPr="00D443CC" w:rsidRDefault="00D443CC" w:rsidP="00D443CC">
            <w:pPr>
              <w:spacing w:after="0"/>
              <w:jc w:val="left"/>
              <w:rPr>
                <w:color w:val="000000"/>
                <w:sz w:val="24"/>
                <w:szCs w:val="24"/>
              </w:rPr>
            </w:pPr>
            <w:proofErr w:type="spellStart"/>
            <w:r w:rsidRPr="00D443CC">
              <w:rPr>
                <w:color w:val="000000"/>
                <w:sz w:val="24"/>
                <w:szCs w:val="24"/>
              </w:rPr>
              <w:t>InitEQ_Regime</w:t>
            </w:r>
            <w:proofErr w:type="spellEnd"/>
          </w:p>
        </w:tc>
        <w:tc>
          <w:tcPr>
            <w:tcW w:w="1431" w:type="dxa"/>
            <w:tcBorders>
              <w:top w:val="nil"/>
              <w:left w:val="nil"/>
              <w:bottom w:val="nil"/>
              <w:right w:val="nil"/>
            </w:tcBorders>
            <w:shd w:val="clear" w:color="auto" w:fill="auto"/>
            <w:noWrap/>
            <w:vAlign w:val="center"/>
            <w:hideMark/>
          </w:tcPr>
          <w:p w14:paraId="7C50B61D" w14:textId="77777777" w:rsidR="00D443CC" w:rsidRPr="00D443CC" w:rsidRDefault="00D443CC" w:rsidP="00D443CC">
            <w:pPr>
              <w:spacing w:after="0"/>
              <w:jc w:val="center"/>
              <w:rPr>
                <w:color w:val="000000"/>
                <w:sz w:val="24"/>
                <w:szCs w:val="24"/>
              </w:rPr>
            </w:pPr>
            <w:r w:rsidRPr="00D443C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77777777" w:rsidR="00D443CC" w:rsidRPr="00D443CC" w:rsidRDefault="00D443CC" w:rsidP="00D443CC">
            <w:pPr>
              <w:spacing w:after="0"/>
              <w:jc w:val="center"/>
              <w:rPr>
                <w:color w:val="000000"/>
                <w:sz w:val="24"/>
                <w:szCs w:val="24"/>
              </w:rPr>
            </w:pPr>
            <w:r w:rsidRPr="00D443CC">
              <w:rPr>
                <w:color w:val="000000"/>
                <w:sz w:val="24"/>
                <w:szCs w:val="24"/>
              </w:rPr>
              <w:t>3.23</w:t>
            </w:r>
          </w:p>
        </w:tc>
        <w:tc>
          <w:tcPr>
            <w:tcW w:w="1680" w:type="dxa"/>
            <w:tcBorders>
              <w:top w:val="nil"/>
              <w:left w:val="nil"/>
              <w:bottom w:val="nil"/>
              <w:right w:val="nil"/>
            </w:tcBorders>
            <w:shd w:val="clear" w:color="auto" w:fill="auto"/>
            <w:noWrap/>
            <w:vAlign w:val="center"/>
            <w:hideMark/>
          </w:tcPr>
          <w:p w14:paraId="7D1DFB08" w14:textId="77777777" w:rsidR="00D443CC" w:rsidRPr="00D443CC" w:rsidRDefault="00D443CC" w:rsidP="00D443CC">
            <w:pPr>
              <w:spacing w:after="0"/>
              <w:jc w:val="center"/>
              <w:rPr>
                <w:color w:val="000000"/>
                <w:sz w:val="24"/>
                <w:szCs w:val="24"/>
              </w:rPr>
            </w:pPr>
            <w:r w:rsidRPr="00D443CC">
              <w:rPr>
                <w:color w:val="000000"/>
                <w:sz w:val="24"/>
                <w:szCs w:val="24"/>
              </w:rPr>
              <w:t>3.26</w:t>
            </w:r>
          </w:p>
        </w:tc>
        <w:tc>
          <w:tcPr>
            <w:tcW w:w="1680" w:type="dxa"/>
            <w:tcBorders>
              <w:top w:val="nil"/>
              <w:left w:val="nil"/>
              <w:bottom w:val="nil"/>
              <w:right w:val="nil"/>
            </w:tcBorders>
            <w:shd w:val="clear" w:color="auto" w:fill="auto"/>
            <w:noWrap/>
            <w:vAlign w:val="center"/>
            <w:hideMark/>
          </w:tcPr>
          <w:p w14:paraId="02344F28" w14:textId="77777777" w:rsidR="00D443CC" w:rsidRPr="00D443CC" w:rsidRDefault="00D443CC" w:rsidP="00D443CC">
            <w:pPr>
              <w:spacing w:after="0"/>
              <w:jc w:val="center"/>
              <w:rPr>
                <w:color w:val="000000"/>
                <w:sz w:val="24"/>
                <w:szCs w:val="24"/>
              </w:rPr>
            </w:pPr>
            <w:r w:rsidRPr="00D443CC">
              <w:rPr>
                <w:color w:val="000000"/>
                <w:sz w:val="24"/>
                <w:szCs w:val="24"/>
              </w:rPr>
              <w:t>3.08</w:t>
            </w:r>
          </w:p>
        </w:tc>
      </w:tr>
      <w:tr w:rsidR="00D443C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D443CC" w:rsidRPr="00D443CC" w:rsidRDefault="00D443CC" w:rsidP="00D443CC">
            <w:pPr>
              <w:spacing w:after="0"/>
              <w:jc w:val="left"/>
              <w:rPr>
                <w:color w:val="000000"/>
                <w:sz w:val="24"/>
                <w:szCs w:val="24"/>
              </w:rPr>
            </w:pPr>
            <w:proofErr w:type="spellStart"/>
            <w:r w:rsidRPr="00D443CC">
              <w:rPr>
                <w:color w:val="000000"/>
                <w:sz w:val="24"/>
                <w:szCs w:val="24"/>
              </w:rPr>
              <w:t>Forecast_Recruitment</w:t>
            </w:r>
            <w:proofErr w:type="spellEnd"/>
          </w:p>
        </w:tc>
        <w:tc>
          <w:tcPr>
            <w:tcW w:w="1431" w:type="dxa"/>
            <w:tcBorders>
              <w:top w:val="nil"/>
              <w:left w:val="nil"/>
              <w:bottom w:val="nil"/>
              <w:right w:val="nil"/>
            </w:tcBorders>
            <w:shd w:val="clear" w:color="auto" w:fill="auto"/>
            <w:noWrap/>
            <w:vAlign w:val="center"/>
            <w:hideMark/>
          </w:tcPr>
          <w:p w14:paraId="150EADA2"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77777777"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D443CC" w:rsidRPr="00D443CC" w:rsidRDefault="00D443CC" w:rsidP="00D443CC">
            <w:pPr>
              <w:spacing w:after="0"/>
              <w:jc w:val="left"/>
              <w:rPr>
                <w:color w:val="000000"/>
                <w:sz w:val="24"/>
                <w:szCs w:val="24"/>
              </w:rPr>
            </w:pPr>
            <w:proofErr w:type="spellStart"/>
            <w:r w:rsidRPr="00D443CC">
              <w:rPr>
                <w:color w:val="000000"/>
                <w:sz w:val="24"/>
                <w:szCs w:val="24"/>
              </w:rPr>
              <w:t>Parm_priors</w:t>
            </w:r>
            <w:proofErr w:type="spellEnd"/>
          </w:p>
        </w:tc>
        <w:tc>
          <w:tcPr>
            <w:tcW w:w="1431" w:type="dxa"/>
            <w:tcBorders>
              <w:top w:val="nil"/>
              <w:left w:val="nil"/>
              <w:bottom w:val="nil"/>
              <w:right w:val="nil"/>
            </w:tcBorders>
            <w:shd w:val="clear" w:color="auto" w:fill="auto"/>
            <w:noWrap/>
            <w:vAlign w:val="center"/>
            <w:hideMark/>
          </w:tcPr>
          <w:p w14:paraId="79A14E52" w14:textId="77777777" w:rsidR="00D443CC" w:rsidRPr="00D443CC" w:rsidRDefault="00D443CC" w:rsidP="00D443CC">
            <w:pPr>
              <w:spacing w:after="0"/>
              <w:jc w:val="center"/>
              <w:rPr>
                <w:color w:val="000000"/>
                <w:sz w:val="24"/>
                <w:szCs w:val="24"/>
              </w:rPr>
            </w:pPr>
            <w:r w:rsidRPr="00D443C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77777777" w:rsidR="00D443CC" w:rsidRPr="00D443CC" w:rsidRDefault="00D443CC" w:rsidP="00D443CC">
            <w:pPr>
              <w:spacing w:after="0"/>
              <w:jc w:val="center"/>
              <w:rPr>
                <w:color w:val="000000"/>
                <w:sz w:val="24"/>
                <w:szCs w:val="24"/>
              </w:rPr>
            </w:pPr>
            <w:r w:rsidRPr="00D443CC">
              <w:rPr>
                <w:color w:val="000000"/>
                <w:sz w:val="24"/>
                <w:szCs w:val="24"/>
              </w:rPr>
              <w:t>1.32</w:t>
            </w:r>
          </w:p>
        </w:tc>
        <w:tc>
          <w:tcPr>
            <w:tcW w:w="1680" w:type="dxa"/>
            <w:tcBorders>
              <w:top w:val="nil"/>
              <w:left w:val="nil"/>
              <w:bottom w:val="nil"/>
              <w:right w:val="nil"/>
            </w:tcBorders>
            <w:shd w:val="clear" w:color="auto" w:fill="auto"/>
            <w:noWrap/>
            <w:vAlign w:val="center"/>
            <w:hideMark/>
          </w:tcPr>
          <w:p w14:paraId="7DA5574F" w14:textId="77777777" w:rsidR="00D443CC" w:rsidRPr="00D443CC" w:rsidRDefault="00D443CC" w:rsidP="00D443CC">
            <w:pPr>
              <w:spacing w:after="0"/>
              <w:jc w:val="center"/>
              <w:rPr>
                <w:color w:val="000000"/>
                <w:sz w:val="24"/>
                <w:szCs w:val="24"/>
              </w:rPr>
            </w:pPr>
            <w:r w:rsidRPr="00D443CC">
              <w:rPr>
                <w:color w:val="000000"/>
                <w:sz w:val="24"/>
                <w:szCs w:val="24"/>
              </w:rPr>
              <w:t>1.29</w:t>
            </w:r>
          </w:p>
        </w:tc>
        <w:tc>
          <w:tcPr>
            <w:tcW w:w="1680" w:type="dxa"/>
            <w:tcBorders>
              <w:top w:val="nil"/>
              <w:left w:val="nil"/>
              <w:bottom w:val="nil"/>
              <w:right w:val="nil"/>
            </w:tcBorders>
            <w:shd w:val="clear" w:color="auto" w:fill="auto"/>
            <w:noWrap/>
            <w:vAlign w:val="center"/>
            <w:hideMark/>
          </w:tcPr>
          <w:p w14:paraId="4B136996" w14:textId="77777777" w:rsidR="00D443CC" w:rsidRPr="00D443CC" w:rsidRDefault="00D443CC" w:rsidP="00D443CC">
            <w:pPr>
              <w:spacing w:after="0"/>
              <w:jc w:val="center"/>
              <w:rPr>
                <w:color w:val="000000"/>
                <w:sz w:val="24"/>
                <w:szCs w:val="24"/>
              </w:rPr>
            </w:pPr>
            <w:r w:rsidRPr="00D443CC">
              <w:rPr>
                <w:color w:val="000000"/>
                <w:sz w:val="24"/>
                <w:szCs w:val="24"/>
              </w:rPr>
              <w:t>1.24</w:t>
            </w:r>
          </w:p>
        </w:tc>
      </w:tr>
      <w:tr w:rsidR="00D443C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D443CC" w:rsidRPr="00D443CC" w:rsidRDefault="00D443CC" w:rsidP="00D443CC">
            <w:pPr>
              <w:spacing w:after="0"/>
              <w:jc w:val="left"/>
              <w:rPr>
                <w:color w:val="000000"/>
                <w:sz w:val="24"/>
                <w:szCs w:val="24"/>
              </w:rPr>
            </w:pPr>
            <w:proofErr w:type="spellStart"/>
            <w:r w:rsidRPr="00D443CC">
              <w:rPr>
                <w:color w:val="000000"/>
                <w:sz w:val="24"/>
                <w:szCs w:val="24"/>
              </w:rPr>
              <w:t>Parm_softbounds</w:t>
            </w:r>
            <w:proofErr w:type="spellEnd"/>
          </w:p>
        </w:tc>
        <w:tc>
          <w:tcPr>
            <w:tcW w:w="1431" w:type="dxa"/>
            <w:tcBorders>
              <w:top w:val="nil"/>
              <w:left w:val="nil"/>
              <w:right w:val="nil"/>
            </w:tcBorders>
            <w:shd w:val="clear" w:color="auto" w:fill="auto"/>
            <w:noWrap/>
            <w:vAlign w:val="center"/>
            <w:hideMark/>
          </w:tcPr>
          <w:p w14:paraId="45D9269B"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431" w:type="dxa"/>
            <w:tcBorders>
              <w:top w:val="nil"/>
              <w:left w:val="nil"/>
              <w:right w:val="nil"/>
            </w:tcBorders>
            <w:shd w:val="clear" w:color="auto" w:fill="auto"/>
            <w:noWrap/>
            <w:vAlign w:val="center"/>
            <w:hideMark/>
          </w:tcPr>
          <w:p w14:paraId="36AADB54"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53AD093F"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304886A9" w14:textId="7777777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D443CC" w:rsidRPr="00D443CC" w:rsidRDefault="00D443CC" w:rsidP="00D443CC">
            <w:pPr>
              <w:spacing w:after="0"/>
              <w:jc w:val="left"/>
              <w:rPr>
                <w:color w:val="000000"/>
                <w:sz w:val="24"/>
                <w:szCs w:val="24"/>
              </w:rPr>
            </w:pPr>
            <w:proofErr w:type="spellStart"/>
            <w:r w:rsidRPr="00D443CC">
              <w:rPr>
                <w:color w:val="000000"/>
                <w:sz w:val="24"/>
                <w:szCs w:val="24"/>
              </w:rPr>
              <w:t>Parm_devs</w:t>
            </w:r>
            <w:proofErr w:type="spellEnd"/>
          </w:p>
        </w:tc>
        <w:tc>
          <w:tcPr>
            <w:tcW w:w="1431" w:type="dxa"/>
            <w:tcBorders>
              <w:top w:val="nil"/>
              <w:left w:val="nil"/>
              <w:bottom w:val="single" w:sz="4" w:space="0" w:color="auto"/>
              <w:right w:val="nil"/>
            </w:tcBorders>
            <w:shd w:val="clear" w:color="auto" w:fill="auto"/>
            <w:noWrap/>
            <w:vAlign w:val="center"/>
            <w:hideMark/>
          </w:tcPr>
          <w:p w14:paraId="171D71B3" w14:textId="77777777" w:rsidR="00D443CC" w:rsidRPr="00D443CC" w:rsidRDefault="00D443CC" w:rsidP="00D443CC">
            <w:pPr>
              <w:spacing w:after="0"/>
              <w:jc w:val="center"/>
              <w:rPr>
                <w:color w:val="000000"/>
                <w:sz w:val="24"/>
                <w:szCs w:val="24"/>
              </w:rPr>
            </w:pPr>
            <w:r w:rsidRPr="00D443C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77777777" w:rsidR="00D443CC" w:rsidRPr="00D443CC" w:rsidRDefault="00D443CC" w:rsidP="00D443CC">
            <w:pPr>
              <w:spacing w:after="0"/>
              <w:jc w:val="center"/>
              <w:rPr>
                <w:color w:val="000000"/>
                <w:sz w:val="24"/>
                <w:szCs w:val="24"/>
              </w:rPr>
            </w:pPr>
            <w:r w:rsidRPr="00D443CC">
              <w:rPr>
                <w:color w:val="000000"/>
                <w:sz w:val="24"/>
                <w:szCs w:val="24"/>
              </w:rPr>
              <w:t>5.97</w:t>
            </w:r>
          </w:p>
        </w:tc>
        <w:tc>
          <w:tcPr>
            <w:tcW w:w="1680" w:type="dxa"/>
            <w:tcBorders>
              <w:top w:val="nil"/>
              <w:left w:val="nil"/>
              <w:bottom w:val="single" w:sz="4" w:space="0" w:color="auto"/>
              <w:right w:val="nil"/>
            </w:tcBorders>
            <w:shd w:val="clear" w:color="auto" w:fill="auto"/>
            <w:noWrap/>
            <w:vAlign w:val="center"/>
            <w:hideMark/>
          </w:tcPr>
          <w:p w14:paraId="0C2BFC86" w14:textId="77777777" w:rsidR="00D443CC" w:rsidRPr="00D443CC" w:rsidRDefault="00D443CC" w:rsidP="00D443CC">
            <w:pPr>
              <w:spacing w:after="0"/>
              <w:jc w:val="center"/>
              <w:rPr>
                <w:color w:val="000000"/>
                <w:sz w:val="24"/>
                <w:szCs w:val="24"/>
              </w:rPr>
            </w:pPr>
            <w:r w:rsidRPr="00D443CC">
              <w:rPr>
                <w:color w:val="000000"/>
                <w:sz w:val="24"/>
                <w:szCs w:val="24"/>
              </w:rPr>
              <w:t>5.89</w:t>
            </w:r>
          </w:p>
        </w:tc>
        <w:tc>
          <w:tcPr>
            <w:tcW w:w="1680" w:type="dxa"/>
            <w:tcBorders>
              <w:top w:val="nil"/>
              <w:left w:val="nil"/>
              <w:bottom w:val="single" w:sz="4" w:space="0" w:color="auto"/>
              <w:right w:val="nil"/>
            </w:tcBorders>
            <w:shd w:val="clear" w:color="auto" w:fill="auto"/>
            <w:noWrap/>
            <w:vAlign w:val="center"/>
            <w:hideMark/>
          </w:tcPr>
          <w:p w14:paraId="0E835EB9" w14:textId="77777777" w:rsidR="00D443CC" w:rsidRPr="00D443CC" w:rsidRDefault="00D443CC" w:rsidP="00D443CC">
            <w:pPr>
              <w:spacing w:after="0"/>
              <w:jc w:val="center"/>
              <w:rPr>
                <w:color w:val="000000"/>
                <w:sz w:val="24"/>
                <w:szCs w:val="24"/>
              </w:rPr>
            </w:pPr>
            <w:r w:rsidRPr="00D443CC">
              <w:rPr>
                <w:color w:val="000000"/>
                <w:sz w:val="24"/>
                <w:szCs w:val="24"/>
              </w:rPr>
              <w:t>5.62</w:t>
            </w:r>
          </w:p>
        </w:tc>
      </w:tr>
    </w:tbl>
    <w:p w14:paraId="4397EBC5" w14:textId="144B0730" w:rsidR="00A81834" w:rsidRDefault="00A81834" w:rsidP="00FE0BE7">
      <w:pPr>
        <w:jc w:val="left"/>
      </w:pPr>
    </w:p>
    <w:p w14:paraId="1D5F868B" w14:textId="460E2D65" w:rsidR="00425C84" w:rsidRDefault="00425C84" w:rsidP="00FE0BE7">
      <w:pPr>
        <w:jc w:val="left"/>
        <w:rPr>
          <w:sz w:val="24"/>
          <w:szCs w:val="24"/>
        </w:rPr>
      </w:pPr>
      <w:r w:rsidRPr="00425C84">
        <w:rPr>
          <w:sz w:val="24"/>
          <w:szCs w:val="24"/>
        </w:rPr>
        <w:t xml:space="preserve">Table 6. Key parameter estimates from model 2019.1b (both from the 2023 assessment and with data </w:t>
      </w:r>
      <w:r>
        <w:rPr>
          <w:sz w:val="24"/>
          <w:szCs w:val="24"/>
        </w:rPr>
        <w:t>updated throu</w:t>
      </w:r>
      <w:r w:rsidR="002E6C0C">
        <w:rPr>
          <w:sz w:val="24"/>
          <w:szCs w:val="24"/>
        </w:rPr>
        <w:t xml:space="preserve">gh September 2024) and </w:t>
      </w:r>
      <w:r>
        <w:rPr>
          <w:sz w:val="24"/>
          <w:szCs w:val="24"/>
        </w:rPr>
        <w:t>model</w:t>
      </w:r>
      <w:r w:rsidR="002E6C0C">
        <w:rPr>
          <w:sz w:val="24"/>
          <w:szCs w:val="24"/>
        </w:rPr>
        <w:t>s 2019.1c, 2019.1d, and</w:t>
      </w:r>
      <w:r>
        <w:rPr>
          <w:sz w:val="24"/>
          <w:szCs w:val="24"/>
        </w:rPr>
        <w:t xml:space="preserve"> 2019.1e.5cm.</w:t>
      </w:r>
    </w:p>
    <w:tbl>
      <w:tblPr>
        <w:tblW w:w="9383" w:type="dxa"/>
        <w:tblLook w:val="04A0" w:firstRow="1" w:lastRow="0" w:firstColumn="1" w:lastColumn="0" w:noHBand="0" w:noVBand="1"/>
      </w:tblPr>
      <w:tblGrid>
        <w:gridCol w:w="1718"/>
        <w:gridCol w:w="1549"/>
        <w:gridCol w:w="1549"/>
        <w:gridCol w:w="1300"/>
        <w:gridCol w:w="1331"/>
        <w:gridCol w:w="1936"/>
      </w:tblGrid>
      <w:tr w:rsidR="002E6C0C" w:rsidRPr="002E6C0C" w14:paraId="565A7B01"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16117B5C" w14:textId="77777777" w:rsidR="002E6C0C" w:rsidRPr="002E6C0C" w:rsidRDefault="002E6C0C" w:rsidP="002E6C0C">
            <w:pPr>
              <w:spacing w:after="0"/>
              <w:jc w:val="left"/>
              <w:rPr>
                <w:color w:val="000000"/>
                <w:sz w:val="24"/>
                <w:szCs w:val="24"/>
              </w:rPr>
            </w:pPr>
            <w:r w:rsidRPr="002E6C0C">
              <w:rPr>
                <w:color w:val="000000"/>
                <w:sz w:val="24"/>
                <w:szCs w:val="24"/>
              </w:rPr>
              <w:t>Parameter</w:t>
            </w:r>
          </w:p>
        </w:tc>
        <w:tc>
          <w:tcPr>
            <w:tcW w:w="1549" w:type="dxa"/>
            <w:tcBorders>
              <w:top w:val="nil"/>
              <w:left w:val="nil"/>
              <w:bottom w:val="single" w:sz="4" w:space="0" w:color="auto"/>
              <w:right w:val="nil"/>
            </w:tcBorders>
            <w:shd w:val="clear" w:color="auto" w:fill="auto"/>
            <w:noWrap/>
            <w:vAlign w:val="bottom"/>
            <w:hideMark/>
          </w:tcPr>
          <w:p w14:paraId="37B62F0C" w14:textId="77777777" w:rsidR="002E6C0C" w:rsidRPr="002E6C0C" w:rsidRDefault="002E6C0C" w:rsidP="002E6C0C">
            <w:pPr>
              <w:spacing w:after="0"/>
              <w:jc w:val="center"/>
              <w:rPr>
                <w:color w:val="000000"/>
                <w:sz w:val="24"/>
                <w:szCs w:val="24"/>
              </w:rPr>
            </w:pPr>
            <w:r w:rsidRPr="002E6C0C">
              <w:rPr>
                <w:color w:val="000000"/>
                <w:sz w:val="24"/>
                <w:szCs w:val="24"/>
              </w:rPr>
              <w:t>2019.1b-23</w:t>
            </w:r>
          </w:p>
        </w:tc>
        <w:tc>
          <w:tcPr>
            <w:tcW w:w="1549" w:type="dxa"/>
            <w:tcBorders>
              <w:top w:val="nil"/>
              <w:left w:val="nil"/>
              <w:bottom w:val="single" w:sz="4" w:space="0" w:color="auto"/>
              <w:right w:val="nil"/>
            </w:tcBorders>
            <w:shd w:val="clear" w:color="auto" w:fill="auto"/>
            <w:noWrap/>
            <w:vAlign w:val="bottom"/>
            <w:hideMark/>
          </w:tcPr>
          <w:p w14:paraId="6337A2CB" w14:textId="77777777" w:rsidR="002E6C0C" w:rsidRPr="002E6C0C" w:rsidRDefault="002E6C0C" w:rsidP="002E6C0C">
            <w:pPr>
              <w:spacing w:after="0"/>
              <w:jc w:val="center"/>
              <w:rPr>
                <w:color w:val="000000"/>
                <w:sz w:val="24"/>
                <w:szCs w:val="24"/>
              </w:rPr>
            </w:pPr>
            <w:r w:rsidRPr="002E6C0C">
              <w:rPr>
                <w:color w:val="000000"/>
                <w:sz w:val="24"/>
                <w:szCs w:val="24"/>
              </w:rPr>
              <w:t>2019.1b-24</w:t>
            </w:r>
          </w:p>
        </w:tc>
        <w:tc>
          <w:tcPr>
            <w:tcW w:w="1300" w:type="dxa"/>
            <w:tcBorders>
              <w:top w:val="nil"/>
              <w:left w:val="nil"/>
              <w:bottom w:val="single" w:sz="4" w:space="0" w:color="auto"/>
              <w:right w:val="nil"/>
            </w:tcBorders>
            <w:shd w:val="clear" w:color="auto" w:fill="auto"/>
            <w:noWrap/>
            <w:vAlign w:val="bottom"/>
            <w:hideMark/>
          </w:tcPr>
          <w:p w14:paraId="686D31DE" w14:textId="77777777" w:rsidR="002E6C0C" w:rsidRPr="002E6C0C" w:rsidRDefault="002E6C0C" w:rsidP="002E6C0C">
            <w:pPr>
              <w:spacing w:after="0"/>
              <w:jc w:val="center"/>
              <w:rPr>
                <w:color w:val="000000"/>
                <w:sz w:val="24"/>
                <w:szCs w:val="24"/>
              </w:rPr>
            </w:pPr>
            <w:r w:rsidRPr="002E6C0C">
              <w:rPr>
                <w:color w:val="000000"/>
                <w:sz w:val="24"/>
                <w:szCs w:val="24"/>
              </w:rPr>
              <w:t>2019.1c</w:t>
            </w:r>
          </w:p>
        </w:tc>
        <w:tc>
          <w:tcPr>
            <w:tcW w:w="1331" w:type="dxa"/>
            <w:tcBorders>
              <w:top w:val="nil"/>
              <w:left w:val="nil"/>
              <w:bottom w:val="single" w:sz="4" w:space="0" w:color="auto"/>
              <w:right w:val="nil"/>
            </w:tcBorders>
            <w:shd w:val="clear" w:color="auto" w:fill="auto"/>
            <w:noWrap/>
            <w:vAlign w:val="bottom"/>
            <w:hideMark/>
          </w:tcPr>
          <w:p w14:paraId="401EEF9C" w14:textId="77777777" w:rsidR="002E6C0C" w:rsidRPr="002E6C0C" w:rsidRDefault="002E6C0C" w:rsidP="002E6C0C">
            <w:pPr>
              <w:spacing w:after="0"/>
              <w:jc w:val="center"/>
              <w:rPr>
                <w:color w:val="000000"/>
                <w:sz w:val="24"/>
                <w:szCs w:val="24"/>
              </w:rPr>
            </w:pPr>
            <w:r w:rsidRPr="002E6C0C">
              <w:rPr>
                <w:color w:val="000000"/>
                <w:sz w:val="24"/>
                <w:szCs w:val="24"/>
              </w:rPr>
              <w:t>2019.1d</w:t>
            </w:r>
          </w:p>
        </w:tc>
        <w:tc>
          <w:tcPr>
            <w:tcW w:w="1936" w:type="dxa"/>
            <w:tcBorders>
              <w:top w:val="nil"/>
              <w:left w:val="nil"/>
              <w:bottom w:val="single" w:sz="4" w:space="0" w:color="auto"/>
              <w:right w:val="nil"/>
            </w:tcBorders>
            <w:shd w:val="clear" w:color="auto" w:fill="auto"/>
            <w:noWrap/>
            <w:vAlign w:val="bottom"/>
            <w:hideMark/>
          </w:tcPr>
          <w:p w14:paraId="7DDB04F7" w14:textId="77777777" w:rsidR="002E6C0C" w:rsidRPr="002E6C0C" w:rsidRDefault="002E6C0C" w:rsidP="002E6C0C">
            <w:pPr>
              <w:spacing w:after="0"/>
              <w:jc w:val="center"/>
              <w:rPr>
                <w:color w:val="000000"/>
                <w:sz w:val="24"/>
                <w:szCs w:val="24"/>
              </w:rPr>
            </w:pPr>
            <w:r w:rsidRPr="002E6C0C">
              <w:rPr>
                <w:color w:val="000000"/>
                <w:sz w:val="24"/>
                <w:szCs w:val="24"/>
              </w:rPr>
              <w:t>2019.1e.5cm</w:t>
            </w:r>
          </w:p>
        </w:tc>
      </w:tr>
      <w:tr w:rsidR="002E6C0C" w:rsidRPr="002E6C0C" w14:paraId="1E6456BB" w14:textId="77777777" w:rsidTr="002E6C0C">
        <w:trPr>
          <w:trHeight w:val="296"/>
        </w:trPr>
        <w:tc>
          <w:tcPr>
            <w:tcW w:w="1718" w:type="dxa"/>
            <w:tcBorders>
              <w:top w:val="single" w:sz="4" w:space="0" w:color="auto"/>
              <w:left w:val="nil"/>
              <w:bottom w:val="nil"/>
              <w:right w:val="nil"/>
            </w:tcBorders>
            <w:shd w:val="clear" w:color="auto" w:fill="auto"/>
            <w:noWrap/>
            <w:vAlign w:val="bottom"/>
            <w:hideMark/>
          </w:tcPr>
          <w:p w14:paraId="682DB831"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NatM</w:t>
            </w:r>
            <w:proofErr w:type="spellEnd"/>
          </w:p>
        </w:tc>
        <w:tc>
          <w:tcPr>
            <w:tcW w:w="1549" w:type="dxa"/>
            <w:tcBorders>
              <w:top w:val="single" w:sz="4" w:space="0" w:color="auto"/>
              <w:left w:val="nil"/>
              <w:bottom w:val="nil"/>
              <w:right w:val="nil"/>
            </w:tcBorders>
            <w:shd w:val="clear" w:color="auto" w:fill="auto"/>
            <w:noWrap/>
            <w:vAlign w:val="bottom"/>
            <w:hideMark/>
          </w:tcPr>
          <w:p w14:paraId="3D00200B"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549" w:type="dxa"/>
            <w:tcBorders>
              <w:top w:val="single" w:sz="4" w:space="0" w:color="auto"/>
              <w:left w:val="nil"/>
              <w:bottom w:val="nil"/>
              <w:right w:val="nil"/>
            </w:tcBorders>
            <w:shd w:val="clear" w:color="auto" w:fill="auto"/>
            <w:noWrap/>
            <w:vAlign w:val="bottom"/>
            <w:hideMark/>
          </w:tcPr>
          <w:p w14:paraId="48DA2395"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300" w:type="dxa"/>
            <w:tcBorders>
              <w:top w:val="single" w:sz="4" w:space="0" w:color="auto"/>
              <w:left w:val="nil"/>
              <w:bottom w:val="nil"/>
              <w:right w:val="nil"/>
            </w:tcBorders>
            <w:shd w:val="clear" w:color="auto" w:fill="auto"/>
            <w:noWrap/>
            <w:vAlign w:val="bottom"/>
            <w:hideMark/>
          </w:tcPr>
          <w:p w14:paraId="7393DFF2" w14:textId="77777777" w:rsidR="002E6C0C" w:rsidRPr="002E6C0C" w:rsidRDefault="002E6C0C" w:rsidP="002E6C0C">
            <w:pPr>
              <w:spacing w:after="0"/>
              <w:jc w:val="center"/>
              <w:rPr>
                <w:color w:val="000000"/>
                <w:sz w:val="24"/>
                <w:szCs w:val="24"/>
              </w:rPr>
            </w:pPr>
            <w:r w:rsidRPr="002E6C0C">
              <w:rPr>
                <w:color w:val="000000"/>
                <w:sz w:val="24"/>
                <w:szCs w:val="24"/>
              </w:rPr>
              <w:t>0.47</w:t>
            </w:r>
          </w:p>
        </w:tc>
        <w:tc>
          <w:tcPr>
            <w:tcW w:w="1331" w:type="dxa"/>
            <w:tcBorders>
              <w:top w:val="single" w:sz="4" w:space="0" w:color="auto"/>
              <w:left w:val="nil"/>
              <w:bottom w:val="nil"/>
              <w:right w:val="nil"/>
            </w:tcBorders>
            <w:shd w:val="clear" w:color="auto" w:fill="auto"/>
            <w:noWrap/>
            <w:vAlign w:val="bottom"/>
            <w:hideMark/>
          </w:tcPr>
          <w:p w14:paraId="0B03386F" w14:textId="77777777" w:rsidR="002E6C0C" w:rsidRPr="002E6C0C" w:rsidRDefault="002E6C0C" w:rsidP="002E6C0C">
            <w:pPr>
              <w:spacing w:after="0"/>
              <w:jc w:val="center"/>
              <w:rPr>
                <w:color w:val="000000"/>
                <w:sz w:val="24"/>
                <w:szCs w:val="24"/>
              </w:rPr>
            </w:pPr>
            <w:r w:rsidRPr="002E6C0C">
              <w:rPr>
                <w:color w:val="000000"/>
                <w:sz w:val="24"/>
                <w:szCs w:val="24"/>
              </w:rPr>
              <w:t>0.48</w:t>
            </w:r>
          </w:p>
        </w:tc>
        <w:tc>
          <w:tcPr>
            <w:tcW w:w="1936" w:type="dxa"/>
            <w:tcBorders>
              <w:top w:val="single" w:sz="4" w:space="0" w:color="auto"/>
              <w:left w:val="nil"/>
              <w:bottom w:val="nil"/>
              <w:right w:val="nil"/>
            </w:tcBorders>
            <w:shd w:val="clear" w:color="auto" w:fill="auto"/>
            <w:noWrap/>
            <w:vAlign w:val="bottom"/>
            <w:hideMark/>
          </w:tcPr>
          <w:p w14:paraId="1598B4FF" w14:textId="77777777" w:rsidR="002E6C0C" w:rsidRPr="002E6C0C" w:rsidRDefault="002E6C0C" w:rsidP="002E6C0C">
            <w:pPr>
              <w:spacing w:after="0"/>
              <w:jc w:val="center"/>
              <w:rPr>
                <w:color w:val="000000"/>
                <w:sz w:val="24"/>
                <w:szCs w:val="24"/>
              </w:rPr>
            </w:pPr>
            <w:r w:rsidRPr="002E6C0C">
              <w:rPr>
                <w:color w:val="000000"/>
                <w:sz w:val="24"/>
                <w:szCs w:val="24"/>
              </w:rPr>
              <w:t>0.47</w:t>
            </w:r>
          </w:p>
        </w:tc>
      </w:tr>
      <w:tr w:rsidR="002E6C0C" w:rsidRPr="002E6C0C" w14:paraId="37D036F1" w14:textId="77777777" w:rsidTr="002E6C0C">
        <w:trPr>
          <w:trHeight w:val="296"/>
        </w:trPr>
        <w:tc>
          <w:tcPr>
            <w:tcW w:w="1718" w:type="dxa"/>
            <w:tcBorders>
              <w:top w:val="nil"/>
              <w:left w:val="nil"/>
              <w:bottom w:val="nil"/>
              <w:right w:val="nil"/>
            </w:tcBorders>
            <w:shd w:val="clear" w:color="auto" w:fill="auto"/>
            <w:noWrap/>
            <w:vAlign w:val="bottom"/>
            <w:hideMark/>
          </w:tcPr>
          <w:p w14:paraId="0A601157"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NatM</w:t>
            </w:r>
            <w:proofErr w:type="spellEnd"/>
            <w:r w:rsidRPr="002E6C0C">
              <w:rPr>
                <w:color w:val="000000"/>
                <w:sz w:val="24"/>
                <w:szCs w:val="24"/>
              </w:rPr>
              <w:t>: 14-16</w:t>
            </w:r>
          </w:p>
        </w:tc>
        <w:tc>
          <w:tcPr>
            <w:tcW w:w="1549" w:type="dxa"/>
            <w:tcBorders>
              <w:top w:val="nil"/>
              <w:left w:val="nil"/>
              <w:bottom w:val="nil"/>
              <w:right w:val="nil"/>
            </w:tcBorders>
            <w:shd w:val="clear" w:color="auto" w:fill="auto"/>
            <w:noWrap/>
            <w:vAlign w:val="bottom"/>
            <w:hideMark/>
          </w:tcPr>
          <w:p w14:paraId="2285DC12" w14:textId="77777777" w:rsidR="002E6C0C" w:rsidRPr="002E6C0C" w:rsidRDefault="002E6C0C" w:rsidP="002E6C0C">
            <w:pPr>
              <w:spacing w:after="0"/>
              <w:jc w:val="center"/>
              <w:rPr>
                <w:color w:val="000000"/>
                <w:sz w:val="24"/>
                <w:szCs w:val="24"/>
              </w:rPr>
            </w:pPr>
            <w:r w:rsidRPr="002E6C0C">
              <w:rPr>
                <w:color w:val="000000"/>
                <w:sz w:val="24"/>
                <w:szCs w:val="24"/>
              </w:rPr>
              <w:t>0.79</w:t>
            </w:r>
          </w:p>
        </w:tc>
        <w:tc>
          <w:tcPr>
            <w:tcW w:w="1549" w:type="dxa"/>
            <w:tcBorders>
              <w:top w:val="nil"/>
              <w:left w:val="nil"/>
              <w:bottom w:val="nil"/>
              <w:right w:val="nil"/>
            </w:tcBorders>
            <w:shd w:val="clear" w:color="auto" w:fill="auto"/>
            <w:noWrap/>
            <w:vAlign w:val="bottom"/>
            <w:hideMark/>
          </w:tcPr>
          <w:p w14:paraId="0458717D" w14:textId="77777777" w:rsidR="002E6C0C" w:rsidRPr="002E6C0C" w:rsidRDefault="002E6C0C" w:rsidP="002E6C0C">
            <w:pPr>
              <w:spacing w:after="0"/>
              <w:jc w:val="center"/>
              <w:rPr>
                <w:color w:val="000000"/>
                <w:sz w:val="24"/>
                <w:szCs w:val="24"/>
              </w:rPr>
            </w:pPr>
            <w:r w:rsidRPr="002E6C0C">
              <w:rPr>
                <w:color w:val="000000"/>
                <w:sz w:val="24"/>
                <w:szCs w:val="24"/>
              </w:rPr>
              <w:t>0.80</w:t>
            </w:r>
          </w:p>
        </w:tc>
        <w:tc>
          <w:tcPr>
            <w:tcW w:w="1300" w:type="dxa"/>
            <w:tcBorders>
              <w:top w:val="nil"/>
              <w:left w:val="nil"/>
              <w:bottom w:val="nil"/>
              <w:right w:val="nil"/>
            </w:tcBorders>
            <w:shd w:val="clear" w:color="auto" w:fill="auto"/>
            <w:noWrap/>
            <w:vAlign w:val="bottom"/>
            <w:hideMark/>
          </w:tcPr>
          <w:p w14:paraId="50067ECF"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331" w:type="dxa"/>
            <w:tcBorders>
              <w:top w:val="nil"/>
              <w:left w:val="nil"/>
              <w:bottom w:val="nil"/>
              <w:right w:val="nil"/>
            </w:tcBorders>
            <w:shd w:val="clear" w:color="auto" w:fill="auto"/>
            <w:noWrap/>
            <w:vAlign w:val="bottom"/>
            <w:hideMark/>
          </w:tcPr>
          <w:p w14:paraId="243BA018"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936" w:type="dxa"/>
            <w:tcBorders>
              <w:top w:val="nil"/>
              <w:left w:val="nil"/>
              <w:bottom w:val="nil"/>
              <w:right w:val="nil"/>
            </w:tcBorders>
            <w:shd w:val="clear" w:color="auto" w:fill="auto"/>
            <w:noWrap/>
            <w:vAlign w:val="bottom"/>
            <w:hideMark/>
          </w:tcPr>
          <w:p w14:paraId="1E798AD8" w14:textId="77777777" w:rsidR="002E6C0C" w:rsidRPr="002E6C0C" w:rsidRDefault="002E6C0C" w:rsidP="002E6C0C">
            <w:pPr>
              <w:spacing w:after="0"/>
              <w:jc w:val="center"/>
              <w:rPr>
                <w:color w:val="000000"/>
                <w:sz w:val="24"/>
                <w:szCs w:val="24"/>
              </w:rPr>
            </w:pPr>
            <w:r w:rsidRPr="002E6C0C">
              <w:rPr>
                <w:color w:val="000000"/>
                <w:sz w:val="24"/>
                <w:szCs w:val="24"/>
              </w:rPr>
              <w:t>0.83</w:t>
            </w:r>
          </w:p>
        </w:tc>
      </w:tr>
      <w:tr w:rsidR="002E6C0C" w:rsidRPr="002E6C0C" w14:paraId="237F2342" w14:textId="77777777" w:rsidTr="002E6C0C">
        <w:trPr>
          <w:trHeight w:val="296"/>
        </w:trPr>
        <w:tc>
          <w:tcPr>
            <w:tcW w:w="1718" w:type="dxa"/>
            <w:tcBorders>
              <w:top w:val="nil"/>
              <w:left w:val="nil"/>
              <w:bottom w:val="nil"/>
              <w:right w:val="nil"/>
            </w:tcBorders>
            <w:shd w:val="clear" w:color="auto" w:fill="auto"/>
            <w:noWrap/>
            <w:vAlign w:val="bottom"/>
            <w:hideMark/>
          </w:tcPr>
          <w:p w14:paraId="49D8976A"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lnR</w:t>
            </w:r>
            <w:proofErr w:type="spellEnd"/>
          </w:p>
        </w:tc>
        <w:tc>
          <w:tcPr>
            <w:tcW w:w="1549" w:type="dxa"/>
            <w:tcBorders>
              <w:top w:val="nil"/>
              <w:left w:val="nil"/>
              <w:bottom w:val="nil"/>
              <w:right w:val="nil"/>
            </w:tcBorders>
            <w:shd w:val="clear" w:color="auto" w:fill="auto"/>
            <w:noWrap/>
            <w:vAlign w:val="bottom"/>
            <w:hideMark/>
          </w:tcPr>
          <w:p w14:paraId="15358B83" w14:textId="77777777" w:rsidR="002E6C0C" w:rsidRPr="002E6C0C" w:rsidRDefault="002E6C0C" w:rsidP="002E6C0C">
            <w:pPr>
              <w:spacing w:after="0"/>
              <w:jc w:val="center"/>
              <w:rPr>
                <w:color w:val="000000"/>
                <w:sz w:val="24"/>
                <w:szCs w:val="24"/>
              </w:rPr>
            </w:pPr>
            <w:r w:rsidRPr="002E6C0C">
              <w:rPr>
                <w:color w:val="000000"/>
                <w:sz w:val="24"/>
                <w:szCs w:val="24"/>
              </w:rPr>
              <w:t>12.86</w:t>
            </w:r>
          </w:p>
        </w:tc>
        <w:tc>
          <w:tcPr>
            <w:tcW w:w="1549" w:type="dxa"/>
            <w:tcBorders>
              <w:top w:val="nil"/>
              <w:left w:val="nil"/>
              <w:bottom w:val="nil"/>
              <w:right w:val="nil"/>
            </w:tcBorders>
            <w:shd w:val="clear" w:color="auto" w:fill="auto"/>
            <w:noWrap/>
            <w:vAlign w:val="bottom"/>
            <w:hideMark/>
          </w:tcPr>
          <w:p w14:paraId="4235D770" w14:textId="77777777" w:rsidR="002E6C0C" w:rsidRPr="002E6C0C" w:rsidRDefault="002E6C0C" w:rsidP="002E6C0C">
            <w:pPr>
              <w:spacing w:after="0"/>
              <w:jc w:val="center"/>
              <w:rPr>
                <w:color w:val="000000"/>
                <w:sz w:val="24"/>
                <w:szCs w:val="24"/>
              </w:rPr>
            </w:pPr>
            <w:r w:rsidRPr="002E6C0C">
              <w:rPr>
                <w:color w:val="000000"/>
                <w:sz w:val="24"/>
                <w:szCs w:val="24"/>
              </w:rPr>
              <w:t>12.87</w:t>
            </w:r>
          </w:p>
        </w:tc>
        <w:tc>
          <w:tcPr>
            <w:tcW w:w="1300" w:type="dxa"/>
            <w:tcBorders>
              <w:top w:val="nil"/>
              <w:left w:val="nil"/>
              <w:bottom w:val="nil"/>
              <w:right w:val="nil"/>
            </w:tcBorders>
            <w:shd w:val="clear" w:color="auto" w:fill="auto"/>
            <w:noWrap/>
            <w:vAlign w:val="bottom"/>
            <w:hideMark/>
          </w:tcPr>
          <w:p w14:paraId="2696BC08" w14:textId="77777777" w:rsidR="002E6C0C" w:rsidRPr="002E6C0C" w:rsidRDefault="002E6C0C" w:rsidP="002E6C0C">
            <w:pPr>
              <w:spacing w:after="0"/>
              <w:jc w:val="center"/>
              <w:rPr>
                <w:color w:val="000000"/>
                <w:sz w:val="24"/>
                <w:szCs w:val="24"/>
              </w:rPr>
            </w:pPr>
            <w:r w:rsidRPr="002E6C0C">
              <w:rPr>
                <w:color w:val="000000"/>
                <w:sz w:val="24"/>
                <w:szCs w:val="24"/>
              </w:rPr>
              <w:t>12.99</w:t>
            </w:r>
          </w:p>
        </w:tc>
        <w:tc>
          <w:tcPr>
            <w:tcW w:w="1331" w:type="dxa"/>
            <w:tcBorders>
              <w:top w:val="nil"/>
              <w:left w:val="nil"/>
              <w:bottom w:val="nil"/>
              <w:right w:val="nil"/>
            </w:tcBorders>
            <w:shd w:val="clear" w:color="auto" w:fill="auto"/>
            <w:noWrap/>
            <w:vAlign w:val="bottom"/>
            <w:hideMark/>
          </w:tcPr>
          <w:p w14:paraId="7FB8384C" w14:textId="77777777" w:rsidR="002E6C0C" w:rsidRPr="002E6C0C" w:rsidRDefault="002E6C0C" w:rsidP="002E6C0C">
            <w:pPr>
              <w:spacing w:after="0"/>
              <w:jc w:val="center"/>
              <w:rPr>
                <w:color w:val="000000"/>
                <w:sz w:val="24"/>
                <w:szCs w:val="24"/>
              </w:rPr>
            </w:pPr>
            <w:r w:rsidRPr="002E6C0C">
              <w:rPr>
                <w:color w:val="000000"/>
                <w:sz w:val="24"/>
                <w:szCs w:val="24"/>
              </w:rPr>
              <w:t>13.03</w:t>
            </w:r>
          </w:p>
        </w:tc>
        <w:tc>
          <w:tcPr>
            <w:tcW w:w="1936" w:type="dxa"/>
            <w:tcBorders>
              <w:top w:val="nil"/>
              <w:left w:val="nil"/>
              <w:bottom w:val="nil"/>
              <w:right w:val="nil"/>
            </w:tcBorders>
            <w:shd w:val="clear" w:color="auto" w:fill="auto"/>
            <w:noWrap/>
            <w:vAlign w:val="bottom"/>
            <w:hideMark/>
          </w:tcPr>
          <w:p w14:paraId="5954C10E" w14:textId="77777777" w:rsidR="002E6C0C" w:rsidRPr="002E6C0C" w:rsidRDefault="002E6C0C" w:rsidP="002E6C0C">
            <w:pPr>
              <w:spacing w:after="0"/>
              <w:jc w:val="center"/>
              <w:rPr>
                <w:color w:val="000000"/>
                <w:sz w:val="24"/>
                <w:szCs w:val="24"/>
              </w:rPr>
            </w:pPr>
            <w:r w:rsidRPr="002E6C0C">
              <w:rPr>
                <w:color w:val="000000"/>
                <w:sz w:val="24"/>
                <w:szCs w:val="24"/>
              </w:rPr>
              <w:t>13.10</w:t>
            </w:r>
          </w:p>
        </w:tc>
      </w:tr>
      <w:tr w:rsidR="002E6C0C" w:rsidRPr="002E6C0C" w14:paraId="0A92E503" w14:textId="77777777" w:rsidTr="002E6C0C">
        <w:trPr>
          <w:trHeight w:val="296"/>
        </w:trPr>
        <w:tc>
          <w:tcPr>
            <w:tcW w:w="1718" w:type="dxa"/>
            <w:tcBorders>
              <w:top w:val="nil"/>
              <w:left w:val="nil"/>
              <w:bottom w:val="nil"/>
              <w:right w:val="nil"/>
            </w:tcBorders>
            <w:shd w:val="clear" w:color="auto" w:fill="auto"/>
            <w:noWrap/>
            <w:vAlign w:val="bottom"/>
            <w:hideMark/>
          </w:tcPr>
          <w:p w14:paraId="5F786767"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q_twl</w:t>
            </w:r>
            <w:proofErr w:type="spellEnd"/>
          </w:p>
        </w:tc>
        <w:tc>
          <w:tcPr>
            <w:tcW w:w="1549" w:type="dxa"/>
            <w:tcBorders>
              <w:top w:val="nil"/>
              <w:left w:val="nil"/>
              <w:bottom w:val="nil"/>
              <w:right w:val="nil"/>
            </w:tcBorders>
            <w:shd w:val="clear" w:color="auto" w:fill="auto"/>
            <w:noWrap/>
            <w:vAlign w:val="bottom"/>
            <w:hideMark/>
          </w:tcPr>
          <w:p w14:paraId="2923BEC0"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549" w:type="dxa"/>
            <w:tcBorders>
              <w:top w:val="nil"/>
              <w:left w:val="nil"/>
              <w:bottom w:val="nil"/>
              <w:right w:val="nil"/>
            </w:tcBorders>
            <w:shd w:val="clear" w:color="auto" w:fill="auto"/>
            <w:noWrap/>
            <w:vAlign w:val="bottom"/>
            <w:hideMark/>
          </w:tcPr>
          <w:p w14:paraId="5B59878B" w14:textId="77777777" w:rsidR="002E6C0C" w:rsidRPr="002E6C0C" w:rsidRDefault="002E6C0C" w:rsidP="002E6C0C">
            <w:pPr>
              <w:spacing w:after="0"/>
              <w:jc w:val="center"/>
              <w:rPr>
                <w:color w:val="000000"/>
                <w:sz w:val="24"/>
                <w:szCs w:val="24"/>
              </w:rPr>
            </w:pPr>
            <w:r w:rsidRPr="002E6C0C">
              <w:rPr>
                <w:color w:val="000000"/>
                <w:sz w:val="24"/>
                <w:szCs w:val="24"/>
              </w:rPr>
              <w:t>1.07</w:t>
            </w:r>
          </w:p>
        </w:tc>
        <w:tc>
          <w:tcPr>
            <w:tcW w:w="1300" w:type="dxa"/>
            <w:tcBorders>
              <w:top w:val="nil"/>
              <w:left w:val="nil"/>
              <w:bottom w:val="nil"/>
              <w:right w:val="nil"/>
            </w:tcBorders>
            <w:shd w:val="clear" w:color="auto" w:fill="auto"/>
            <w:noWrap/>
            <w:vAlign w:val="bottom"/>
            <w:hideMark/>
          </w:tcPr>
          <w:p w14:paraId="14B1B764" w14:textId="77777777" w:rsidR="002E6C0C" w:rsidRPr="002E6C0C" w:rsidRDefault="002E6C0C" w:rsidP="002E6C0C">
            <w:pPr>
              <w:spacing w:after="0"/>
              <w:jc w:val="center"/>
              <w:rPr>
                <w:color w:val="000000"/>
                <w:sz w:val="24"/>
                <w:szCs w:val="24"/>
              </w:rPr>
            </w:pPr>
            <w:r w:rsidRPr="002E6C0C">
              <w:rPr>
                <w:color w:val="000000"/>
                <w:sz w:val="24"/>
                <w:szCs w:val="24"/>
              </w:rPr>
              <w:t>1.19</w:t>
            </w:r>
          </w:p>
        </w:tc>
        <w:tc>
          <w:tcPr>
            <w:tcW w:w="1331" w:type="dxa"/>
            <w:tcBorders>
              <w:top w:val="nil"/>
              <w:left w:val="nil"/>
              <w:bottom w:val="nil"/>
              <w:right w:val="nil"/>
            </w:tcBorders>
            <w:shd w:val="clear" w:color="auto" w:fill="auto"/>
            <w:noWrap/>
            <w:vAlign w:val="bottom"/>
            <w:hideMark/>
          </w:tcPr>
          <w:p w14:paraId="00D52D48" w14:textId="77777777" w:rsidR="002E6C0C" w:rsidRPr="002E6C0C" w:rsidRDefault="002E6C0C" w:rsidP="002E6C0C">
            <w:pPr>
              <w:spacing w:after="0"/>
              <w:jc w:val="center"/>
              <w:rPr>
                <w:color w:val="000000"/>
                <w:sz w:val="24"/>
                <w:szCs w:val="24"/>
              </w:rPr>
            </w:pPr>
            <w:r w:rsidRPr="002E6C0C">
              <w:rPr>
                <w:color w:val="000000"/>
                <w:sz w:val="24"/>
                <w:szCs w:val="24"/>
              </w:rPr>
              <w:t>1.23</w:t>
            </w:r>
          </w:p>
        </w:tc>
        <w:tc>
          <w:tcPr>
            <w:tcW w:w="1936" w:type="dxa"/>
            <w:tcBorders>
              <w:top w:val="nil"/>
              <w:left w:val="nil"/>
              <w:bottom w:val="nil"/>
              <w:right w:val="nil"/>
            </w:tcBorders>
            <w:shd w:val="clear" w:color="auto" w:fill="auto"/>
            <w:noWrap/>
            <w:vAlign w:val="bottom"/>
            <w:hideMark/>
          </w:tcPr>
          <w:p w14:paraId="0D36CE3E" w14:textId="77777777" w:rsidR="002E6C0C" w:rsidRPr="002E6C0C" w:rsidRDefault="002E6C0C" w:rsidP="002E6C0C">
            <w:pPr>
              <w:spacing w:after="0"/>
              <w:jc w:val="center"/>
              <w:rPr>
                <w:color w:val="000000"/>
                <w:sz w:val="24"/>
                <w:szCs w:val="24"/>
              </w:rPr>
            </w:pPr>
            <w:r w:rsidRPr="002E6C0C">
              <w:rPr>
                <w:color w:val="000000"/>
                <w:sz w:val="24"/>
                <w:szCs w:val="24"/>
              </w:rPr>
              <w:t>1.16</w:t>
            </w:r>
          </w:p>
        </w:tc>
      </w:tr>
      <w:tr w:rsidR="002E6C0C" w:rsidRPr="002E6C0C" w14:paraId="5FF472B7" w14:textId="77777777" w:rsidTr="002E6C0C">
        <w:trPr>
          <w:trHeight w:val="296"/>
        </w:trPr>
        <w:tc>
          <w:tcPr>
            <w:tcW w:w="1718" w:type="dxa"/>
            <w:tcBorders>
              <w:top w:val="nil"/>
              <w:left w:val="nil"/>
              <w:right w:val="nil"/>
            </w:tcBorders>
            <w:shd w:val="clear" w:color="auto" w:fill="auto"/>
            <w:noWrap/>
            <w:vAlign w:val="bottom"/>
            <w:hideMark/>
          </w:tcPr>
          <w:p w14:paraId="406863D1"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q_ll</w:t>
            </w:r>
            <w:proofErr w:type="spellEnd"/>
          </w:p>
        </w:tc>
        <w:tc>
          <w:tcPr>
            <w:tcW w:w="1549" w:type="dxa"/>
            <w:tcBorders>
              <w:top w:val="nil"/>
              <w:left w:val="nil"/>
              <w:right w:val="nil"/>
            </w:tcBorders>
            <w:shd w:val="clear" w:color="auto" w:fill="auto"/>
            <w:noWrap/>
            <w:vAlign w:val="bottom"/>
            <w:hideMark/>
          </w:tcPr>
          <w:p w14:paraId="7FCA2233"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549" w:type="dxa"/>
            <w:tcBorders>
              <w:top w:val="nil"/>
              <w:left w:val="nil"/>
              <w:right w:val="nil"/>
            </w:tcBorders>
            <w:shd w:val="clear" w:color="auto" w:fill="auto"/>
            <w:noWrap/>
            <w:vAlign w:val="bottom"/>
            <w:hideMark/>
          </w:tcPr>
          <w:p w14:paraId="088EFBD0"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300" w:type="dxa"/>
            <w:tcBorders>
              <w:top w:val="nil"/>
              <w:left w:val="nil"/>
              <w:right w:val="nil"/>
            </w:tcBorders>
            <w:shd w:val="clear" w:color="auto" w:fill="auto"/>
            <w:noWrap/>
            <w:vAlign w:val="bottom"/>
            <w:hideMark/>
          </w:tcPr>
          <w:p w14:paraId="705F02A6"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331" w:type="dxa"/>
            <w:tcBorders>
              <w:top w:val="nil"/>
              <w:left w:val="nil"/>
              <w:right w:val="nil"/>
            </w:tcBorders>
            <w:shd w:val="clear" w:color="auto" w:fill="auto"/>
            <w:noWrap/>
            <w:vAlign w:val="bottom"/>
            <w:hideMark/>
          </w:tcPr>
          <w:p w14:paraId="07F57AF7" w14:textId="77777777" w:rsidR="002E6C0C" w:rsidRPr="002E6C0C" w:rsidRDefault="002E6C0C" w:rsidP="002E6C0C">
            <w:pPr>
              <w:spacing w:after="0"/>
              <w:jc w:val="center"/>
              <w:rPr>
                <w:color w:val="000000"/>
                <w:sz w:val="24"/>
                <w:szCs w:val="24"/>
              </w:rPr>
            </w:pPr>
            <w:r w:rsidRPr="002E6C0C">
              <w:rPr>
                <w:color w:val="000000"/>
                <w:sz w:val="24"/>
                <w:szCs w:val="24"/>
              </w:rPr>
              <w:t>1.11</w:t>
            </w:r>
          </w:p>
        </w:tc>
        <w:tc>
          <w:tcPr>
            <w:tcW w:w="1936" w:type="dxa"/>
            <w:tcBorders>
              <w:top w:val="nil"/>
              <w:left w:val="nil"/>
              <w:right w:val="nil"/>
            </w:tcBorders>
            <w:shd w:val="clear" w:color="auto" w:fill="auto"/>
            <w:noWrap/>
            <w:vAlign w:val="bottom"/>
            <w:hideMark/>
          </w:tcPr>
          <w:p w14:paraId="6F7B157E" w14:textId="77777777" w:rsidR="002E6C0C" w:rsidRPr="002E6C0C" w:rsidRDefault="002E6C0C" w:rsidP="002E6C0C">
            <w:pPr>
              <w:spacing w:after="0"/>
              <w:jc w:val="center"/>
              <w:rPr>
                <w:color w:val="000000"/>
                <w:sz w:val="24"/>
                <w:szCs w:val="24"/>
              </w:rPr>
            </w:pPr>
            <w:r w:rsidRPr="002E6C0C">
              <w:rPr>
                <w:color w:val="000000"/>
                <w:sz w:val="24"/>
                <w:szCs w:val="24"/>
              </w:rPr>
              <w:t>1.07</w:t>
            </w:r>
          </w:p>
        </w:tc>
      </w:tr>
      <w:tr w:rsidR="002E6C0C" w:rsidRPr="002E6C0C" w14:paraId="0A49FE10"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3FE1BEB5" w14:textId="77777777" w:rsidR="002E6C0C" w:rsidRPr="002E6C0C" w:rsidRDefault="002E6C0C" w:rsidP="002E6C0C">
            <w:pPr>
              <w:spacing w:after="0"/>
              <w:jc w:val="left"/>
              <w:rPr>
                <w:color w:val="000000"/>
                <w:sz w:val="24"/>
                <w:szCs w:val="24"/>
              </w:rPr>
            </w:pPr>
            <w:proofErr w:type="spellStart"/>
            <w:r w:rsidRPr="002E6C0C">
              <w:rPr>
                <w:color w:val="000000"/>
                <w:sz w:val="24"/>
                <w:szCs w:val="24"/>
              </w:rPr>
              <w:t>q_llenv</w:t>
            </w:r>
            <w:proofErr w:type="spellEnd"/>
          </w:p>
        </w:tc>
        <w:tc>
          <w:tcPr>
            <w:tcW w:w="1549" w:type="dxa"/>
            <w:tcBorders>
              <w:top w:val="nil"/>
              <w:left w:val="nil"/>
              <w:bottom w:val="single" w:sz="4" w:space="0" w:color="auto"/>
              <w:right w:val="nil"/>
            </w:tcBorders>
            <w:shd w:val="clear" w:color="auto" w:fill="auto"/>
            <w:noWrap/>
            <w:vAlign w:val="bottom"/>
            <w:hideMark/>
          </w:tcPr>
          <w:p w14:paraId="525DF2A1" w14:textId="77777777" w:rsidR="002E6C0C" w:rsidRPr="002E6C0C" w:rsidRDefault="002E6C0C" w:rsidP="002E6C0C">
            <w:pPr>
              <w:spacing w:after="0"/>
              <w:jc w:val="center"/>
              <w:rPr>
                <w:color w:val="000000"/>
                <w:sz w:val="24"/>
                <w:szCs w:val="24"/>
              </w:rPr>
            </w:pPr>
            <w:r w:rsidRPr="002E6C0C">
              <w:rPr>
                <w:color w:val="000000"/>
                <w:sz w:val="24"/>
                <w:szCs w:val="24"/>
              </w:rPr>
              <w:t>1.42</w:t>
            </w:r>
          </w:p>
        </w:tc>
        <w:tc>
          <w:tcPr>
            <w:tcW w:w="1549" w:type="dxa"/>
            <w:tcBorders>
              <w:top w:val="nil"/>
              <w:left w:val="nil"/>
              <w:bottom w:val="single" w:sz="4" w:space="0" w:color="auto"/>
              <w:right w:val="nil"/>
            </w:tcBorders>
            <w:shd w:val="clear" w:color="auto" w:fill="auto"/>
            <w:noWrap/>
            <w:vAlign w:val="bottom"/>
            <w:hideMark/>
          </w:tcPr>
          <w:p w14:paraId="7931F243" w14:textId="77777777" w:rsidR="002E6C0C" w:rsidRPr="002E6C0C" w:rsidRDefault="002E6C0C" w:rsidP="002E6C0C">
            <w:pPr>
              <w:spacing w:after="0"/>
              <w:jc w:val="center"/>
              <w:rPr>
                <w:color w:val="000000"/>
                <w:sz w:val="24"/>
                <w:szCs w:val="24"/>
              </w:rPr>
            </w:pPr>
            <w:r w:rsidRPr="002E6C0C">
              <w:rPr>
                <w:color w:val="000000"/>
                <w:sz w:val="24"/>
                <w:szCs w:val="24"/>
              </w:rPr>
              <w:t>1.46</w:t>
            </w:r>
          </w:p>
        </w:tc>
        <w:tc>
          <w:tcPr>
            <w:tcW w:w="1300" w:type="dxa"/>
            <w:tcBorders>
              <w:top w:val="nil"/>
              <w:left w:val="nil"/>
              <w:bottom w:val="single" w:sz="4" w:space="0" w:color="auto"/>
              <w:right w:val="nil"/>
            </w:tcBorders>
            <w:shd w:val="clear" w:color="auto" w:fill="auto"/>
            <w:noWrap/>
            <w:vAlign w:val="bottom"/>
            <w:hideMark/>
          </w:tcPr>
          <w:p w14:paraId="0C27E423" w14:textId="77777777" w:rsidR="002E6C0C" w:rsidRPr="002E6C0C" w:rsidRDefault="002E6C0C" w:rsidP="002E6C0C">
            <w:pPr>
              <w:spacing w:after="0"/>
              <w:jc w:val="center"/>
              <w:rPr>
                <w:color w:val="000000"/>
                <w:sz w:val="24"/>
                <w:szCs w:val="24"/>
              </w:rPr>
            </w:pPr>
            <w:r w:rsidRPr="002E6C0C">
              <w:rPr>
                <w:color w:val="000000"/>
                <w:sz w:val="24"/>
                <w:szCs w:val="24"/>
              </w:rPr>
              <w:t>1.28</w:t>
            </w:r>
          </w:p>
        </w:tc>
        <w:tc>
          <w:tcPr>
            <w:tcW w:w="1331" w:type="dxa"/>
            <w:tcBorders>
              <w:top w:val="nil"/>
              <w:left w:val="nil"/>
              <w:bottom w:val="single" w:sz="4" w:space="0" w:color="auto"/>
              <w:right w:val="nil"/>
            </w:tcBorders>
            <w:shd w:val="clear" w:color="auto" w:fill="auto"/>
            <w:noWrap/>
            <w:vAlign w:val="bottom"/>
            <w:hideMark/>
          </w:tcPr>
          <w:p w14:paraId="7167C67D" w14:textId="77777777" w:rsidR="002E6C0C" w:rsidRPr="002E6C0C" w:rsidRDefault="002E6C0C" w:rsidP="002E6C0C">
            <w:pPr>
              <w:spacing w:after="0"/>
              <w:jc w:val="center"/>
              <w:rPr>
                <w:color w:val="000000"/>
                <w:sz w:val="24"/>
                <w:szCs w:val="24"/>
              </w:rPr>
            </w:pPr>
            <w:r w:rsidRPr="002E6C0C">
              <w:rPr>
                <w:color w:val="000000"/>
                <w:sz w:val="24"/>
                <w:szCs w:val="24"/>
              </w:rPr>
              <w:t>1.14</w:t>
            </w:r>
          </w:p>
        </w:tc>
        <w:tc>
          <w:tcPr>
            <w:tcW w:w="1936" w:type="dxa"/>
            <w:tcBorders>
              <w:top w:val="nil"/>
              <w:left w:val="nil"/>
              <w:bottom w:val="single" w:sz="4" w:space="0" w:color="auto"/>
              <w:right w:val="nil"/>
            </w:tcBorders>
            <w:shd w:val="clear" w:color="auto" w:fill="auto"/>
            <w:noWrap/>
            <w:vAlign w:val="bottom"/>
            <w:hideMark/>
          </w:tcPr>
          <w:p w14:paraId="353696F5" w14:textId="77777777" w:rsidR="002E6C0C" w:rsidRPr="002E6C0C" w:rsidRDefault="002E6C0C" w:rsidP="002E6C0C">
            <w:pPr>
              <w:spacing w:after="0"/>
              <w:jc w:val="center"/>
              <w:rPr>
                <w:color w:val="000000"/>
                <w:sz w:val="24"/>
                <w:szCs w:val="24"/>
              </w:rPr>
            </w:pPr>
            <w:r w:rsidRPr="002E6C0C">
              <w:rPr>
                <w:color w:val="000000"/>
                <w:sz w:val="24"/>
                <w:szCs w:val="24"/>
              </w:rPr>
              <w:t>1.37</w:t>
            </w:r>
          </w:p>
        </w:tc>
      </w:tr>
    </w:tbl>
    <w:p w14:paraId="46F81780" w14:textId="125E70C3" w:rsidR="00425C84" w:rsidRDefault="00425C84" w:rsidP="00FE0BE7">
      <w:pPr>
        <w:jc w:val="left"/>
        <w:rPr>
          <w:sz w:val="24"/>
          <w:szCs w:val="24"/>
        </w:rPr>
      </w:pPr>
    </w:p>
    <w:p w14:paraId="4C189F76" w14:textId="337E445E" w:rsidR="00520707" w:rsidRDefault="00520707" w:rsidP="00FE0BE7">
      <w:pPr>
        <w:jc w:val="left"/>
        <w:rPr>
          <w:sz w:val="24"/>
          <w:szCs w:val="24"/>
        </w:rPr>
      </w:pPr>
      <w:r>
        <w:rPr>
          <w:sz w:val="24"/>
          <w:szCs w:val="24"/>
        </w:rPr>
        <w:t>Table 7. Apportionment estimates for 2023 with coefficient of variation (CV) since 2019 from the REMA model when using only the AFSC bottom trawl survey compared to variants using both the AFSC bottom trawl survey and longline survey.</w:t>
      </w:r>
    </w:p>
    <w:tbl>
      <w:tblPr>
        <w:tblW w:w="8911" w:type="dxa"/>
        <w:tblLook w:val="04A0" w:firstRow="1" w:lastRow="0" w:firstColumn="1" w:lastColumn="0" w:noHBand="0" w:noVBand="1"/>
      </w:tblPr>
      <w:tblGrid>
        <w:gridCol w:w="3664"/>
        <w:gridCol w:w="1016"/>
        <w:gridCol w:w="936"/>
        <w:gridCol w:w="923"/>
        <w:gridCol w:w="870"/>
        <w:gridCol w:w="936"/>
        <w:gridCol w:w="866"/>
      </w:tblGrid>
      <w:tr w:rsidR="00520707" w:rsidRPr="00520707" w14:paraId="0FCC9F22"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066C6908" w14:textId="77777777" w:rsidR="00520707" w:rsidRPr="00520707" w:rsidRDefault="00520707" w:rsidP="00520707">
            <w:pPr>
              <w:spacing w:after="0"/>
              <w:jc w:val="left"/>
              <w:rPr>
                <w:color w:val="000000"/>
                <w:sz w:val="24"/>
                <w:szCs w:val="24"/>
              </w:rPr>
            </w:pPr>
            <w:r w:rsidRPr="00520707">
              <w:rPr>
                <w:color w:val="000000"/>
                <w:sz w:val="24"/>
                <w:szCs w:val="24"/>
              </w:rPr>
              <w:t>Model</w:t>
            </w:r>
          </w:p>
        </w:tc>
        <w:tc>
          <w:tcPr>
            <w:tcW w:w="917" w:type="dxa"/>
            <w:tcBorders>
              <w:top w:val="nil"/>
              <w:left w:val="nil"/>
              <w:bottom w:val="single" w:sz="4" w:space="0" w:color="auto"/>
              <w:right w:val="nil"/>
            </w:tcBorders>
            <w:shd w:val="clear" w:color="auto" w:fill="auto"/>
            <w:noWrap/>
            <w:vAlign w:val="center"/>
            <w:hideMark/>
          </w:tcPr>
          <w:p w14:paraId="0805F91A" w14:textId="77777777" w:rsidR="00520707" w:rsidRPr="00520707" w:rsidRDefault="00520707" w:rsidP="00520707">
            <w:pPr>
              <w:spacing w:after="0"/>
              <w:jc w:val="center"/>
              <w:rPr>
                <w:color w:val="000000"/>
                <w:sz w:val="24"/>
                <w:szCs w:val="24"/>
              </w:rPr>
            </w:pPr>
            <w:r w:rsidRPr="00520707">
              <w:rPr>
                <w:color w:val="000000"/>
                <w:sz w:val="24"/>
                <w:szCs w:val="24"/>
              </w:rPr>
              <w:t>Western</w:t>
            </w:r>
          </w:p>
        </w:tc>
        <w:tc>
          <w:tcPr>
            <w:tcW w:w="866" w:type="dxa"/>
            <w:tcBorders>
              <w:top w:val="nil"/>
              <w:left w:val="nil"/>
              <w:bottom w:val="single" w:sz="4" w:space="0" w:color="auto"/>
              <w:right w:val="nil"/>
            </w:tcBorders>
            <w:shd w:val="clear" w:color="auto" w:fill="auto"/>
            <w:noWrap/>
            <w:vAlign w:val="center"/>
            <w:hideMark/>
          </w:tcPr>
          <w:p w14:paraId="68321FD4" w14:textId="77777777" w:rsidR="00520707" w:rsidRPr="00520707" w:rsidRDefault="00520707" w:rsidP="00520707">
            <w:pPr>
              <w:spacing w:after="0"/>
              <w:jc w:val="center"/>
              <w:rPr>
                <w:color w:val="000000"/>
                <w:sz w:val="24"/>
                <w:szCs w:val="24"/>
              </w:rPr>
            </w:pPr>
            <w:r w:rsidRPr="00520707">
              <w:rPr>
                <w:color w:val="000000"/>
                <w:sz w:val="24"/>
                <w:szCs w:val="24"/>
              </w:rPr>
              <w:t>CV[W]</w:t>
            </w:r>
          </w:p>
        </w:tc>
        <w:tc>
          <w:tcPr>
            <w:tcW w:w="866" w:type="dxa"/>
            <w:tcBorders>
              <w:top w:val="nil"/>
              <w:left w:val="nil"/>
              <w:bottom w:val="single" w:sz="4" w:space="0" w:color="auto"/>
              <w:right w:val="nil"/>
            </w:tcBorders>
            <w:shd w:val="clear" w:color="auto" w:fill="auto"/>
            <w:noWrap/>
            <w:vAlign w:val="center"/>
            <w:hideMark/>
          </w:tcPr>
          <w:p w14:paraId="65FBE97F" w14:textId="77777777" w:rsidR="00520707" w:rsidRPr="00520707" w:rsidRDefault="00520707" w:rsidP="00520707">
            <w:pPr>
              <w:spacing w:after="0"/>
              <w:jc w:val="center"/>
              <w:rPr>
                <w:color w:val="000000"/>
                <w:sz w:val="24"/>
                <w:szCs w:val="24"/>
              </w:rPr>
            </w:pPr>
            <w:r w:rsidRPr="00520707">
              <w:rPr>
                <w:color w:val="000000"/>
                <w:sz w:val="24"/>
                <w:szCs w:val="24"/>
              </w:rPr>
              <w:t>Central</w:t>
            </w:r>
          </w:p>
        </w:tc>
        <w:tc>
          <w:tcPr>
            <w:tcW w:w="866" w:type="dxa"/>
            <w:tcBorders>
              <w:top w:val="nil"/>
              <w:left w:val="nil"/>
              <w:bottom w:val="single" w:sz="4" w:space="0" w:color="auto"/>
              <w:right w:val="nil"/>
            </w:tcBorders>
            <w:shd w:val="clear" w:color="auto" w:fill="auto"/>
            <w:noWrap/>
            <w:vAlign w:val="center"/>
            <w:hideMark/>
          </w:tcPr>
          <w:p w14:paraId="0C39930B" w14:textId="77777777" w:rsidR="00520707" w:rsidRPr="00520707" w:rsidRDefault="00520707" w:rsidP="00520707">
            <w:pPr>
              <w:spacing w:after="0"/>
              <w:jc w:val="center"/>
              <w:rPr>
                <w:color w:val="000000"/>
                <w:sz w:val="24"/>
                <w:szCs w:val="24"/>
              </w:rPr>
            </w:pPr>
            <w:r w:rsidRPr="00520707">
              <w:rPr>
                <w:color w:val="000000"/>
                <w:sz w:val="24"/>
                <w:szCs w:val="24"/>
              </w:rPr>
              <w:t>CV[C]</w:t>
            </w:r>
          </w:p>
        </w:tc>
        <w:tc>
          <w:tcPr>
            <w:tcW w:w="866" w:type="dxa"/>
            <w:tcBorders>
              <w:top w:val="nil"/>
              <w:left w:val="nil"/>
              <w:bottom w:val="single" w:sz="4" w:space="0" w:color="auto"/>
              <w:right w:val="nil"/>
            </w:tcBorders>
            <w:shd w:val="clear" w:color="auto" w:fill="auto"/>
            <w:noWrap/>
            <w:vAlign w:val="center"/>
            <w:hideMark/>
          </w:tcPr>
          <w:p w14:paraId="17CAC1AC" w14:textId="77777777" w:rsidR="00520707" w:rsidRPr="00520707" w:rsidRDefault="00520707" w:rsidP="00520707">
            <w:pPr>
              <w:spacing w:after="0"/>
              <w:jc w:val="center"/>
              <w:rPr>
                <w:color w:val="000000"/>
                <w:sz w:val="24"/>
                <w:szCs w:val="24"/>
              </w:rPr>
            </w:pPr>
            <w:r w:rsidRPr="00520707">
              <w:rPr>
                <w:color w:val="000000"/>
                <w:sz w:val="24"/>
                <w:szCs w:val="24"/>
              </w:rPr>
              <w:t>Eastern</w:t>
            </w:r>
          </w:p>
        </w:tc>
        <w:tc>
          <w:tcPr>
            <w:tcW w:w="866" w:type="dxa"/>
            <w:tcBorders>
              <w:top w:val="nil"/>
              <w:left w:val="nil"/>
              <w:bottom w:val="single" w:sz="4" w:space="0" w:color="auto"/>
              <w:right w:val="nil"/>
            </w:tcBorders>
            <w:shd w:val="clear" w:color="auto" w:fill="auto"/>
            <w:noWrap/>
            <w:vAlign w:val="center"/>
            <w:hideMark/>
          </w:tcPr>
          <w:p w14:paraId="5874B18F" w14:textId="77777777" w:rsidR="00520707" w:rsidRPr="00520707" w:rsidRDefault="00520707" w:rsidP="00520707">
            <w:pPr>
              <w:spacing w:after="0"/>
              <w:jc w:val="center"/>
              <w:rPr>
                <w:color w:val="000000"/>
                <w:sz w:val="24"/>
                <w:szCs w:val="24"/>
              </w:rPr>
            </w:pPr>
            <w:r w:rsidRPr="00520707">
              <w:rPr>
                <w:color w:val="000000"/>
                <w:sz w:val="24"/>
                <w:szCs w:val="24"/>
              </w:rPr>
              <w:t>CV[E]</w:t>
            </w:r>
          </w:p>
        </w:tc>
      </w:tr>
      <w:tr w:rsidR="00520707" w:rsidRPr="00520707" w14:paraId="4D8CA790" w14:textId="77777777" w:rsidTr="00520707">
        <w:trPr>
          <w:trHeight w:val="258"/>
        </w:trPr>
        <w:tc>
          <w:tcPr>
            <w:tcW w:w="3664" w:type="dxa"/>
            <w:tcBorders>
              <w:top w:val="single" w:sz="4" w:space="0" w:color="auto"/>
              <w:left w:val="nil"/>
              <w:bottom w:val="nil"/>
              <w:right w:val="nil"/>
            </w:tcBorders>
            <w:shd w:val="clear" w:color="auto" w:fill="auto"/>
            <w:noWrap/>
            <w:vAlign w:val="bottom"/>
            <w:hideMark/>
          </w:tcPr>
          <w:p w14:paraId="38018935"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trawl survey</w:t>
            </w:r>
          </w:p>
        </w:tc>
        <w:tc>
          <w:tcPr>
            <w:tcW w:w="917" w:type="dxa"/>
            <w:tcBorders>
              <w:top w:val="single" w:sz="4" w:space="0" w:color="auto"/>
              <w:left w:val="nil"/>
              <w:bottom w:val="nil"/>
              <w:right w:val="nil"/>
            </w:tcBorders>
            <w:shd w:val="clear" w:color="auto" w:fill="auto"/>
            <w:noWrap/>
            <w:vAlign w:val="center"/>
            <w:hideMark/>
          </w:tcPr>
          <w:p w14:paraId="2DF99663" w14:textId="77777777" w:rsidR="00520707" w:rsidRPr="00520707" w:rsidRDefault="00520707" w:rsidP="00520707">
            <w:pPr>
              <w:spacing w:after="0"/>
              <w:jc w:val="center"/>
              <w:rPr>
                <w:color w:val="000000"/>
                <w:sz w:val="24"/>
                <w:szCs w:val="24"/>
              </w:rPr>
            </w:pPr>
            <w:r w:rsidRPr="00520707">
              <w:rPr>
                <w:color w:val="000000"/>
                <w:sz w:val="24"/>
                <w:szCs w:val="24"/>
              </w:rPr>
              <w:t>27.1%</w:t>
            </w:r>
          </w:p>
        </w:tc>
        <w:tc>
          <w:tcPr>
            <w:tcW w:w="866" w:type="dxa"/>
            <w:tcBorders>
              <w:top w:val="single" w:sz="4" w:space="0" w:color="auto"/>
              <w:left w:val="nil"/>
              <w:bottom w:val="nil"/>
              <w:right w:val="nil"/>
            </w:tcBorders>
            <w:shd w:val="clear" w:color="auto" w:fill="auto"/>
            <w:noWrap/>
            <w:vAlign w:val="center"/>
            <w:hideMark/>
          </w:tcPr>
          <w:p w14:paraId="5B0B2F87" w14:textId="77777777" w:rsidR="00520707" w:rsidRPr="00520707" w:rsidRDefault="00520707" w:rsidP="00520707">
            <w:pPr>
              <w:spacing w:after="0"/>
              <w:jc w:val="center"/>
              <w:rPr>
                <w:color w:val="000000"/>
                <w:sz w:val="24"/>
                <w:szCs w:val="24"/>
              </w:rPr>
            </w:pPr>
            <w:r w:rsidRPr="00520707">
              <w:rPr>
                <w:color w:val="000000"/>
                <w:sz w:val="24"/>
                <w:szCs w:val="24"/>
              </w:rPr>
              <w:t>8.9%</w:t>
            </w:r>
          </w:p>
        </w:tc>
        <w:tc>
          <w:tcPr>
            <w:tcW w:w="866" w:type="dxa"/>
            <w:tcBorders>
              <w:top w:val="single" w:sz="4" w:space="0" w:color="auto"/>
              <w:left w:val="nil"/>
              <w:bottom w:val="nil"/>
              <w:right w:val="nil"/>
            </w:tcBorders>
            <w:shd w:val="clear" w:color="auto" w:fill="auto"/>
            <w:noWrap/>
            <w:vAlign w:val="center"/>
            <w:hideMark/>
          </w:tcPr>
          <w:p w14:paraId="572B2688" w14:textId="77777777" w:rsidR="00520707" w:rsidRPr="00520707" w:rsidRDefault="00520707" w:rsidP="00520707">
            <w:pPr>
              <w:spacing w:after="0"/>
              <w:jc w:val="center"/>
              <w:rPr>
                <w:color w:val="000000"/>
                <w:sz w:val="24"/>
                <w:szCs w:val="24"/>
              </w:rPr>
            </w:pPr>
            <w:r w:rsidRPr="00520707">
              <w:rPr>
                <w:color w:val="000000"/>
                <w:sz w:val="24"/>
                <w:szCs w:val="24"/>
              </w:rPr>
              <w:t>63.8%</w:t>
            </w:r>
          </w:p>
        </w:tc>
        <w:tc>
          <w:tcPr>
            <w:tcW w:w="866" w:type="dxa"/>
            <w:tcBorders>
              <w:top w:val="single" w:sz="4" w:space="0" w:color="auto"/>
              <w:left w:val="nil"/>
              <w:bottom w:val="nil"/>
              <w:right w:val="nil"/>
            </w:tcBorders>
            <w:shd w:val="clear" w:color="auto" w:fill="auto"/>
            <w:noWrap/>
            <w:vAlign w:val="center"/>
            <w:hideMark/>
          </w:tcPr>
          <w:p w14:paraId="2D721D1A" w14:textId="77777777" w:rsidR="00520707" w:rsidRPr="00520707" w:rsidRDefault="00520707" w:rsidP="00520707">
            <w:pPr>
              <w:spacing w:after="0"/>
              <w:jc w:val="center"/>
              <w:rPr>
                <w:color w:val="000000"/>
                <w:sz w:val="24"/>
                <w:szCs w:val="24"/>
              </w:rPr>
            </w:pPr>
            <w:r w:rsidRPr="00520707">
              <w:rPr>
                <w:color w:val="000000"/>
                <w:sz w:val="24"/>
                <w:szCs w:val="24"/>
              </w:rPr>
              <w:t>5.4%</w:t>
            </w:r>
          </w:p>
        </w:tc>
        <w:tc>
          <w:tcPr>
            <w:tcW w:w="866" w:type="dxa"/>
            <w:tcBorders>
              <w:top w:val="single" w:sz="4" w:space="0" w:color="auto"/>
              <w:left w:val="nil"/>
              <w:bottom w:val="nil"/>
              <w:right w:val="nil"/>
            </w:tcBorders>
            <w:shd w:val="clear" w:color="auto" w:fill="auto"/>
            <w:noWrap/>
            <w:vAlign w:val="center"/>
            <w:hideMark/>
          </w:tcPr>
          <w:p w14:paraId="0DD3454A" w14:textId="77777777" w:rsidR="00520707" w:rsidRPr="00520707" w:rsidRDefault="00520707" w:rsidP="00520707">
            <w:pPr>
              <w:spacing w:after="0"/>
              <w:jc w:val="center"/>
              <w:rPr>
                <w:color w:val="000000"/>
                <w:sz w:val="24"/>
                <w:szCs w:val="24"/>
              </w:rPr>
            </w:pPr>
            <w:r w:rsidRPr="00520707">
              <w:rPr>
                <w:color w:val="000000"/>
                <w:sz w:val="24"/>
                <w:szCs w:val="24"/>
              </w:rPr>
              <w:t>9.1%</w:t>
            </w:r>
          </w:p>
        </w:tc>
        <w:tc>
          <w:tcPr>
            <w:tcW w:w="866" w:type="dxa"/>
            <w:tcBorders>
              <w:top w:val="single" w:sz="4" w:space="0" w:color="auto"/>
              <w:left w:val="nil"/>
              <w:bottom w:val="nil"/>
              <w:right w:val="nil"/>
            </w:tcBorders>
            <w:shd w:val="clear" w:color="auto" w:fill="auto"/>
            <w:noWrap/>
            <w:vAlign w:val="center"/>
            <w:hideMark/>
          </w:tcPr>
          <w:p w14:paraId="7D15EF5C" w14:textId="77777777" w:rsidR="00520707" w:rsidRPr="00520707" w:rsidRDefault="00520707" w:rsidP="00520707">
            <w:pPr>
              <w:spacing w:after="0"/>
              <w:jc w:val="center"/>
              <w:rPr>
                <w:color w:val="000000"/>
                <w:sz w:val="24"/>
                <w:szCs w:val="24"/>
              </w:rPr>
            </w:pPr>
            <w:r w:rsidRPr="00520707">
              <w:rPr>
                <w:color w:val="000000"/>
                <w:sz w:val="24"/>
                <w:szCs w:val="24"/>
              </w:rPr>
              <w:t>11.3%</w:t>
            </w:r>
          </w:p>
        </w:tc>
      </w:tr>
      <w:tr w:rsidR="00520707" w:rsidRPr="00520707" w14:paraId="5B4B0074" w14:textId="77777777" w:rsidTr="00520707">
        <w:trPr>
          <w:trHeight w:val="258"/>
        </w:trPr>
        <w:tc>
          <w:tcPr>
            <w:tcW w:w="3664" w:type="dxa"/>
            <w:tcBorders>
              <w:top w:val="nil"/>
              <w:left w:val="nil"/>
              <w:bottom w:val="nil"/>
              <w:right w:val="nil"/>
            </w:tcBorders>
            <w:shd w:val="clear" w:color="auto" w:fill="auto"/>
            <w:noWrap/>
            <w:vAlign w:val="bottom"/>
            <w:hideMark/>
          </w:tcPr>
          <w:p w14:paraId="280524FE"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ll</w:t>
            </w:r>
            <w:proofErr w:type="spellEnd"/>
            <w:r w:rsidRPr="00520707">
              <w:rPr>
                <w:color w:val="000000"/>
                <w:sz w:val="24"/>
                <w:szCs w:val="24"/>
              </w:rPr>
              <w:t xml:space="preserve"> cv; pe1q3</w:t>
            </w:r>
          </w:p>
        </w:tc>
        <w:tc>
          <w:tcPr>
            <w:tcW w:w="917" w:type="dxa"/>
            <w:tcBorders>
              <w:top w:val="nil"/>
              <w:left w:val="nil"/>
              <w:bottom w:val="nil"/>
              <w:right w:val="nil"/>
            </w:tcBorders>
            <w:shd w:val="clear" w:color="auto" w:fill="auto"/>
            <w:noWrap/>
            <w:vAlign w:val="center"/>
            <w:hideMark/>
          </w:tcPr>
          <w:p w14:paraId="6868EA67" w14:textId="77777777" w:rsidR="00520707" w:rsidRPr="00520707" w:rsidRDefault="00520707" w:rsidP="00520707">
            <w:pPr>
              <w:spacing w:after="0"/>
              <w:jc w:val="center"/>
              <w:rPr>
                <w:color w:val="000000"/>
                <w:sz w:val="24"/>
                <w:szCs w:val="24"/>
              </w:rPr>
            </w:pPr>
            <w:r w:rsidRPr="00520707">
              <w:rPr>
                <w:color w:val="000000"/>
                <w:sz w:val="24"/>
                <w:szCs w:val="24"/>
              </w:rPr>
              <w:t>27.6%</w:t>
            </w:r>
          </w:p>
        </w:tc>
        <w:tc>
          <w:tcPr>
            <w:tcW w:w="866" w:type="dxa"/>
            <w:tcBorders>
              <w:top w:val="nil"/>
              <w:left w:val="nil"/>
              <w:bottom w:val="nil"/>
              <w:right w:val="nil"/>
            </w:tcBorders>
            <w:shd w:val="clear" w:color="auto" w:fill="auto"/>
            <w:noWrap/>
            <w:vAlign w:val="center"/>
            <w:hideMark/>
          </w:tcPr>
          <w:p w14:paraId="1BF57239" w14:textId="77777777" w:rsidR="00520707" w:rsidRPr="00520707" w:rsidRDefault="00520707" w:rsidP="00520707">
            <w:pPr>
              <w:spacing w:after="0"/>
              <w:jc w:val="center"/>
              <w:rPr>
                <w:color w:val="000000"/>
                <w:sz w:val="24"/>
                <w:szCs w:val="24"/>
              </w:rPr>
            </w:pPr>
            <w:r w:rsidRPr="00520707">
              <w:rPr>
                <w:color w:val="000000"/>
                <w:sz w:val="24"/>
                <w:szCs w:val="24"/>
              </w:rPr>
              <w:t>11.3%</w:t>
            </w:r>
          </w:p>
        </w:tc>
        <w:tc>
          <w:tcPr>
            <w:tcW w:w="866" w:type="dxa"/>
            <w:tcBorders>
              <w:top w:val="nil"/>
              <w:left w:val="nil"/>
              <w:bottom w:val="nil"/>
              <w:right w:val="nil"/>
            </w:tcBorders>
            <w:shd w:val="clear" w:color="auto" w:fill="auto"/>
            <w:noWrap/>
            <w:vAlign w:val="center"/>
            <w:hideMark/>
          </w:tcPr>
          <w:p w14:paraId="322BB166" w14:textId="77777777" w:rsidR="00520707" w:rsidRPr="00520707" w:rsidRDefault="00520707" w:rsidP="00520707">
            <w:pPr>
              <w:spacing w:after="0"/>
              <w:jc w:val="center"/>
              <w:rPr>
                <w:color w:val="000000"/>
                <w:sz w:val="24"/>
                <w:szCs w:val="24"/>
              </w:rPr>
            </w:pPr>
            <w:r w:rsidRPr="00520707">
              <w:rPr>
                <w:color w:val="000000"/>
                <w:sz w:val="24"/>
                <w:szCs w:val="24"/>
              </w:rPr>
              <w:t>62.8%</w:t>
            </w:r>
          </w:p>
        </w:tc>
        <w:tc>
          <w:tcPr>
            <w:tcW w:w="866" w:type="dxa"/>
            <w:tcBorders>
              <w:top w:val="nil"/>
              <w:left w:val="nil"/>
              <w:bottom w:val="nil"/>
              <w:right w:val="nil"/>
            </w:tcBorders>
            <w:shd w:val="clear" w:color="auto" w:fill="auto"/>
            <w:noWrap/>
            <w:vAlign w:val="center"/>
            <w:hideMark/>
          </w:tcPr>
          <w:p w14:paraId="514174D7"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nil"/>
              <w:right w:val="nil"/>
            </w:tcBorders>
            <w:shd w:val="clear" w:color="auto" w:fill="auto"/>
            <w:noWrap/>
            <w:vAlign w:val="center"/>
            <w:hideMark/>
          </w:tcPr>
          <w:p w14:paraId="572C2D54" w14:textId="77777777" w:rsidR="00520707" w:rsidRPr="00520707" w:rsidRDefault="00520707" w:rsidP="00520707">
            <w:pPr>
              <w:spacing w:after="0"/>
              <w:jc w:val="center"/>
              <w:rPr>
                <w:color w:val="000000"/>
                <w:sz w:val="24"/>
                <w:szCs w:val="24"/>
              </w:rPr>
            </w:pPr>
            <w:r w:rsidRPr="00520707">
              <w:rPr>
                <w:color w:val="000000"/>
                <w:sz w:val="24"/>
                <w:szCs w:val="24"/>
              </w:rPr>
              <w:t>9.5%</w:t>
            </w:r>
          </w:p>
        </w:tc>
        <w:tc>
          <w:tcPr>
            <w:tcW w:w="866" w:type="dxa"/>
            <w:tcBorders>
              <w:top w:val="nil"/>
              <w:left w:val="nil"/>
              <w:bottom w:val="nil"/>
              <w:right w:val="nil"/>
            </w:tcBorders>
            <w:shd w:val="clear" w:color="auto" w:fill="auto"/>
            <w:noWrap/>
            <w:vAlign w:val="center"/>
            <w:hideMark/>
          </w:tcPr>
          <w:p w14:paraId="54D3C575" w14:textId="77777777" w:rsidR="00520707" w:rsidRPr="00520707" w:rsidRDefault="00520707" w:rsidP="00520707">
            <w:pPr>
              <w:spacing w:after="0"/>
              <w:jc w:val="center"/>
              <w:rPr>
                <w:color w:val="000000"/>
                <w:sz w:val="24"/>
                <w:szCs w:val="24"/>
              </w:rPr>
            </w:pPr>
            <w:r w:rsidRPr="00520707">
              <w:rPr>
                <w:color w:val="000000"/>
                <w:sz w:val="24"/>
                <w:szCs w:val="24"/>
              </w:rPr>
              <w:t>16.9%</w:t>
            </w:r>
          </w:p>
        </w:tc>
      </w:tr>
      <w:tr w:rsidR="00520707" w:rsidRPr="00520707" w14:paraId="731D53A2" w14:textId="77777777" w:rsidTr="00520707">
        <w:trPr>
          <w:trHeight w:val="258"/>
        </w:trPr>
        <w:tc>
          <w:tcPr>
            <w:tcW w:w="3664" w:type="dxa"/>
            <w:tcBorders>
              <w:top w:val="nil"/>
              <w:left w:val="nil"/>
              <w:bottom w:val="nil"/>
              <w:right w:val="nil"/>
            </w:tcBorders>
            <w:shd w:val="clear" w:color="auto" w:fill="auto"/>
            <w:noWrap/>
            <w:vAlign w:val="bottom"/>
            <w:hideMark/>
          </w:tcPr>
          <w:p w14:paraId="675D5202"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twl</w:t>
            </w:r>
            <w:proofErr w:type="spellEnd"/>
            <w:r w:rsidRPr="00520707">
              <w:rPr>
                <w:color w:val="000000"/>
                <w:sz w:val="24"/>
                <w:szCs w:val="24"/>
              </w:rPr>
              <w:t xml:space="preserve"> cv; pe1q3</w:t>
            </w:r>
          </w:p>
        </w:tc>
        <w:tc>
          <w:tcPr>
            <w:tcW w:w="917" w:type="dxa"/>
            <w:tcBorders>
              <w:top w:val="nil"/>
              <w:left w:val="nil"/>
              <w:bottom w:val="nil"/>
              <w:right w:val="nil"/>
            </w:tcBorders>
            <w:shd w:val="clear" w:color="auto" w:fill="auto"/>
            <w:noWrap/>
            <w:vAlign w:val="center"/>
            <w:hideMark/>
          </w:tcPr>
          <w:p w14:paraId="021FF7D6" w14:textId="77777777" w:rsidR="00520707" w:rsidRPr="00520707" w:rsidRDefault="00520707" w:rsidP="00520707">
            <w:pPr>
              <w:spacing w:after="0"/>
              <w:jc w:val="center"/>
              <w:rPr>
                <w:color w:val="000000"/>
                <w:sz w:val="24"/>
                <w:szCs w:val="24"/>
              </w:rPr>
            </w:pPr>
            <w:r w:rsidRPr="00520707">
              <w:rPr>
                <w:color w:val="000000"/>
                <w:sz w:val="24"/>
                <w:szCs w:val="24"/>
              </w:rPr>
              <w:t>28.9%</w:t>
            </w:r>
          </w:p>
        </w:tc>
        <w:tc>
          <w:tcPr>
            <w:tcW w:w="866" w:type="dxa"/>
            <w:tcBorders>
              <w:top w:val="nil"/>
              <w:left w:val="nil"/>
              <w:bottom w:val="nil"/>
              <w:right w:val="nil"/>
            </w:tcBorders>
            <w:shd w:val="clear" w:color="auto" w:fill="auto"/>
            <w:noWrap/>
            <w:vAlign w:val="center"/>
            <w:hideMark/>
          </w:tcPr>
          <w:p w14:paraId="1F738FCE" w14:textId="77777777" w:rsidR="00520707" w:rsidRPr="00520707" w:rsidRDefault="00520707" w:rsidP="00520707">
            <w:pPr>
              <w:spacing w:after="0"/>
              <w:jc w:val="center"/>
              <w:rPr>
                <w:color w:val="000000"/>
                <w:sz w:val="24"/>
                <w:szCs w:val="24"/>
              </w:rPr>
            </w:pPr>
            <w:r w:rsidRPr="00520707">
              <w:rPr>
                <w:color w:val="000000"/>
                <w:sz w:val="24"/>
                <w:szCs w:val="24"/>
              </w:rPr>
              <w:t>20.7%</w:t>
            </w:r>
          </w:p>
        </w:tc>
        <w:tc>
          <w:tcPr>
            <w:tcW w:w="866" w:type="dxa"/>
            <w:tcBorders>
              <w:top w:val="nil"/>
              <w:left w:val="nil"/>
              <w:bottom w:val="nil"/>
              <w:right w:val="nil"/>
            </w:tcBorders>
            <w:shd w:val="clear" w:color="auto" w:fill="auto"/>
            <w:noWrap/>
            <w:vAlign w:val="center"/>
            <w:hideMark/>
          </w:tcPr>
          <w:p w14:paraId="2F609B1F" w14:textId="77777777" w:rsidR="00520707" w:rsidRPr="00520707" w:rsidRDefault="00520707" w:rsidP="00520707">
            <w:pPr>
              <w:spacing w:after="0"/>
              <w:jc w:val="center"/>
              <w:rPr>
                <w:color w:val="000000"/>
                <w:sz w:val="24"/>
                <w:szCs w:val="24"/>
              </w:rPr>
            </w:pPr>
            <w:r w:rsidRPr="00520707">
              <w:rPr>
                <w:color w:val="000000"/>
                <w:sz w:val="24"/>
                <w:szCs w:val="24"/>
              </w:rPr>
              <w:t>59.7%</w:t>
            </w:r>
          </w:p>
        </w:tc>
        <w:tc>
          <w:tcPr>
            <w:tcW w:w="866" w:type="dxa"/>
            <w:tcBorders>
              <w:top w:val="nil"/>
              <w:left w:val="nil"/>
              <w:bottom w:val="nil"/>
              <w:right w:val="nil"/>
            </w:tcBorders>
            <w:shd w:val="clear" w:color="auto" w:fill="auto"/>
            <w:noWrap/>
            <w:vAlign w:val="center"/>
            <w:hideMark/>
          </w:tcPr>
          <w:p w14:paraId="282BB11B" w14:textId="77777777" w:rsidR="00520707" w:rsidRPr="00520707" w:rsidRDefault="00520707" w:rsidP="00520707">
            <w:pPr>
              <w:spacing w:after="0"/>
              <w:jc w:val="center"/>
              <w:rPr>
                <w:color w:val="000000"/>
                <w:sz w:val="24"/>
                <w:szCs w:val="24"/>
              </w:rPr>
            </w:pPr>
            <w:r w:rsidRPr="00520707">
              <w:rPr>
                <w:color w:val="000000"/>
                <w:sz w:val="24"/>
                <w:szCs w:val="24"/>
              </w:rPr>
              <w:t>14.8%</w:t>
            </w:r>
          </w:p>
        </w:tc>
        <w:tc>
          <w:tcPr>
            <w:tcW w:w="866" w:type="dxa"/>
            <w:tcBorders>
              <w:top w:val="nil"/>
              <w:left w:val="nil"/>
              <w:bottom w:val="nil"/>
              <w:right w:val="nil"/>
            </w:tcBorders>
            <w:shd w:val="clear" w:color="auto" w:fill="auto"/>
            <w:noWrap/>
            <w:vAlign w:val="center"/>
            <w:hideMark/>
          </w:tcPr>
          <w:p w14:paraId="2F361F2B" w14:textId="77777777" w:rsidR="00520707" w:rsidRPr="00520707" w:rsidRDefault="00520707" w:rsidP="00520707">
            <w:pPr>
              <w:spacing w:after="0"/>
              <w:jc w:val="center"/>
              <w:rPr>
                <w:color w:val="000000"/>
                <w:sz w:val="24"/>
                <w:szCs w:val="24"/>
              </w:rPr>
            </w:pPr>
            <w:r w:rsidRPr="00520707">
              <w:rPr>
                <w:color w:val="000000"/>
                <w:sz w:val="24"/>
                <w:szCs w:val="24"/>
              </w:rPr>
              <w:t>11.4%</w:t>
            </w:r>
          </w:p>
        </w:tc>
        <w:tc>
          <w:tcPr>
            <w:tcW w:w="866" w:type="dxa"/>
            <w:tcBorders>
              <w:top w:val="nil"/>
              <w:left w:val="nil"/>
              <w:bottom w:val="nil"/>
              <w:right w:val="nil"/>
            </w:tcBorders>
            <w:shd w:val="clear" w:color="auto" w:fill="auto"/>
            <w:noWrap/>
            <w:vAlign w:val="center"/>
            <w:hideMark/>
          </w:tcPr>
          <w:p w14:paraId="4A567D9A" w14:textId="77777777" w:rsidR="00520707" w:rsidRPr="00520707" w:rsidRDefault="00520707" w:rsidP="00520707">
            <w:pPr>
              <w:spacing w:after="0"/>
              <w:jc w:val="center"/>
              <w:rPr>
                <w:color w:val="000000"/>
                <w:sz w:val="24"/>
                <w:szCs w:val="24"/>
              </w:rPr>
            </w:pPr>
            <w:r w:rsidRPr="00520707">
              <w:rPr>
                <w:color w:val="000000"/>
                <w:sz w:val="24"/>
                <w:szCs w:val="24"/>
              </w:rPr>
              <w:t>25.8%</w:t>
            </w:r>
          </w:p>
        </w:tc>
      </w:tr>
      <w:tr w:rsidR="00520707" w:rsidRPr="00520707" w14:paraId="259CEC11" w14:textId="77777777" w:rsidTr="00520707">
        <w:trPr>
          <w:trHeight w:val="258"/>
        </w:trPr>
        <w:tc>
          <w:tcPr>
            <w:tcW w:w="3664" w:type="dxa"/>
            <w:tcBorders>
              <w:top w:val="nil"/>
              <w:left w:val="nil"/>
              <w:right w:val="nil"/>
            </w:tcBorders>
            <w:shd w:val="clear" w:color="auto" w:fill="auto"/>
            <w:noWrap/>
            <w:vAlign w:val="bottom"/>
            <w:hideMark/>
          </w:tcPr>
          <w:p w14:paraId="471E741F"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twl</w:t>
            </w:r>
            <w:proofErr w:type="spellEnd"/>
            <w:r w:rsidRPr="00520707">
              <w:rPr>
                <w:color w:val="000000"/>
                <w:sz w:val="24"/>
                <w:szCs w:val="24"/>
              </w:rPr>
              <w:t xml:space="preserve"> &amp; </w:t>
            </w:r>
            <w:proofErr w:type="spellStart"/>
            <w:r w:rsidRPr="00520707">
              <w:rPr>
                <w:color w:val="000000"/>
                <w:sz w:val="24"/>
                <w:szCs w:val="24"/>
              </w:rPr>
              <w:t>ll</w:t>
            </w:r>
            <w:proofErr w:type="spellEnd"/>
            <w:r w:rsidRPr="00520707">
              <w:rPr>
                <w:color w:val="000000"/>
                <w:sz w:val="24"/>
                <w:szCs w:val="24"/>
              </w:rPr>
              <w:t xml:space="preserve"> cv; pe1q3</w:t>
            </w:r>
          </w:p>
        </w:tc>
        <w:tc>
          <w:tcPr>
            <w:tcW w:w="917" w:type="dxa"/>
            <w:tcBorders>
              <w:top w:val="nil"/>
              <w:left w:val="nil"/>
              <w:right w:val="nil"/>
            </w:tcBorders>
            <w:shd w:val="clear" w:color="auto" w:fill="auto"/>
            <w:noWrap/>
            <w:vAlign w:val="center"/>
            <w:hideMark/>
          </w:tcPr>
          <w:p w14:paraId="7659B648" w14:textId="77777777" w:rsidR="00520707" w:rsidRPr="00520707" w:rsidRDefault="00520707" w:rsidP="00520707">
            <w:pPr>
              <w:spacing w:after="0"/>
              <w:jc w:val="center"/>
              <w:rPr>
                <w:color w:val="000000"/>
                <w:sz w:val="24"/>
                <w:szCs w:val="24"/>
              </w:rPr>
            </w:pPr>
            <w:r w:rsidRPr="00520707">
              <w:rPr>
                <w:color w:val="000000"/>
                <w:sz w:val="24"/>
                <w:szCs w:val="24"/>
              </w:rPr>
              <w:t>29.1%</w:t>
            </w:r>
          </w:p>
        </w:tc>
        <w:tc>
          <w:tcPr>
            <w:tcW w:w="866" w:type="dxa"/>
            <w:tcBorders>
              <w:top w:val="nil"/>
              <w:left w:val="nil"/>
              <w:right w:val="nil"/>
            </w:tcBorders>
            <w:shd w:val="clear" w:color="auto" w:fill="auto"/>
            <w:noWrap/>
            <w:vAlign w:val="center"/>
            <w:hideMark/>
          </w:tcPr>
          <w:p w14:paraId="6AB2CD02" w14:textId="77777777" w:rsidR="00520707" w:rsidRPr="00520707" w:rsidRDefault="00520707" w:rsidP="00520707">
            <w:pPr>
              <w:spacing w:after="0"/>
              <w:jc w:val="center"/>
              <w:rPr>
                <w:color w:val="000000"/>
                <w:sz w:val="24"/>
                <w:szCs w:val="24"/>
              </w:rPr>
            </w:pPr>
            <w:r w:rsidRPr="00520707">
              <w:rPr>
                <w:color w:val="000000"/>
                <w:sz w:val="24"/>
                <w:szCs w:val="24"/>
              </w:rPr>
              <w:t>15.1%</w:t>
            </w:r>
          </w:p>
        </w:tc>
        <w:tc>
          <w:tcPr>
            <w:tcW w:w="866" w:type="dxa"/>
            <w:tcBorders>
              <w:top w:val="nil"/>
              <w:left w:val="nil"/>
              <w:right w:val="nil"/>
            </w:tcBorders>
            <w:shd w:val="clear" w:color="auto" w:fill="auto"/>
            <w:noWrap/>
            <w:vAlign w:val="center"/>
            <w:hideMark/>
          </w:tcPr>
          <w:p w14:paraId="686FB272" w14:textId="77777777" w:rsidR="00520707" w:rsidRPr="00520707" w:rsidRDefault="00520707" w:rsidP="00520707">
            <w:pPr>
              <w:spacing w:after="0"/>
              <w:jc w:val="center"/>
              <w:rPr>
                <w:color w:val="000000"/>
                <w:sz w:val="24"/>
                <w:szCs w:val="24"/>
              </w:rPr>
            </w:pPr>
            <w:r w:rsidRPr="00520707">
              <w:rPr>
                <w:color w:val="000000"/>
                <w:sz w:val="24"/>
                <w:szCs w:val="24"/>
              </w:rPr>
              <w:t>60.0%</w:t>
            </w:r>
          </w:p>
        </w:tc>
        <w:tc>
          <w:tcPr>
            <w:tcW w:w="866" w:type="dxa"/>
            <w:tcBorders>
              <w:top w:val="nil"/>
              <w:left w:val="nil"/>
              <w:right w:val="nil"/>
            </w:tcBorders>
            <w:shd w:val="clear" w:color="auto" w:fill="auto"/>
            <w:noWrap/>
            <w:vAlign w:val="center"/>
            <w:hideMark/>
          </w:tcPr>
          <w:p w14:paraId="201DAEC3"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DC61F2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4A69488" w14:textId="77777777" w:rsidR="00520707" w:rsidRPr="00520707" w:rsidRDefault="00520707" w:rsidP="00520707">
            <w:pPr>
              <w:spacing w:after="0"/>
              <w:jc w:val="center"/>
              <w:rPr>
                <w:color w:val="000000"/>
                <w:sz w:val="24"/>
                <w:szCs w:val="24"/>
              </w:rPr>
            </w:pPr>
            <w:r w:rsidRPr="00520707">
              <w:rPr>
                <w:color w:val="000000"/>
                <w:sz w:val="24"/>
                <w:szCs w:val="24"/>
              </w:rPr>
              <w:t>23.3%</w:t>
            </w:r>
          </w:p>
        </w:tc>
      </w:tr>
      <w:tr w:rsidR="00520707" w:rsidRPr="00520707" w14:paraId="0E25A6CE"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101906AB"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ll</w:t>
            </w:r>
            <w:proofErr w:type="spellEnd"/>
            <w:r w:rsidRPr="00520707">
              <w:rPr>
                <w:color w:val="000000"/>
                <w:sz w:val="24"/>
                <w:szCs w:val="24"/>
              </w:rPr>
              <w:t xml:space="preserve"> cv; pe3q3</w:t>
            </w:r>
          </w:p>
        </w:tc>
        <w:tc>
          <w:tcPr>
            <w:tcW w:w="917" w:type="dxa"/>
            <w:tcBorders>
              <w:top w:val="nil"/>
              <w:left w:val="nil"/>
              <w:bottom w:val="single" w:sz="4" w:space="0" w:color="auto"/>
              <w:right w:val="nil"/>
            </w:tcBorders>
            <w:shd w:val="clear" w:color="auto" w:fill="auto"/>
            <w:noWrap/>
            <w:vAlign w:val="center"/>
            <w:hideMark/>
          </w:tcPr>
          <w:p w14:paraId="2B219455" w14:textId="77777777" w:rsidR="00520707" w:rsidRPr="00520707" w:rsidRDefault="00520707" w:rsidP="00520707">
            <w:pPr>
              <w:spacing w:after="0"/>
              <w:jc w:val="center"/>
              <w:rPr>
                <w:color w:val="000000"/>
                <w:sz w:val="24"/>
                <w:szCs w:val="24"/>
              </w:rPr>
            </w:pPr>
            <w:r w:rsidRPr="00520707">
              <w:rPr>
                <w:color w:val="000000"/>
                <w:sz w:val="24"/>
                <w:szCs w:val="24"/>
              </w:rPr>
              <w:t>27.5%</w:t>
            </w:r>
          </w:p>
        </w:tc>
        <w:tc>
          <w:tcPr>
            <w:tcW w:w="866" w:type="dxa"/>
            <w:tcBorders>
              <w:top w:val="nil"/>
              <w:left w:val="nil"/>
              <w:bottom w:val="single" w:sz="4" w:space="0" w:color="auto"/>
              <w:right w:val="nil"/>
            </w:tcBorders>
            <w:shd w:val="clear" w:color="auto" w:fill="auto"/>
            <w:noWrap/>
            <w:vAlign w:val="center"/>
            <w:hideMark/>
          </w:tcPr>
          <w:p w14:paraId="42443BE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bottom w:val="single" w:sz="4" w:space="0" w:color="auto"/>
              <w:right w:val="nil"/>
            </w:tcBorders>
            <w:shd w:val="clear" w:color="auto" w:fill="auto"/>
            <w:noWrap/>
            <w:vAlign w:val="center"/>
            <w:hideMark/>
          </w:tcPr>
          <w:p w14:paraId="4EBBABAB" w14:textId="77777777" w:rsidR="00520707" w:rsidRPr="00520707" w:rsidRDefault="00520707" w:rsidP="00520707">
            <w:pPr>
              <w:spacing w:after="0"/>
              <w:jc w:val="center"/>
              <w:rPr>
                <w:color w:val="000000"/>
                <w:sz w:val="24"/>
                <w:szCs w:val="24"/>
              </w:rPr>
            </w:pPr>
            <w:r w:rsidRPr="00520707">
              <w:rPr>
                <w:color w:val="000000"/>
                <w:sz w:val="24"/>
                <w:szCs w:val="24"/>
              </w:rPr>
              <w:t>62.7%</w:t>
            </w:r>
          </w:p>
        </w:tc>
        <w:tc>
          <w:tcPr>
            <w:tcW w:w="866" w:type="dxa"/>
            <w:tcBorders>
              <w:top w:val="nil"/>
              <w:left w:val="nil"/>
              <w:bottom w:val="single" w:sz="4" w:space="0" w:color="auto"/>
              <w:right w:val="nil"/>
            </w:tcBorders>
            <w:shd w:val="clear" w:color="auto" w:fill="auto"/>
            <w:noWrap/>
            <w:vAlign w:val="center"/>
            <w:hideMark/>
          </w:tcPr>
          <w:p w14:paraId="10B59E49"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single" w:sz="4" w:space="0" w:color="auto"/>
              <w:right w:val="nil"/>
            </w:tcBorders>
            <w:shd w:val="clear" w:color="auto" w:fill="auto"/>
            <w:noWrap/>
            <w:vAlign w:val="center"/>
            <w:hideMark/>
          </w:tcPr>
          <w:p w14:paraId="2285FDDC" w14:textId="77777777" w:rsidR="00520707" w:rsidRPr="00520707" w:rsidRDefault="00520707" w:rsidP="00520707">
            <w:pPr>
              <w:spacing w:after="0"/>
              <w:jc w:val="center"/>
              <w:rPr>
                <w:color w:val="000000"/>
                <w:sz w:val="24"/>
                <w:szCs w:val="24"/>
              </w:rPr>
            </w:pPr>
            <w:r w:rsidRPr="00520707">
              <w:rPr>
                <w:color w:val="000000"/>
                <w:sz w:val="24"/>
                <w:szCs w:val="24"/>
              </w:rPr>
              <w:t>9.8%</w:t>
            </w:r>
          </w:p>
        </w:tc>
        <w:tc>
          <w:tcPr>
            <w:tcW w:w="866" w:type="dxa"/>
            <w:tcBorders>
              <w:top w:val="nil"/>
              <w:left w:val="nil"/>
              <w:bottom w:val="single" w:sz="4" w:space="0" w:color="auto"/>
              <w:right w:val="nil"/>
            </w:tcBorders>
            <w:shd w:val="clear" w:color="auto" w:fill="auto"/>
            <w:noWrap/>
            <w:vAlign w:val="center"/>
            <w:hideMark/>
          </w:tcPr>
          <w:p w14:paraId="0968A243" w14:textId="77777777" w:rsidR="00520707" w:rsidRPr="00520707" w:rsidRDefault="00520707" w:rsidP="00520707">
            <w:pPr>
              <w:spacing w:after="0"/>
              <w:jc w:val="center"/>
              <w:rPr>
                <w:color w:val="000000"/>
                <w:sz w:val="24"/>
                <w:szCs w:val="24"/>
              </w:rPr>
            </w:pPr>
            <w:r w:rsidRPr="00520707">
              <w:rPr>
                <w:color w:val="000000"/>
                <w:sz w:val="24"/>
                <w:szCs w:val="24"/>
              </w:rPr>
              <w:t>18.8%</w:t>
            </w:r>
          </w:p>
        </w:tc>
      </w:tr>
    </w:tbl>
    <w:p w14:paraId="76F31B0D" w14:textId="77777777" w:rsidR="00520707" w:rsidRPr="00425C84" w:rsidRDefault="00520707"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proofErr w:type="spellStart"/>
      <w:r w:rsidR="00782B27">
        <w:rPr>
          <w:sz w:val="24"/>
          <w:szCs w:val="24"/>
        </w:rPr>
        <w:t>AgeingError</w:t>
      </w:r>
      <w:proofErr w:type="spellEnd"/>
      <w:r w:rsidR="00782B27">
        <w:rPr>
          <w:sz w:val="24"/>
          <w:szCs w:val="24"/>
        </w:rPr>
        <w:t xml:space="preserve">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7557449B" w:rsidR="0067137F" w:rsidRPr="00711F03" w:rsidRDefault="001013F4" w:rsidP="00331328">
      <w:pPr>
        <w:jc w:val="left"/>
        <w:rPr>
          <w:sz w:val="24"/>
          <w:szCs w:val="24"/>
        </w:rPr>
      </w:pPr>
      <w:r w:rsidRPr="001013F4">
        <w:rPr>
          <w:noProof/>
          <w:sz w:val="24"/>
          <w:szCs w:val="24"/>
        </w:rPr>
        <w:lastRenderedPageBreak/>
        <w:drawing>
          <wp:inline distT="0" distB="0" distL="0" distR="0" wp14:anchorId="6E0114F4" wp14:editId="389DE94F">
            <wp:extent cx="5943600" cy="5943600"/>
            <wp:effectExtent l="0" t="0" r="0" b="0"/>
            <wp:docPr id="3" name="Picture 3"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comp_compare_pot_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 xml:space="preserve">after removing the greater than 10 lengths per haul filter and </w:t>
      </w:r>
      <w:r w:rsidR="006C1F7A">
        <w:rPr>
          <w:sz w:val="24"/>
          <w:szCs w:val="24"/>
        </w:rPr>
        <w:t>merging ADF&amp;G length frequency data with federal data (bottom panel).</w:t>
      </w:r>
    </w:p>
    <w:p w14:paraId="0FFBF6BE" w14:textId="08570192" w:rsidR="0067137F" w:rsidRPr="00711F03" w:rsidRDefault="00EC31D7" w:rsidP="00331328">
      <w:pPr>
        <w:jc w:val="left"/>
        <w:rPr>
          <w:sz w:val="24"/>
          <w:szCs w:val="24"/>
        </w:rPr>
      </w:pPr>
      <w:r w:rsidRPr="00EC31D7">
        <w:rPr>
          <w:noProof/>
          <w:sz w:val="24"/>
          <w:szCs w:val="24"/>
        </w:rPr>
        <w:lastRenderedPageBreak/>
        <w:drawing>
          <wp:inline distT="0" distB="0" distL="0" distR="0" wp14:anchorId="6A6E95A4" wp14:editId="14D4C333">
            <wp:extent cx="5943600" cy="3467100"/>
            <wp:effectExtent l="0" t="0" r="0" b="0"/>
            <wp:docPr id="5" name="Picture 5"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Asmnts\goa_pcod\2024\plots\other\lcomp_compare_bin_tsrv.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69903BA" w14:textId="1C65D840"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1cm (</w:t>
      </w:r>
      <w:proofErr w:type="spellStart"/>
      <w:r w:rsidR="00EC31D7">
        <w:rPr>
          <w:sz w:val="24"/>
          <w:szCs w:val="24"/>
        </w:rPr>
        <w:t>lcomp_new</w:t>
      </w:r>
      <w:proofErr w:type="spellEnd"/>
      <w:r w:rsidR="00EC31D7">
        <w:rPr>
          <w:sz w:val="24"/>
          <w:szCs w:val="24"/>
        </w:rPr>
        <w:t xml:space="preserve">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127CB747" w:rsidR="000802F6" w:rsidRDefault="000802F6" w:rsidP="00047D84">
      <w:pPr>
        <w:jc w:val="left"/>
        <w:rPr>
          <w:sz w:val="24"/>
          <w:szCs w:val="24"/>
        </w:rPr>
      </w:pPr>
      <w:r w:rsidRPr="000802F6">
        <w:rPr>
          <w:noProof/>
          <w:sz w:val="24"/>
          <w:szCs w:val="24"/>
        </w:rPr>
        <w:lastRenderedPageBreak/>
        <w:drawing>
          <wp:inline distT="0" distB="0" distL="0" distR="0" wp14:anchorId="5E4D5A40" wp14:editId="2099E81F">
            <wp:extent cx="5943600" cy="4572000"/>
            <wp:effectExtent l="0" t="0" r="0" b="0"/>
            <wp:docPr id="4" name="Picture 4"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rsch\output\compare\data_plots\decompare2_spawnbio_uncertain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2B6F256D" w:rsidR="00425C84" w:rsidRDefault="00425C84" w:rsidP="00047D84">
      <w:pPr>
        <w:jc w:val="left"/>
        <w:rPr>
          <w:sz w:val="24"/>
          <w:szCs w:val="24"/>
        </w:rPr>
      </w:pPr>
      <w:r w:rsidRPr="00425C84">
        <w:rPr>
          <w:noProof/>
          <w:sz w:val="24"/>
          <w:szCs w:val="24"/>
        </w:rPr>
        <w:lastRenderedPageBreak/>
        <w:drawing>
          <wp:inline distT="0" distB="0" distL="0" distR="0" wp14:anchorId="6BB2E856" wp14:editId="799720DF">
            <wp:extent cx="5943600" cy="4572000"/>
            <wp:effectExtent l="0" t="0" r="0" b="0"/>
            <wp:docPr id="16" name="Picture 16"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rsch\output\compare\data_plots\becompare2_spawnbio_uncertain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Figure 10. Estimated spawning biomass from the 2023 assessment model 2019.1b, model 2019.1b with updated data through 2024, and the recommended model 2019.1e.5cm.</w:t>
      </w:r>
    </w:p>
    <w:p w14:paraId="1A4DEE9E" w14:textId="6D024B4E" w:rsidR="00B51B2F" w:rsidRDefault="00B51B2F" w:rsidP="00425C84">
      <w:pPr>
        <w:jc w:val="left"/>
        <w:rPr>
          <w:sz w:val="24"/>
          <w:szCs w:val="24"/>
        </w:rPr>
      </w:pPr>
      <w:r w:rsidRPr="00B51B2F">
        <w:rPr>
          <w:noProof/>
          <w:sz w:val="24"/>
          <w:szCs w:val="24"/>
        </w:rPr>
        <w:lastRenderedPageBreak/>
        <w:drawing>
          <wp:inline distT="0" distB="0" distL="0" distR="0" wp14:anchorId="0184B793" wp14:editId="5C9C1794">
            <wp:extent cx="5943600" cy="4572000"/>
            <wp:effectExtent l="0" t="0" r="0" b="0"/>
            <wp:docPr id="18" name="Picture 18"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9_recrui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Figure 11. Estimated recruitment from the 2023 assessment model 2019.1b, model 2019.1b with updated data through 2024, and the recommended model 2019.1e.5cm.</w:t>
      </w:r>
    </w:p>
    <w:p w14:paraId="3A0DB2E0" w14:textId="7ED868F3" w:rsidR="00B51B2F" w:rsidRDefault="00B51B2F" w:rsidP="00B51B2F">
      <w:pPr>
        <w:jc w:val="left"/>
        <w:rPr>
          <w:sz w:val="24"/>
          <w:szCs w:val="24"/>
        </w:rPr>
      </w:pPr>
      <w:r w:rsidRPr="00B51B2F">
        <w:rPr>
          <w:noProof/>
          <w:sz w:val="24"/>
          <w:szCs w:val="24"/>
        </w:rPr>
        <w:lastRenderedPageBreak/>
        <w:drawing>
          <wp:inline distT="0" distB="0" distL="0" distR="0" wp14:anchorId="24EF135F" wp14:editId="4277503B">
            <wp:extent cx="5943600" cy="4572000"/>
            <wp:effectExtent l="0" t="0" r="0" b="0"/>
            <wp:docPr id="19" name="Picture 19"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8_Fvalue_uncertain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4859015" w14:textId="48B02BFA" w:rsidR="00B51B2F" w:rsidRDefault="00B51B2F" w:rsidP="00B51B2F">
      <w:pPr>
        <w:jc w:val="left"/>
        <w:rPr>
          <w:sz w:val="24"/>
          <w:szCs w:val="24"/>
        </w:rPr>
      </w:pPr>
      <w:r>
        <w:rPr>
          <w:sz w:val="24"/>
          <w:szCs w:val="24"/>
        </w:rPr>
        <w:t>Figure 12. Estimated fishing mortality from the 2023 assessment model 2019.1b, model 2019.1b with updated data through 2024, and the recommended model 2019.1e.5cm.</w:t>
      </w:r>
    </w:p>
    <w:p w14:paraId="2993E88B" w14:textId="4CCEE035" w:rsidR="00181C7D" w:rsidRDefault="00181C7D" w:rsidP="00B51B2F">
      <w:pPr>
        <w:jc w:val="left"/>
        <w:rPr>
          <w:sz w:val="24"/>
          <w:szCs w:val="24"/>
        </w:rPr>
      </w:pPr>
      <w:r w:rsidRPr="00181C7D">
        <w:rPr>
          <w:noProof/>
          <w:sz w:val="24"/>
          <w:szCs w:val="24"/>
        </w:rPr>
        <w:lastRenderedPageBreak/>
        <w:drawing>
          <wp:inline distT="0" distB="0" distL="0" distR="0" wp14:anchorId="323DBF22" wp14:editId="39627360">
            <wp:extent cx="5943600" cy="3467100"/>
            <wp:effectExtent l="0" t="0" r="0" b="0"/>
            <wp:docPr id="6" name="Picture 6" descr="C:\AA - PH Stuff\Asmnts\goa_pcod\2024\plots\other\apport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apport_compa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77C24CD" w14:textId="77777777" w:rsidR="00181C7D" w:rsidRDefault="00181C7D" w:rsidP="00B51B2F">
      <w:pPr>
        <w:jc w:val="left"/>
        <w:rPr>
          <w:sz w:val="24"/>
          <w:szCs w:val="24"/>
        </w:rPr>
      </w:pPr>
    </w:p>
    <w:p w14:paraId="65D7E7F1" w14:textId="11049B9A" w:rsidR="00181C7D" w:rsidRDefault="00181C7D" w:rsidP="00181C7D">
      <w:pPr>
        <w:jc w:val="left"/>
        <w:rPr>
          <w:sz w:val="24"/>
          <w:szCs w:val="24"/>
        </w:rPr>
      </w:pPr>
      <w:r>
        <w:rPr>
          <w:sz w:val="24"/>
          <w:szCs w:val="24"/>
        </w:rPr>
        <w:t>Figure 1</w:t>
      </w:r>
      <w:r>
        <w:rPr>
          <w:sz w:val="24"/>
          <w:szCs w:val="24"/>
        </w:rPr>
        <w:t>3. Comparison of apportionment from the REMA model using on the AFSC bottom trawl survey (top panel), and using both the AFSC bottom trawl survey and longline survey (bottom panel).</w:t>
      </w:r>
    </w:p>
    <w:p w14:paraId="3A2BF543" w14:textId="1BDA20A2" w:rsidR="00181C7D" w:rsidRDefault="00181C7D" w:rsidP="00181C7D">
      <w:pPr>
        <w:jc w:val="left"/>
        <w:rPr>
          <w:sz w:val="24"/>
          <w:szCs w:val="24"/>
        </w:rPr>
      </w:pPr>
      <w:r w:rsidRPr="00181C7D">
        <w:rPr>
          <w:noProof/>
          <w:sz w:val="24"/>
          <w:szCs w:val="24"/>
        </w:rPr>
        <w:lastRenderedPageBreak/>
        <w:drawing>
          <wp:inline distT="0" distB="0" distL="0" distR="0" wp14:anchorId="7BC9A635" wp14:editId="3B243251">
            <wp:extent cx="5943600" cy="4457700"/>
            <wp:effectExtent l="0" t="0" r="0" b="0"/>
            <wp:docPr id="8" name="Picture 8" descr="C:\AA - PH Stuff\Asmnts\goa_pcod\2024\plots\other\ll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lrp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B7E136" w14:textId="6D012752" w:rsidR="00181C7D" w:rsidRDefault="00181C7D" w:rsidP="00181C7D">
      <w:pPr>
        <w:jc w:val="left"/>
        <w:rPr>
          <w:sz w:val="24"/>
          <w:szCs w:val="24"/>
        </w:rPr>
      </w:pPr>
      <w:r>
        <w:rPr>
          <w:sz w:val="24"/>
          <w:szCs w:val="24"/>
        </w:rPr>
        <w:t xml:space="preserve">Figure 14. Example REMA model fit to </w:t>
      </w:r>
      <w:r>
        <w:rPr>
          <w:sz w:val="24"/>
          <w:szCs w:val="24"/>
        </w:rPr>
        <w:t>both the AFSC bottom trawl survey</w:t>
      </w:r>
      <w:r>
        <w:rPr>
          <w:sz w:val="24"/>
          <w:szCs w:val="24"/>
        </w:rPr>
        <w:t xml:space="preserve"> (top panel)</w:t>
      </w:r>
      <w:r>
        <w:rPr>
          <w:sz w:val="24"/>
          <w:szCs w:val="24"/>
        </w:rPr>
        <w:t xml:space="preserve"> and longline survey (bottom panel).</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3"/>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4E2EF" w14:textId="77777777" w:rsidR="00CA4BEA" w:rsidRDefault="00CA4BEA">
      <w:pPr>
        <w:spacing w:after="0"/>
      </w:pPr>
      <w:r>
        <w:separator/>
      </w:r>
    </w:p>
  </w:endnote>
  <w:endnote w:type="continuationSeparator" w:id="0">
    <w:p w14:paraId="630EE818" w14:textId="77777777" w:rsidR="00CA4BEA" w:rsidRDefault="00CA4B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5EC844D2" w:rsidR="00AA7891" w:rsidRDefault="00AA7891">
        <w:pPr>
          <w:pStyle w:val="Footer"/>
          <w:jc w:val="center"/>
        </w:pPr>
        <w:r>
          <w:fldChar w:fldCharType="begin"/>
        </w:r>
        <w:r>
          <w:instrText xml:space="preserve"> PAGE   \* MERGEFORMAT </w:instrText>
        </w:r>
        <w:r>
          <w:fldChar w:fldCharType="separate"/>
        </w:r>
        <w:r w:rsidR="00935DB1">
          <w:rPr>
            <w:noProof/>
          </w:rPr>
          <w:t>24</w:t>
        </w:r>
        <w:r>
          <w:rPr>
            <w:noProof/>
          </w:rPr>
          <w:fldChar w:fldCharType="end"/>
        </w:r>
      </w:p>
    </w:sdtContent>
  </w:sdt>
  <w:p w14:paraId="41DD732A" w14:textId="77777777" w:rsidR="00AA7891" w:rsidRDefault="00AA7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6386C" w14:textId="77777777" w:rsidR="00CA4BEA" w:rsidRDefault="00CA4BEA">
      <w:pPr>
        <w:spacing w:after="0"/>
      </w:pPr>
      <w:r>
        <w:separator/>
      </w:r>
    </w:p>
  </w:footnote>
  <w:footnote w:type="continuationSeparator" w:id="0">
    <w:p w14:paraId="5B2CDC15" w14:textId="77777777" w:rsidR="00CA4BEA" w:rsidRDefault="00CA4B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1264E"/>
    <w:rsid w:val="0002571A"/>
    <w:rsid w:val="000313FD"/>
    <w:rsid w:val="00033A08"/>
    <w:rsid w:val="00047D84"/>
    <w:rsid w:val="00056CA4"/>
    <w:rsid w:val="00057FA0"/>
    <w:rsid w:val="000702B9"/>
    <w:rsid w:val="000802F6"/>
    <w:rsid w:val="00083DC2"/>
    <w:rsid w:val="00086083"/>
    <w:rsid w:val="000A2F5F"/>
    <w:rsid w:val="000A721A"/>
    <w:rsid w:val="000B7A48"/>
    <w:rsid w:val="000C4EBC"/>
    <w:rsid w:val="000D6DA0"/>
    <w:rsid w:val="000F3A86"/>
    <w:rsid w:val="001013F4"/>
    <w:rsid w:val="00104C96"/>
    <w:rsid w:val="00105165"/>
    <w:rsid w:val="00161770"/>
    <w:rsid w:val="00167894"/>
    <w:rsid w:val="00177C09"/>
    <w:rsid w:val="00181C7D"/>
    <w:rsid w:val="001A300F"/>
    <w:rsid w:val="001C467B"/>
    <w:rsid w:val="001D0170"/>
    <w:rsid w:val="001D7FE8"/>
    <w:rsid w:val="00200974"/>
    <w:rsid w:val="00220C2D"/>
    <w:rsid w:val="00232DEF"/>
    <w:rsid w:val="00233CB4"/>
    <w:rsid w:val="002510E9"/>
    <w:rsid w:val="00251493"/>
    <w:rsid w:val="00254EB8"/>
    <w:rsid w:val="002576DF"/>
    <w:rsid w:val="00260461"/>
    <w:rsid w:val="00274CF1"/>
    <w:rsid w:val="002833B1"/>
    <w:rsid w:val="002A30F5"/>
    <w:rsid w:val="002A36D7"/>
    <w:rsid w:val="002A519C"/>
    <w:rsid w:val="002A5B8B"/>
    <w:rsid w:val="002A7C8F"/>
    <w:rsid w:val="002C0B9B"/>
    <w:rsid w:val="002E6C0C"/>
    <w:rsid w:val="002F4E33"/>
    <w:rsid w:val="00331328"/>
    <w:rsid w:val="00334D4B"/>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30096"/>
    <w:rsid w:val="00435501"/>
    <w:rsid w:val="00446972"/>
    <w:rsid w:val="00454148"/>
    <w:rsid w:val="00471C21"/>
    <w:rsid w:val="004A6B71"/>
    <w:rsid w:val="004D68F5"/>
    <w:rsid w:val="004E7779"/>
    <w:rsid w:val="00517B0B"/>
    <w:rsid w:val="00520707"/>
    <w:rsid w:val="00546C3C"/>
    <w:rsid w:val="00546D11"/>
    <w:rsid w:val="00556016"/>
    <w:rsid w:val="0055631D"/>
    <w:rsid w:val="00561165"/>
    <w:rsid w:val="00567524"/>
    <w:rsid w:val="00567B68"/>
    <w:rsid w:val="005747CE"/>
    <w:rsid w:val="005843FB"/>
    <w:rsid w:val="00590215"/>
    <w:rsid w:val="005A4736"/>
    <w:rsid w:val="005C4BBD"/>
    <w:rsid w:val="005D2416"/>
    <w:rsid w:val="005D4389"/>
    <w:rsid w:val="005E7D59"/>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5399D"/>
    <w:rsid w:val="0086037D"/>
    <w:rsid w:val="008A273A"/>
    <w:rsid w:val="008B2012"/>
    <w:rsid w:val="008B2EF3"/>
    <w:rsid w:val="008E5437"/>
    <w:rsid w:val="008F24F0"/>
    <w:rsid w:val="008F351E"/>
    <w:rsid w:val="008F5443"/>
    <w:rsid w:val="009030D8"/>
    <w:rsid w:val="00904A7F"/>
    <w:rsid w:val="009059E2"/>
    <w:rsid w:val="00913C48"/>
    <w:rsid w:val="009228BF"/>
    <w:rsid w:val="0092765D"/>
    <w:rsid w:val="00935DB1"/>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431C0"/>
    <w:rsid w:val="00A52B6E"/>
    <w:rsid w:val="00A558BD"/>
    <w:rsid w:val="00A77914"/>
    <w:rsid w:val="00A81834"/>
    <w:rsid w:val="00AA7891"/>
    <w:rsid w:val="00AB2CFB"/>
    <w:rsid w:val="00AF0231"/>
    <w:rsid w:val="00B110EF"/>
    <w:rsid w:val="00B15355"/>
    <w:rsid w:val="00B24CE1"/>
    <w:rsid w:val="00B25842"/>
    <w:rsid w:val="00B407FD"/>
    <w:rsid w:val="00B51B2F"/>
    <w:rsid w:val="00B55FEB"/>
    <w:rsid w:val="00B72960"/>
    <w:rsid w:val="00B73643"/>
    <w:rsid w:val="00B73718"/>
    <w:rsid w:val="00B75C26"/>
    <w:rsid w:val="00B966CA"/>
    <w:rsid w:val="00B97A3B"/>
    <w:rsid w:val="00BE49E4"/>
    <w:rsid w:val="00BE7BF7"/>
    <w:rsid w:val="00C158B1"/>
    <w:rsid w:val="00C541A6"/>
    <w:rsid w:val="00C61C16"/>
    <w:rsid w:val="00C74AB8"/>
    <w:rsid w:val="00C915BC"/>
    <w:rsid w:val="00CA4BEA"/>
    <w:rsid w:val="00CE52BA"/>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70C8C"/>
    <w:rsid w:val="00E70D24"/>
    <w:rsid w:val="00E72619"/>
    <w:rsid w:val="00E85D72"/>
    <w:rsid w:val="00E978DE"/>
    <w:rsid w:val="00EA59C3"/>
    <w:rsid w:val="00EB7076"/>
    <w:rsid w:val="00EC0FA3"/>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505707766">
      <w:bodyDiv w:val="1"/>
      <w:marLeft w:val="0"/>
      <w:marRight w:val="0"/>
      <w:marTop w:val="0"/>
      <w:marBottom w:val="0"/>
      <w:divBdr>
        <w:top w:val="none" w:sz="0" w:space="0" w:color="auto"/>
        <w:left w:val="none" w:sz="0" w:space="0" w:color="auto"/>
        <w:bottom w:val="none" w:sz="0" w:space="0" w:color="auto"/>
        <w:right w:val="none" w:sz="0" w:space="0" w:color="auto"/>
      </w:divBdr>
    </w:div>
    <w:div w:id="1535189023">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7DD5C2-95D2-4C31-9194-E7335053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24</Pages>
  <Words>4099</Words>
  <Characters>23365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NPFMC Gulf of Alaska Groundfish Plan Team</dc:creator>
  <cp:lastModifiedBy>Pete.Hulson</cp:lastModifiedBy>
  <cp:revision>16</cp:revision>
  <dcterms:created xsi:type="dcterms:W3CDTF">2023-09-13T23:05:00Z</dcterms:created>
  <dcterms:modified xsi:type="dcterms:W3CDTF">2024-09-09T19:05:00Z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