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622C8" w14:textId="77777777" w:rsidR="005B32BD" w:rsidRPr="005362B1" w:rsidRDefault="005B32BD" w:rsidP="005B32BD">
      <w:r w:rsidRPr="005362B1">
        <w:t>To evaluate stability and performance of the recommended Model 24.0 we performed several sensitivity analyses including:</w:t>
      </w:r>
    </w:p>
    <w:p w14:paraId="14A0F919" w14:textId="77777777" w:rsidR="005B32BD" w:rsidRPr="005362B1" w:rsidRDefault="005B32BD" w:rsidP="005B32BD">
      <w:pPr>
        <w:pStyle w:val="ListParagraph"/>
        <w:numPr>
          <w:ilvl w:val="0"/>
          <w:numId w:val="1"/>
        </w:numPr>
      </w:pPr>
      <w:r w:rsidRPr="005362B1">
        <w:t>Retrospective analysis,</w:t>
      </w:r>
    </w:p>
    <w:p w14:paraId="7E80EE86" w14:textId="77777777" w:rsidR="005B32BD" w:rsidRPr="005362B1" w:rsidRDefault="005B32BD" w:rsidP="005B32BD">
      <w:pPr>
        <w:pStyle w:val="ListParagraph"/>
        <w:numPr>
          <w:ilvl w:val="0"/>
          <w:numId w:val="1"/>
        </w:numPr>
      </w:pPr>
      <w:r w:rsidRPr="005362B1">
        <w:t>Leave-one-out analysis,</w:t>
      </w:r>
    </w:p>
    <w:p w14:paraId="334B7E98" w14:textId="77777777" w:rsidR="005B32BD" w:rsidRPr="005362B1" w:rsidRDefault="005B32BD" w:rsidP="005B32BD">
      <w:pPr>
        <w:pStyle w:val="ListParagraph"/>
        <w:numPr>
          <w:ilvl w:val="0"/>
          <w:numId w:val="1"/>
        </w:numPr>
      </w:pPr>
      <w:r w:rsidRPr="005362B1">
        <w:t>Add-one-in analysis,</w:t>
      </w:r>
    </w:p>
    <w:p w14:paraId="7244670E" w14:textId="77777777" w:rsidR="005B32BD" w:rsidRPr="005362B1" w:rsidRDefault="005B32BD" w:rsidP="005B32BD">
      <w:pPr>
        <w:pStyle w:val="ListParagraph"/>
        <w:numPr>
          <w:ilvl w:val="0"/>
          <w:numId w:val="1"/>
        </w:numPr>
      </w:pPr>
      <w:r w:rsidRPr="005362B1">
        <w:t>Longline survey environmental link analysis, and,</w:t>
      </w:r>
    </w:p>
    <w:p w14:paraId="45327C1F" w14:textId="77777777" w:rsidR="005B32BD" w:rsidRPr="005362B1" w:rsidRDefault="005B32BD" w:rsidP="005B32BD">
      <w:pPr>
        <w:pStyle w:val="ListParagraph"/>
        <w:numPr>
          <w:ilvl w:val="0"/>
          <w:numId w:val="1"/>
        </w:numPr>
      </w:pPr>
      <w:r w:rsidRPr="005362B1">
        <w:t>Key parameter profiles.</w:t>
      </w:r>
    </w:p>
    <w:p w14:paraId="3CD08ACD" w14:textId="77777777" w:rsidR="005B32BD" w:rsidRPr="005362B1" w:rsidRDefault="005B32BD" w:rsidP="005B32BD">
      <w:r w:rsidRPr="005362B1">
        <w:t>Two types of retrospective analyses are evaluated. The first is a ‘data retrospective’, in which data is sequentially removed from the author’s recommended model going back 10 years from the current year. The second is a ‘model retrospective’ in which accepted assessment model estimates of spawning biomass are compared going back to the 2003 assessment. The results of the data retrospective analysis revealed a small, and negative, retrospective pattern as data was removed from Model 24.0 (top panel Fig. 2.20). The negative retrospective pattern is a result of increases in the estimates of spawning biomass as data were sequentially added over time. Since the 2016 stock assessment the accepted models have been consistent in estimated spawning biomass and well within the 95% confidence intervals estimated in Model 24.0 (bottom panel Fig. 2.20), although, prior to 2016 there has been variability in estimated spawning biomass from the accepted model for GOA Pacific cod.</w:t>
      </w:r>
    </w:p>
    <w:p w14:paraId="2769B6A3" w14:textId="77777777" w:rsidR="005B32BD" w:rsidRPr="005362B1" w:rsidRDefault="005B32BD" w:rsidP="005B32BD">
      <w:r w:rsidRPr="005362B1">
        <w:t>Leave-one-out analysis was performed by removing a single year’s worth of data from the model sequentially going back 10 years from the current year. This is distinct from the retrospective analysis in that only a single year of data is removed from the model in the leave-one-out analysis, as compared to all the years after a certain year being removed as in the retrospective analysis. Leave-one-out analysis allows evaluation of the model’s sensitivity to a specific year’s data. We examined the behavior of the model and the effects of removing the data on key parameter estimates (</w:t>
      </w:r>
      <w:r w:rsidRPr="005362B1">
        <w:rPr>
          <w:i/>
        </w:rPr>
        <w:t>M</w:t>
      </w:r>
      <w:r w:rsidRPr="005362B1">
        <w:t xml:space="preserve">, and </w:t>
      </w:r>
      <w:r w:rsidRPr="005362B1">
        <w:rPr>
          <w:i/>
        </w:rPr>
        <w:t>q</w:t>
      </w:r>
      <w:r w:rsidRPr="005362B1">
        <w:t>), and derived quantities (</w:t>
      </w:r>
      <w:r w:rsidRPr="005362B1">
        <w:rPr>
          <w:i/>
        </w:rPr>
        <w:t>F</w:t>
      </w:r>
      <w:r w:rsidRPr="005362B1">
        <w:rPr>
          <w:i/>
          <w:vertAlign w:val="subscript"/>
        </w:rPr>
        <w:t>40%</w:t>
      </w:r>
      <w:r w:rsidRPr="005362B1">
        <w:t xml:space="preserve">, unfished spawning biomass, forecast spawning biomass, and ABC). For this analysis we focused on the difference between the full model and the model with data left out, </w:t>
      </w:r>
      <w:proofErr w:type="gramStart"/>
      <w:r w:rsidRPr="005362B1">
        <w:t>i.e.</w:t>
      </w:r>
      <w:proofErr w:type="gramEnd"/>
      <w:r w:rsidRPr="005362B1">
        <w:t xml:space="preserve"> was there a direction of change when data were removed from the complete model, and the variability of the variance estimates as data were removed. Model 24.0 resulted in relatively low differences across all examined parameters and derived quantities (Fig. 2.21). A notable difference was observed in the forecasted ABC and spawning biomass when removing data in 2023. Model 24.0 estimated a smaller forecasted ABC and spawning biomass when the 2023 data was removed from the model, although, this is not surprising given that both sources of survey index data increased in 2023 compared to previous years.</w:t>
      </w:r>
    </w:p>
    <w:p w14:paraId="1D904EBA" w14:textId="77777777" w:rsidR="005B32BD" w:rsidRPr="005362B1" w:rsidRDefault="005B32BD" w:rsidP="005B32BD">
      <w:r w:rsidRPr="005362B1">
        <w:t>Add-one-in analysis was performed by adding in each new source of data to the current assessment (as compared to the data available for the previous years’ assessment) one at a time to evaluate the author’s recommended model’s sensitivity to each new source of data. Similar to the leave-one-out analysis, we examined the behavior of the model and the effects of adding the data on key parameter estimates and derived quantities as compared to the full model. In general, the model estimates of key parameters and quantities is robust to each new source of data (Fig. 2.22). A notable result is that the addition of the AFSC bottom trawl survey and trawl fishery conditional age-at-length data served to increase the forecasted ABC more than any of the other datasets.</w:t>
      </w:r>
    </w:p>
    <w:p w14:paraId="4429024C" w14:textId="77777777" w:rsidR="005B32BD" w:rsidRPr="005362B1" w:rsidRDefault="005B32BD" w:rsidP="005B32BD">
      <w:r w:rsidRPr="005362B1">
        <w:t xml:space="preserve">In order to evaluate the robustness of the environmental link with the longline survey catchability parameter we performed two tests. First, we removed the environmental link and ran the model using only the mean longline survey catchability parameter. Second, we generated 50 iterations of ‘white noise’ (with </w:t>
      </w:r>
      <w:proofErr w:type="gramStart"/>
      <w:r w:rsidRPr="005362B1">
        <w:t>N(</w:t>
      </w:r>
      <w:proofErr w:type="gramEnd"/>
      <w:r w:rsidRPr="005362B1">
        <w:t xml:space="preserve">0,1)) and used this in place of the CFSR index and fit the model (Fig. 2.23). We compared Model 24.0 with these two tests using Akaike Information Criterion (AIC, Burnham and Anderson 2002). The AIC value from the model that did not include the CFSR index was 20 larger than the AIC value from Model 24.0. On average, the AIC value from the 50 model runs with white noise in place of the CFSR index was 7.3 larger than the AIC of Model 24.0 (where 45 of the 50 runs resulted in an AIC value for Model 24.0 that was smaller than a model using white noise). Given the results of these two tests, Model </w:t>
      </w:r>
      <w:r w:rsidRPr="005362B1">
        <w:lastRenderedPageBreak/>
        <w:t>24.0 using the CFSR index for the longline survey catchability parameter is preferred and continues to be recommended.</w:t>
      </w:r>
    </w:p>
    <w:p w14:paraId="7449F772" w14:textId="77777777" w:rsidR="005B32BD" w:rsidRPr="005362B1" w:rsidRDefault="005B32BD" w:rsidP="005B32BD">
      <w:r w:rsidRPr="005362B1">
        <w:t>Negative log-likelihood profiles were conducted for several key parameters estimated in Model 24.0 (Fig. 2.24). Theses profiles were conducted by setting a parameter at a range of values, running the model, and storing the negative log-likelihood value. This type of analysis allows for evaluation of the influence of a model parameter’s value on the fit to the data sources used within the assessment. Across a number of the key parameters investigated, the profile for the length composition and conditional age-at-length data were inversely related. For example, as the negative log-likelihood for the length composition would decrease the negative log-likelihood for the conditional age-at-length would increase. This inverse relationship suggests a possible data conflict between these sources.</w:t>
      </w:r>
    </w:p>
    <w:p w14:paraId="75284B6C" w14:textId="77777777" w:rsidR="00405C68" w:rsidRDefault="00405C68"/>
    <w:sectPr w:rsidR="00405C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64712"/>
    <w:multiLevelType w:val="hybridMultilevel"/>
    <w:tmpl w:val="7026F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2BD"/>
    <w:rsid w:val="00405C68"/>
    <w:rsid w:val="005B32BD"/>
    <w:rsid w:val="00743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22BD9"/>
  <w15:chartTrackingRefBased/>
  <w15:docId w15:val="{A9866FAC-61A4-4CB0-90FA-09C908DBF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32BD"/>
    <w:pPr>
      <w:spacing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B32BD"/>
    <w:pPr>
      <w:ind w:left="720"/>
      <w:contextualSpacing/>
    </w:pPr>
    <w:rPr>
      <w:szCs w:val="20"/>
    </w:rPr>
  </w:style>
  <w:style w:type="character" w:customStyle="1" w:styleId="ListParagraphChar">
    <w:name w:val="List Paragraph Char"/>
    <w:basedOn w:val="DefaultParagraphFont"/>
    <w:link w:val="ListParagraph"/>
    <w:uiPriority w:val="34"/>
    <w:rsid w:val="005B32BD"/>
    <w:rPr>
      <w:rFonts w:ascii="Times New Roman" w:eastAsia="Times New Roman"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Pete.Hulson</dc:creator>
  <cp:keywords/>
  <dc:description/>
  <cp:lastModifiedBy>Pete.Hulson</cp:lastModifiedBy>
  <cp:revision>1</cp:revision>
  <dcterms:created xsi:type="dcterms:W3CDTF">2025-12-16T00:13:00Z</dcterms:created>
  <dcterms:modified xsi:type="dcterms:W3CDTF">2025-12-16T01:01:00Z</dcterms:modified>
</cp:coreProperties>
</file>