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F5" w:rsidRDefault="00B02E4A">
      <w:pPr>
        <w:pStyle w:val="Title"/>
      </w:pPr>
      <w:r>
        <w:t>Inclusion of ageing error and growth variability in the bootstrap estimation of age composition input sample size for fisheries stock assessment models</w:t>
      </w:r>
    </w:p>
    <w:p w:rsidR="00927AF5" w:rsidRDefault="00B02E4A">
      <w:pPr>
        <w:pStyle w:val="Author"/>
      </w:pPr>
      <w:r>
        <w:t>Peter-John F. Hulson</w:t>
      </w:r>
      <w:r>
        <w:rPr>
          <w:vertAlign w:val="superscript"/>
        </w:rPr>
        <w:t>1,*</w:t>
      </w:r>
      <w:r>
        <w:t>, and Benjamin C. Williams</w:t>
      </w:r>
      <w:r>
        <w:rPr>
          <w:vertAlign w:val="superscript"/>
        </w:rPr>
        <w:t>1</w:t>
      </w:r>
    </w:p>
    <w:p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rsidR="00927AF5" w:rsidRDefault="00B02E4A">
      <w:pPr>
        <w:pStyle w:val="BodyText"/>
      </w:pPr>
      <w:r>
        <w:rPr>
          <w:vertAlign w:val="superscript"/>
        </w:rPr>
        <w:t>*</w:t>
      </w:r>
      <w:r>
        <w:t xml:space="preserve"> Correspondence: </w:t>
      </w:r>
      <w:hyperlink r:id="rId7">
        <w:r>
          <w:rPr>
            <w:rStyle w:val="Hyperlink"/>
          </w:rPr>
          <w:t>Peter-John F. Hulson &lt;</w:t>
        </w:r>
        <w:hyperlink r:id="rId8">
          <w:r>
            <w:rPr>
              <w:rStyle w:val="Hyperlink"/>
            </w:rPr>
            <w:t>pete.hulson@noaa.gov</w:t>
          </w:r>
        </w:hyperlink>
        <w:r>
          <w:rPr>
            <w:rStyle w:val="Hyperlink"/>
          </w:rPr>
          <w:t>&gt;</w:t>
        </w:r>
      </w:hyperlink>
    </w:p>
    <w:p w:rsidR="00927AF5" w:rsidRDefault="00B02E4A">
      <w:r>
        <w:br w:type="page"/>
      </w:r>
    </w:p>
    <w:p w:rsidR="00927AF5" w:rsidRDefault="00B02E4A">
      <w:pPr>
        <w:pStyle w:val="Heading1"/>
      </w:pPr>
      <w:bookmarkStart w:id="0" w:name="highlights"/>
      <w:r>
        <w:lastRenderedPageBreak/>
        <w:t>Highlights</w:t>
      </w:r>
    </w:p>
    <w:p w:rsidR="00927AF5" w:rsidRDefault="00B02E4A">
      <w:pPr>
        <w:pStyle w:val="Compact"/>
        <w:numPr>
          <w:ilvl w:val="0"/>
          <w:numId w:val="22"/>
        </w:numPr>
      </w:pPr>
      <w:r>
        <w:t>We develop a method to integrate ageing error and growth variability into a bootstrap framework that estimates age composition input sample size</w:t>
      </w:r>
    </w:p>
    <w:p w:rsidR="00927AF5" w:rsidRDefault="00B02E4A">
      <w:pPr>
        <w:pStyle w:val="Compact"/>
        <w:numPr>
          <w:ilvl w:val="0"/>
          <w:numId w:val="22"/>
        </w:numPr>
      </w:pPr>
      <w:r>
        <w:t>Incorporating ageing error and growth variability reduces the age composition input sample size up to 60%</w:t>
      </w:r>
    </w:p>
    <w:p w:rsidR="00927AF5" w:rsidRDefault="00B02E4A">
      <w:pPr>
        <w:pStyle w:val="Compact"/>
        <w:numPr>
          <w:ilvl w:val="0"/>
          <w:numId w:val="22"/>
        </w:numPr>
      </w:pPr>
      <w:r>
        <w:t>The magnitude of reduction in age composition input sample size was species type specific</w:t>
      </w:r>
    </w:p>
    <w:p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rsidR="00927AF5" w:rsidRDefault="00B02E4A">
      <w:r>
        <w:br w:type="page"/>
      </w:r>
    </w:p>
    <w:p w:rsidR="00927AF5" w:rsidRDefault="00B02E4A">
      <w:pPr>
        <w:pStyle w:val="Heading1"/>
      </w:pPr>
      <w:bookmarkStart w:id="1" w:name="abstract"/>
      <w:bookmarkEnd w:id="0"/>
      <w:r>
        <w:lastRenderedPageBreak/>
        <w:t>Abstract</w:t>
      </w:r>
    </w:p>
    <w:p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 data than would be accounted for with ISS estimates that do not include these sources of uncertainty</w:t>
      </w:r>
      <w:proofErr w:type="gramEnd"/>
      <w:r>
        <w:t xml:space="preserve">.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sources of variability in age composition and will subsequently improve stock assessment model quality.</w:t>
      </w:r>
    </w:p>
    <w:p w:rsidR="00927AF5" w:rsidRDefault="00B02E4A">
      <w:pPr>
        <w:pStyle w:val="BodyText"/>
      </w:pPr>
      <w:r>
        <w:lastRenderedPageBreak/>
        <w:t>Key Words: stock assessment, aging error, growth variability, maximum likelihood, uncertainty, input sample size</w:t>
      </w:r>
    </w:p>
    <w:p w:rsidR="00927AF5" w:rsidRDefault="00B02E4A">
      <w:r>
        <w:br w:type="page"/>
      </w:r>
    </w:p>
    <w:p w:rsidR="00927AF5" w:rsidRDefault="00B02E4A">
      <w:pPr>
        <w:pStyle w:val="Heading1"/>
      </w:pPr>
      <w:bookmarkStart w:id="2" w:name="introduction"/>
      <w:bookmarkEnd w:id="1"/>
      <w:r>
        <w:lastRenderedPageBreak/>
        <w:t>1. Introduction</w:t>
      </w:r>
    </w:p>
    <w:p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ins w:id="3" w:author="Ben.Williams" w:date="2023-09-01T10:01:00Z">
        <w:r w:rsidR="007209CD">
          <w:t xml:space="preserve"> or trips</w:t>
        </w:r>
      </w:ins>
      <w:del w:id="4" w:author="Ben.Williams" w:date="2023-09-01T10:01:00Z">
        <w:r w:rsidDel="007209CD">
          <w:delText xml:space="preserve"> within a trip that is</w:delText>
        </w:r>
      </w:del>
      <w:r>
        <w:t xml:space="preserve"> targeting a specific species</w:t>
      </w:r>
      <w:ins w:id="5" w:author="Ben.Williams" w:date="2023-09-01T10:01:00Z">
        <w:r w:rsidR="007209CD">
          <w:t xml:space="preserve"> or species group</w:t>
        </w:r>
      </w:ins>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rsidR="00927AF5" w:rsidRDefault="00B02E4A">
      <w:pPr>
        <w:pStyle w:val="Compact"/>
        <w:numPr>
          <w:ilvl w:val="0"/>
          <w:numId w:val="23"/>
        </w:numPr>
      </w:pPr>
      <w:r>
        <w:t>Nominal sample size: the actual sample size obtained for age or length composition data from fishery-independent or fishery-dependent sources.</w:t>
      </w:r>
    </w:p>
    <w:p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rsidR="00927AF5" w:rsidRDefault="00B02E4A" w:rsidP="009277A5">
      <w:pPr>
        <w:pStyle w:val="BodyText"/>
        <w:ind w:firstLine="720"/>
      </w:pPr>
      <w:r>
        <w:t>When age is capable of being determined from otoliths, there is further variability in age composition data due</w:t>
      </w:r>
      <w:ins w:id="6" w:author="Ben.Williams" w:date="2023-09-01T10:05:00Z">
        <w:r w:rsidR="00EF4572">
          <w:t xml:space="preserve"> </w:t>
        </w:r>
      </w:ins>
      <w:r>
        <w:t>t</w:t>
      </w:r>
      <w:del w:id="7"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rsidR="009277A5" w:rsidRDefault="009277A5" w:rsidP="009277A5">
      <w:pPr>
        <w:pStyle w:val="BodyText"/>
      </w:pPr>
    </w:p>
    <w:p w:rsidR="00927AF5" w:rsidRDefault="00B02E4A">
      <w:pPr>
        <w:pStyle w:val="Heading1"/>
      </w:pPr>
      <w:bookmarkStart w:id="8" w:name="material-and-methods"/>
      <w:bookmarkEnd w:id="2"/>
      <w:r>
        <w:t>2. Material and methods</w:t>
      </w:r>
    </w:p>
    <w:p w:rsidR="00927AF5" w:rsidRDefault="00B02E4A">
      <w:pPr>
        <w:pStyle w:val="Heading2"/>
      </w:pPr>
      <w:bookmarkStart w:id="9" w:name="data"/>
      <w:r>
        <w:t>2.1 Data</w:t>
      </w:r>
    </w:p>
    <w:p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del w:id="10" w:author="Ben.Williams" w:date="2023-09-01T09:53:00Z">
        <w:r w:rsidDel="007209CD">
          <w:delText>reproducability</w:delText>
        </w:r>
      </w:del>
      <w:ins w:id="11" w:author="Ben.Williams" w:date="2023-09-01T09:53:00Z">
        <w:r w:rsidR="007209CD">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The species or stocks selected for this analysis all have greater than 5,000 reader-tester paired otolith readings. These stocks are all assessed using integrated SCAA models that require input sample sizes for the age composition data.</w:t>
      </w:r>
    </w:p>
    <w:p w:rsidR="009277A5" w:rsidRPr="009277A5" w:rsidRDefault="009277A5" w:rsidP="009277A5">
      <w:pPr>
        <w:pStyle w:val="BodyText"/>
      </w:pPr>
    </w:p>
    <w:p w:rsidR="00927AF5" w:rsidRDefault="00B02E4A">
      <w:pPr>
        <w:pStyle w:val="Heading2"/>
      </w:pPr>
      <w:bookmarkStart w:id="12" w:name="length-and-age-composition-expansion"/>
      <w:bookmarkEnd w:id="9"/>
      <w:r>
        <w:lastRenderedPageBreak/>
        <w:t>2.2 Length and age composition expansion</w:t>
      </w:r>
    </w:p>
    <w:p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p>
    <w:p w:rsidR="00927AF5" w:rsidRDefault="00B02E4A">
      <w:pPr>
        <w:pStyle w:val="BodyText"/>
      </w:pPr>
      <w:r>
        <w:t>Finally, the expanded population abundance-at-length is obtained by multiplying the overall population numbers within the strata (equation (1)), the relative catch per unit effort of each haul (equation (2)), and the sex-specific relative length composition (equation (3)) with</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rsidR="00927AF5" w:rsidRDefault="00B02E4A">
      <w:pPr>
        <w:pStyle w:val="FirstParagraph"/>
      </w:pPr>
      <w:proofErr w:type="gramStart"/>
      <w:r>
        <w:t>and</w:t>
      </w:r>
      <w:proofErr w:type="gramEnd"/>
      <w:r>
        <w:t xml:space="preserve"> to obtain the sex-specific estimates of population abundance-at-length in a management area one would simply sum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across strata.</w:t>
      </w:r>
    </w:p>
    <w:p w:rsidR="00927AF5" w:rsidRDefault="00B02E4A" w:rsidP="009277A5">
      <w:pPr>
        <w:pStyle w:val="BodyText"/>
        <w:ind w:firstLine="720"/>
      </w:pPr>
      <w:r>
        <w:t xml:space="preserve">In the second stage </w:t>
      </w:r>
      <w:proofErr w:type="gramStart"/>
      <w:r>
        <w:t>expansion</w:t>
      </w:r>
      <w:proofErr w:type="gramEnd"/>
      <w:r>
        <w:t xml:space="preserve"> the sex-specific estimates of population abundance-at-length are used to estimate sex-specific population abundance-at-age. The annual specimen data that </w:t>
      </w:r>
      <w:proofErr w:type="gramStart"/>
      <w:r>
        <w:t>are collected</w:t>
      </w:r>
      <w:proofErr w:type="gramEnd"/>
      <w:r>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Next, the sex-specific numbers-at-age and length </w:t>
      </w:r>
      <w:proofErr w:type="gramStart"/>
      <w:r>
        <w:t>are converted</w:t>
      </w:r>
      <w:proofErr w:type="gramEnd"/>
      <w:r>
        <w:t xml:space="preserve"> to sex-specific proportions of age-at-length (i.e., age-length key) with</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rsidR="00927AF5" w:rsidRDefault="00B02E4A">
      <w:pPr>
        <w:pStyle w:val="FirstParagraph"/>
      </w:pPr>
      <w:r>
        <w:t xml:space="preserve">The proportions of age-at-length </w:t>
      </w:r>
      <w:proofErr w:type="gramStart"/>
      <w:r>
        <w:t>are then expanded</w:t>
      </w:r>
      <w:proofErr w:type="gramEnd"/>
      <w:r>
        <w:t xml:space="preserve"> to population abundance-at-age with</w:t>
      </w:r>
    </w:p>
    <w:p w:rsidR="00927AF5" w:rsidRDefault="00250FB6">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rsidR="009277A5" w:rsidRPr="009277A5" w:rsidRDefault="009277A5" w:rsidP="009277A5">
      <w:pPr>
        <w:pStyle w:val="BodyText"/>
      </w:pPr>
    </w:p>
    <w:p w:rsidR="00927AF5" w:rsidRDefault="00B02E4A">
      <w:pPr>
        <w:pStyle w:val="Heading2"/>
      </w:pPr>
      <w:bookmarkStart w:id="13" w:name="simulation-bootstrap-framework"/>
      <w:bookmarkEnd w:id="12"/>
      <w:r>
        <w:t>2.3 Simulation-Bootstrap framework</w:t>
      </w:r>
    </w:p>
    <w:p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14" w:author="Ben.Williams" w:date="2023-09-06T15:17:00Z">
            <w:rPr/>
          </w:rPrChange>
        </w:rPr>
        <w:t>Growth variability was incorporated by resampling from all lengths associated with a given age and sex.</w:t>
      </w:r>
    </w:p>
    <w:p w:rsidR="00927AF5" w:rsidRDefault="00B02E4A">
      <w:pPr>
        <w:pStyle w:val="BodyText"/>
      </w:pPr>
      <w:r>
        <w:t>The order of operations (Figure 1) has the following schedule:</w:t>
      </w:r>
    </w:p>
    <w:p w:rsidR="00927AF5" w:rsidRDefault="00B02E4A">
      <w:pPr>
        <w:pStyle w:val="Compact"/>
        <w:numPr>
          <w:ilvl w:val="0"/>
          <w:numId w:val="24"/>
        </w:numPr>
      </w:pPr>
      <w:r>
        <w:t>Resample hauls from the set of hauls with associated catch per unit effort (in numbers).</w:t>
      </w:r>
    </w:p>
    <w:p w:rsidR="00927AF5" w:rsidRDefault="00B02E4A">
      <w:pPr>
        <w:pStyle w:val="Compact"/>
        <w:numPr>
          <w:ilvl w:val="0"/>
          <w:numId w:val="24"/>
        </w:numPr>
      </w:pPr>
      <w:r>
        <w:t>Within the resampled hauls from step 1, resample the observed lengths.</w:t>
      </w:r>
    </w:p>
    <w:p w:rsidR="00927AF5" w:rsidRDefault="00B02E4A">
      <w:pPr>
        <w:pStyle w:val="Compact"/>
        <w:numPr>
          <w:ilvl w:val="0"/>
          <w:numId w:val="24"/>
        </w:numPr>
      </w:pPr>
      <w:r>
        <w:t>With the resampled length frequency data from step 2, calculate population abundance-at-length (equations (1) - (4)).</w:t>
      </w:r>
    </w:p>
    <w:p w:rsidR="00927AF5" w:rsidRDefault="00B02E4A">
      <w:pPr>
        <w:pStyle w:val="Compact"/>
        <w:numPr>
          <w:ilvl w:val="0"/>
          <w:numId w:val="24"/>
        </w:numPr>
      </w:pPr>
      <w:r>
        <w:t>Within the resampled hauls from step 1, resample the observed ages from the specimen data.</w:t>
      </w:r>
    </w:p>
    <w:p w:rsidR="00927AF5" w:rsidRDefault="00B02E4A">
      <w:pPr>
        <w:pStyle w:val="Compact"/>
        <w:numPr>
          <w:ilvl w:val="0"/>
          <w:numId w:val="24"/>
        </w:numPr>
      </w:pPr>
      <w:r>
        <w:t>For the resampled ages in step 4, resample a length from the set of lengths observed for the given age.</w:t>
      </w:r>
    </w:p>
    <w:p w:rsidR="00927AF5" w:rsidRDefault="00B02E4A">
      <w:pPr>
        <w:pStyle w:val="Compact"/>
        <w:numPr>
          <w:ilvl w:val="0"/>
          <w:numId w:val="24"/>
        </w:numPr>
      </w:pPr>
      <w:r>
        <w:t>For the resampled ages in step 4, resample an age from the set of tester ages for the given age.</w:t>
      </w:r>
    </w:p>
    <w:p w:rsidR="00927AF5" w:rsidRDefault="00B02E4A">
      <w:pPr>
        <w:pStyle w:val="Compact"/>
        <w:numPr>
          <w:ilvl w:val="0"/>
          <w:numId w:val="24"/>
        </w:numPr>
      </w:pPr>
      <w:r>
        <w:lastRenderedPageBreak/>
        <w:t>With the resampled age data in steps 4-6 and the population abundance-at-length in step 3, calculate the population abundance-at-age (equations (5) - (6)).</w:t>
      </w:r>
    </w:p>
    <w:p w:rsidR="00927AF5" w:rsidRDefault="00B02E4A">
      <w:pPr>
        <w:pStyle w:val="FirstParagraph"/>
      </w:pPr>
      <w:r>
        <w:t xml:space="preserve">Steps 5 and 6 </w:t>
      </w:r>
      <w:proofErr w:type="gramStart"/>
      <w:r>
        <w:t>were designed</w:t>
      </w:r>
      <w:proofErr w:type="gramEnd"/>
      <w:r>
        <w:t xml:space="preserve"> to explore inclusion of ageing error and growth variability. The bootstrap-simulation repeats steps 1-7 providing iterated population abundance-at-age for comparison to the historical (the full sample without any resampling of data) population abundance-at-age.</w:t>
      </w:r>
    </w:p>
    <w:p w:rsidR="00927AF5" w:rsidRDefault="00B02E4A" w:rsidP="009277A5">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laboratory at AFSC). Sex-specific age-length pairs </w:t>
      </w:r>
      <w:proofErr w:type="gramStart"/>
      <w:r>
        <w:t>were pooled</w:t>
      </w:r>
      <w:proofErr w:type="gramEnd"/>
      <w:r>
        <w:t xml:space="preserve">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9">
        <w:r>
          <w:rPr>
            <w:rStyle w:val="Hyperlink"/>
          </w:rPr>
          <w:t>https://github.com/BenWilliams-NOAA/surveyISS</w:t>
        </w:r>
      </w:hyperlink>
      <w:r>
        <w:t>).</w:t>
      </w:r>
    </w:p>
    <w:p w:rsidR="009277A5" w:rsidRDefault="009277A5" w:rsidP="009277A5">
      <w:pPr>
        <w:pStyle w:val="BodyText"/>
      </w:pPr>
    </w:p>
    <w:p w:rsidR="00927AF5" w:rsidRDefault="00B02E4A">
      <w:pPr>
        <w:pStyle w:val="Heading2"/>
      </w:pPr>
      <w:bookmarkStart w:id="15" w:name="computing-input-sample-size"/>
      <w:bookmarkEnd w:id="13"/>
      <w:r>
        <w:lastRenderedPageBreak/>
        <w:t>2.4 Computing input sample size</w:t>
      </w:r>
    </w:p>
    <w:p w:rsidR="00927AF5" w:rsidRDefault="00B02E4A" w:rsidP="009277A5">
      <w:pPr>
        <w:pStyle w:val="FirstParagraph"/>
        <w:ind w:firstLine="720"/>
      </w:pPr>
      <w:r>
        <w:t xml:space="preserve">A useful statistic that can quantify the variability in age composition is relative sample size, introduced by McAllister and </w:t>
      </w:r>
      <w:proofErr w:type="spellStart"/>
      <w:r>
        <w:t>Ianelli</w:t>
      </w:r>
      <w:proofErr w:type="spellEnd"/>
      <w:r>
        <w:t xml:space="preserve"> (1997). This statistic evaluates the amount of uncertainty in an estimated composition compared to an observed composition and </w:t>
      </w:r>
      <w:proofErr w:type="gramStart"/>
      <w:r>
        <w:t>is given</w:t>
      </w:r>
      <w:proofErr w:type="gramEnd"/>
      <w:r>
        <w:t xml:space="preserve"> by:</w:t>
      </w:r>
    </w:p>
    <w:p w:rsidR="00927AF5" w:rsidRDefault="00250FB6">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 Here, the underlying age composition derived from the historical bottom trawl surveys with the full and unsampled data </w:t>
      </w:r>
      <w:proofErr w:type="gramStart"/>
      <w:r>
        <w:t>was treated</w:t>
      </w:r>
      <w:proofErr w:type="gramEnd"/>
      <w:r>
        <w:t xml:space="preserve">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 Thus, across each iteration of the bootstrap-simulation we computed a relative sample size that indicated the amount of uncertainty in the resampled age composition.</w:t>
      </w:r>
    </w:p>
    <w:p w:rsidR="00927AF5" w:rsidRDefault="00B02E4A" w:rsidP="009277A5">
      <w:pPr>
        <w:pStyle w:val="BodyText"/>
        <w:ind w:firstLine="720"/>
      </w:pPr>
      <w:r>
        <w:t xml:space="preserve">To summarize relative 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w:t>
      </w:r>
      <w:r>
        <w:lastRenderedPageBreak/>
        <w:t>computed by dividing the ISS as determined after incorporating ageing error, growth variability, or both, by the base ISS without these sources of uncertainty.</w:t>
      </w:r>
    </w:p>
    <w:p w:rsidR="009277A5" w:rsidRDefault="009277A5" w:rsidP="009277A5">
      <w:pPr>
        <w:pStyle w:val="BodyText"/>
      </w:pPr>
    </w:p>
    <w:p w:rsidR="00927AF5" w:rsidRDefault="00B02E4A">
      <w:pPr>
        <w:pStyle w:val="Heading2"/>
      </w:pPr>
      <w:bookmarkStart w:id="16" w:name="Xe65babd8f99318cbb49fcc1e256a898e8b1eae7"/>
      <w:bookmarkEnd w:id="15"/>
      <w:r>
        <w:t>2.5 Evaluating life-history relationships to consequences of added uncertainty</w:t>
      </w:r>
    </w:p>
    <w:p w:rsidR="00927AF5" w:rsidRDefault="00B02E4A" w:rsidP="009277A5">
      <w:pPr>
        <w:pStyle w:val="FirstParagraph"/>
        <w:ind w:firstLine="720"/>
      </w:pPr>
      <w:r>
        <w:t>Trends across stocks were aggregated and evaluated using three species types: flatfish (</w:t>
      </w:r>
      <w:proofErr w:type="spellStart"/>
      <w:r>
        <w:t>arrowtooth</w:t>
      </w:r>
      <w:proofErr w:type="spellEnd"/>
      <w:r>
        <w:t xml:space="preserve"> flounder, flathead sole, northern rock sole, and yellowfin sole), </w:t>
      </w:r>
      <w:proofErr w:type="spellStart"/>
      <w:r>
        <w:t>gadids</w:t>
      </w:r>
      <w:proofErr w:type="spellEnd"/>
      <w:r>
        <w:t xml:space="preserve"> (walleye </w:t>
      </w:r>
      <w:proofErr w:type="spellStart"/>
      <w:r>
        <w:t>pollock</w:t>
      </w:r>
      <w:proofErr w:type="spellEnd"/>
      <w:r>
        <w:t xml:space="preserve"> and Pacific cod), and rockfish (Pacific ocean perch and northern rockfish). Two statistics </w:t>
      </w:r>
      <w:proofErr w:type="gramStart"/>
      <w:r>
        <w:t>were used</w:t>
      </w:r>
      <w:proofErr w:type="gramEnd"/>
      <w:r>
        <w:t xml:space="preserve"> to evaluate trends across the cases that added ageing error and growth variability. The first statistic we used to evaluate the influence of adding ageing error was the average coefficient of variation (CV) in age agreement. We computed the CV in the tester ages for a given reader age, </w:t>
      </w:r>
      <w:proofErr w:type="gramStart"/>
      <w:r>
        <w:t>then</w:t>
      </w:r>
      <w:proofErr w:type="gramEnd"/>
      <w:r>
        <w:t xml:space="preserve">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t>
      </w:r>
    </w:p>
    <w:p w:rsidR="009277A5" w:rsidRPr="009277A5" w:rsidRDefault="009277A5" w:rsidP="009277A5">
      <w:pPr>
        <w:pStyle w:val="BodyText"/>
      </w:pPr>
    </w:p>
    <w:p w:rsidR="00927AF5" w:rsidRDefault="00B02E4A">
      <w:pPr>
        <w:pStyle w:val="Heading1"/>
      </w:pPr>
      <w:bookmarkStart w:id="17" w:name="results"/>
      <w:bookmarkEnd w:id="8"/>
      <w:bookmarkEnd w:id="16"/>
      <w:r>
        <w:t>3. Results</w:t>
      </w:r>
    </w:p>
    <w:p w:rsidR="00927AF5" w:rsidRDefault="00B02E4A" w:rsidP="009277A5">
      <w:pPr>
        <w:pStyle w:val="FirstParagraph"/>
        <w:ind w:firstLine="720"/>
      </w:pPr>
      <w:r>
        <w:t xml:space="preserve">While the magnitude of age composition ISS was stock and region specific, there was a consistent reduction in age composition ISS as additional sources of uncertainty </w:t>
      </w:r>
      <w:proofErr w:type="gramStart"/>
      <w:r>
        <w:t>were introduced</w:t>
      </w:r>
      <w:proofErr w:type="gramEnd"/>
      <w:r>
        <w:t xml:space="preserve">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w:t>
      </w:r>
      <w:proofErr w:type="spellStart"/>
      <w:proofErr w:type="gramStart"/>
      <w:r>
        <w:t>arrowtooth</w:t>
      </w:r>
      <w:proofErr w:type="spellEnd"/>
      <w:r>
        <w:t xml:space="preserve"> flounder age data</w:t>
      </w:r>
      <w:proofErr w:type="gramEnd"/>
      <w:r>
        <w:t xml:space="preserve"> resulted in smaller ISS than adding growth variability in the GOA, but larger ISS in the EBS. Variability in the age composition ISS across </w:t>
      </w:r>
      <w:r>
        <w:lastRenderedPageBreak/>
        <w:t xml:space="preserve">the scenarios evaluated was also stock and region specific, with Pacific cod and walleye </w:t>
      </w:r>
      <w:proofErr w:type="spellStart"/>
      <w:r>
        <w:t>pollock</w:t>
      </w:r>
      <w:proofErr w:type="spellEnd"/>
      <w:r>
        <w:t xml:space="preserve"> in the EBS having the greatest reduction in ISS and AI Atka mackerel having the least.</w:t>
      </w:r>
    </w:p>
    <w:p w:rsidR="00927AF5" w:rsidRDefault="00B02E4A" w:rsidP="009277A5">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w:t>
      </w:r>
      <w:proofErr w:type="spellStart"/>
      <w:r>
        <w:t>gadid</w:t>
      </w:r>
      <w:proofErr w:type="spellEnd"/>
      <w:r>
        <w:t xml:space="preserve"> relative ISS than adding ageing error. Flatfish exhibited the greatest variability in the proportional reduction in relative ISS in any given region, while </w:t>
      </w:r>
      <w:proofErr w:type="spellStart"/>
      <w:r>
        <w:t>gadids</w:t>
      </w:r>
      <w:proofErr w:type="spellEnd"/>
      <w:r>
        <w:t xml:space="preserve"> had the smallest relative ISS, in general. For example, after adding ageing error and growth variability, the relative ISS for </w:t>
      </w:r>
      <w:proofErr w:type="spellStart"/>
      <w:r>
        <w:t>gadid</w:t>
      </w:r>
      <w:proofErr w:type="spellEnd"/>
      <w:r>
        <w:t xml:space="preserve"> was 85-95% in the AI, 40-50% in the EBS, and 70-80% in the GOA (Figure 3). Overall, adding both ageing error and growth variability decreased the relative ISS to 50-90% of the Base ISS for flatfish, 40-90% for </w:t>
      </w:r>
      <w:proofErr w:type="spellStart"/>
      <w:r>
        <w:t>gadids</w:t>
      </w:r>
      <w:proofErr w:type="spellEnd"/>
      <w:r>
        <w:t>, and 80-95% for rockfish.</w:t>
      </w:r>
    </w:p>
    <w:p w:rsidR="00927AF5" w:rsidRDefault="00B02E4A" w:rsidP="009277A5">
      <w:pPr>
        <w:pStyle w:val="BodyText"/>
        <w:ind w:firstLine="720"/>
      </w:pPr>
      <w:r>
        <w:t xml:space="preserve">A positive relationship </w:t>
      </w:r>
      <w:proofErr w:type="gramStart"/>
      <w:r>
        <w:t>is observed</w:t>
      </w:r>
      <w:proofErr w:type="gramEnd"/>
      <w:r>
        <w:t xml:space="preserve">, by species group, between the number of age samples taken per haul and the age composition ISS per sampled haul (top panel of Figure 4). However, as sources of uncertainty </w:t>
      </w:r>
      <w:proofErr w:type="gramStart"/>
      <w:r>
        <w:t>were added</w:t>
      </w:r>
      <w:proofErr w:type="gramEnd"/>
      <w:r>
        <w:t xml:space="preserve"> to age data this positive trend was dampened for each species type; this was particularly true for </w:t>
      </w:r>
      <w:proofErr w:type="spellStart"/>
      <w:r>
        <w:t>gadids</w:t>
      </w:r>
      <w:proofErr w:type="spellEnd"/>
      <w:r>
        <w:t xml:space="preserve"> as compared to flatfish and rockfish. Across species types the age composition ISS per haul was around half of the number of sampled ages per haul, though it was less for rockfish and </w:t>
      </w:r>
      <w:proofErr w:type="spellStart"/>
      <w:r>
        <w:t>gadids</w:t>
      </w:r>
      <w:proofErr w:type="spellEnd"/>
      <w:r>
        <w:t xml:space="preserve">. The age composition ISS per haul was, on average, the largest for flatfish, followed by rockfish, and was the smallest for </w:t>
      </w:r>
      <w:proofErr w:type="spellStart"/>
      <w:r>
        <w:t>gadids</w:t>
      </w:r>
      <w:proofErr w:type="spellEnd"/>
      <w:r>
        <w:t xml:space="preserve"> (bottom panel of Figure 4). The variability in the age composition ISS per haul across years, regions, and sex categories was also the largest for flatfish compared to </w:t>
      </w:r>
      <w:proofErr w:type="spellStart"/>
      <w:r>
        <w:t>gadids</w:t>
      </w:r>
      <w:proofErr w:type="spellEnd"/>
      <w:r>
        <w:t xml:space="preserve"> and rockfish.</w:t>
      </w:r>
    </w:p>
    <w:p w:rsidR="00927AF5" w:rsidRDefault="00B02E4A" w:rsidP="009277A5">
      <w:pPr>
        <w:pStyle w:val="BodyText"/>
        <w:ind w:firstLine="720"/>
      </w:pPr>
      <w:r>
        <w:t xml:space="preserve">Comparing between statistics for ageing error and growth variability resulted in different trends in the relative ISS by species types (top panels of Figure 5). The relative ISS when adding </w:t>
      </w:r>
      <w:r>
        <w:lastRenderedPageBreak/>
        <w:t xml:space="preserve">ageing error was similar when compared to the average reader-tester CV between </w:t>
      </w:r>
      <w:proofErr w:type="spellStart"/>
      <w:r>
        <w:t>gadids</w:t>
      </w:r>
      <w:proofErr w:type="spellEnd"/>
      <w:r>
        <w:t xml:space="preserve"> and rockfish, with lower variability for rockfish (top left panel of Figure 5). While the range in average reader-tester CV was smaller for rockfish and </w:t>
      </w:r>
      <w:proofErr w:type="spellStart"/>
      <w:r>
        <w:t>gadids</w:t>
      </w:r>
      <w:proofErr w:type="spellEnd"/>
      <w:r>
        <w:t xml:space="preserve"> than for flatfish, the resulting range in relative ISS was larger for </w:t>
      </w:r>
      <w:proofErr w:type="spellStart"/>
      <w:r>
        <w:t>gadids</w:t>
      </w:r>
      <w:proofErr w:type="spellEnd"/>
      <w:r>
        <w:t xml:space="preserve"> than rockfish or flatfish. The relative ISS when adding growth variability resulted in the smallest range in both ISS reduction and average age-length CV for rockfish, though flatfish and </w:t>
      </w:r>
      <w:proofErr w:type="spellStart"/>
      <w:r>
        <w:t>gadid</w:t>
      </w:r>
      <w:proofErr w:type="spellEnd"/>
      <w:r>
        <w:t xml:space="preserve"> had a larger CV spread (top right panel of Figure 5). On average, the relative ISS when adding both ageing error and growth variability was largest for rockfish</w:t>
      </w:r>
      <w:bookmarkStart w:id="18" w:name="_GoBack"/>
      <w:bookmarkEnd w:id="18"/>
      <w:r>
        <w:t xml:space="preserve">, intermediate for flatfish, and smallest for </w:t>
      </w:r>
      <w:proofErr w:type="spellStart"/>
      <w:r>
        <w:t>gadids</w:t>
      </w:r>
      <w:proofErr w:type="spellEnd"/>
      <w:r>
        <w:t xml:space="preserve"> (bottom panel of Figure 5). The same trend resulted when evaluating the range in the relative ISS when both ageing error and growth variability </w:t>
      </w:r>
      <w:proofErr w:type="gramStart"/>
      <w:r>
        <w:t>were added</w:t>
      </w:r>
      <w:proofErr w:type="gramEnd"/>
      <w:r>
        <w:t>.</w:t>
      </w:r>
    </w:p>
    <w:p w:rsidR="009277A5" w:rsidRDefault="009277A5" w:rsidP="009277A5">
      <w:pPr>
        <w:pStyle w:val="BodyText"/>
      </w:pPr>
    </w:p>
    <w:p w:rsidR="00927AF5" w:rsidRDefault="00B02E4A">
      <w:pPr>
        <w:pStyle w:val="Heading1"/>
      </w:pPr>
      <w:bookmarkStart w:id="19" w:name="discussion"/>
      <w:bookmarkEnd w:id="17"/>
      <w:r>
        <w:t>4. Discussion</w:t>
      </w:r>
    </w:p>
    <w:p w:rsidR="00927AF5" w:rsidRDefault="00B02E4A" w:rsidP="009277A5">
      <w:pPr>
        <w:pStyle w:val="FirstParagraph"/>
        <w:ind w:firstLine="720"/>
      </w:pPr>
      <w:r>
        <w:t xml:space="preserve">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However, the average CV for reader-tester agreement was much larger for some flatfish stocks relative to the rockfish stocks </w:t>
      </w:r>
      <w:proofErr w:type="gramStart"/>
      <w:r>
        <w:t>evaluated,</w:t>
      </w:r>
      <w:proofErr w:type="gramEnd"/>
      <w:r>
        <w:t xml:space="preserve"> thus, there was some interaction between the number of age bins and ISS in this analysis. When considering both ageing error and growth uncertainty the largest reduction in ISS </w:t>
      </w:r>
      <w:r>
        <w:lastRenderedPageBreak/>
        <w:t xml:space="preserve">magnitude was for </w:t>
      </w:r>
      <w:proofErr w:type="spellStart"/>
      <w:r>
        <w:t>gadids</w:t>
      </w:r>
      <w:proofErr w:type="spellEnd"/>
      <w:r>
        <w:t>, followed by flatfish, with the least effect observed for rockfish, though results varies by stock and region.</w:t>
      </w:r>
    </w:p>
    <w:p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ins w:id="20" w:author="Ben.Williams" w:date="2023-09-01T09:54:00Z">
        <w:r w:rsidR="007209CD">
          <w:t>ed</w:t>
        </w:r>
      </w:ins>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 when adding additional uncertainty as compared to the base case was 40% of the base case ISS, 50% of the base case for flatfish, and 80% of the base case for rockfish. Without these additional sources of uncertainty taken into account, using the bootstrap procedure would result in ISS that are larger than what they should be. While we did not investigate implications to specific assessment model outcomes, it </w:t>
      </w:r>
      <w:proofErr w:type="gramStart"/>
      <w:r>
        <w:t>can be inferred</w:t>
      </w:r>
      <w:proofErr w:type="gramEnd"/>
      <w:r>
        <w:t xml:space="preserve"> that reductions of ISS on this scale would have downstream effects on model predictions and the associated uncertainty. We note that these sources of uncertainty </w:t>
      </w:r>
      <w:proofErr w:type="gramStart"/>
      <w:r>
        <w:t>would not be contained</w:t>
      </w:r>
      <w:proofErr w:type="gramEnd"/>
      <w:r>
        <w:t xml:space="preserve"> only to fishery-independent sources, like evaluated here, but would also be inherent to age collections for fishery-dependent sources as well. The functions to bootstrap age composition data to determine ISS for fishery-dependent sources at AFSC </w:t>
      </w:r>
      <w:proofErr w:type="gramStart"/>
      <w:r>
        <w:t>have not yet been developed</w:t>
      </w:r>
      <w:proofErr w:type="gramEnd"/>
      <w:r>
        <w:t>. Future investigations into the impacts of adding ageing error and growth variability into ISS estimation on assessment model results should also include fishery-dependent ISS implications as well.</w:t>
      </w:r>
    </w:p>
    <w:p w:rsidR="00927AF5" w:rsidRDefault="00B02E4A" w:rsidP="009277A5">
      <w:pPr>
        <w:pStyle w:val="BodyText"/>
        <w:ind w:firstLine="720"/>
      </w:pPr>
      <w:r>
        <w:t xml:space="preserve">A number of operational assessment models use hauls as a proxy in some form when setting ISS for age and length composition data (e.g., </w:t>
      </w:r>
      <w:proofErr w:type="spellStart"/>
      <w:r>
        <w:t>Hulson</w:t>
      </w:r>
      <w:proofErr w:type="spellEnd"/>
      <w:r>
        <w:t xml:space="preserve"> et al. 2021, </w:t>
      </w:r>
      <w:proofErr w:type="spellStart"/>
      <w:r>
        <w:t>Barbeaux</w:t>
      </w:r>
      <w:proofErr w:type="spellEnd"/>
      <w:r>
        <w:t xml:space="preserve"> et al. 2022). This is derived from a result found in Pennington et al. (2000) who investigated length frequency sampling and, based on the level of intra-haul correlation, determined that for the species that were investigated, on average, the ISS was one fish per haul. </w:t>
      </w:r>
      <w:proofErr w:type="gramStart"/>
      <w:r>
        <w:t xml:space="preserve">However, we note that the conclusion made in Pennington et al. (2000) was not that the number of hauls should be used as a </w:t>
      </w:r>
      <w:r>
        <w:lastRenderedPageBreak/>
        <w:t>proxy for ISS in the assessment model data fitting procedure, but, rather, that in order to potentially increase the ISS and have a better estimate of the level of intra-haul correlation that samples should be taken from an increased number of hauls.</w:t>
      </w:r>
      <w:proofErr w:type="gramEnd"/>
      <w:r>
        <w:t xml:space="preserve"> This result </w:t>
      </w:r>
      <w:proofErr w:type="gramStart"/>
      <w:r>
        <w:t>was further substantiated</w:t>
      </w:r>
      <w:proofErr w:type="gramEnd"/>
      <w:r>
        <w:t xml:space="preserve"> in </w:t>
      </w:r>
      <w:proofErr w:type="spellStart"/>
      <w:r>
        <w:t>Siskey</w:t>
      </w:r>
      <w:proofErr w:type="spellEnd"/>
      <w:r>
        <w:t xml:space="preserve">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Here, we suggest that unless ageing error is accounted for in the age composition ISS used to fit these data then we are likely ‘over-fitting’ the model estimates to the ‘observed’ age composition and that the use of only an ageing error matrix </w:t>
      </w:r>
      <w:del w:id="21" w:author="Ben.Williams" w:date="2023-09-01T09:55:00Z">
        <w:r w:rsidDel="007209CD">
          <w:delText>half-way</w:delText>
        </w:r>
      </w:del>
      <w:ins w:id="22" w:author="Ben.Williams" w:date="2023-09-01T09:55:00Z">
        <w:r w:rsidR="007209CD">
          <w:t>partially</w:t>
        </w:r>
      </w:ins>
      <w:r>
        <w:t xml:space="preserve"> accounts for this source of uncertainty in the assessment modeling process. The results from this study suggest that in some cases the addition of ageing error to the </w:t>
      </w:r>
      <w:r>
        <w:lastRenderedPageBreak/>
        <w:t>bootstrap method decreases the age composition ISS to such an extent that an ISS that does not take into account this source of uncertainty can be 125-165% too large.</w:t>
      </w:r>
    </w:p>
    <w:p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However, there have been no previous attempts to include this source of variability when considering the ISS that </w:t>
      </w:r>
      <w:proofErr w:type="gramStart"/>
      <w:r>
        <w:t>is used</w:t>
      </w:r>
      <w:proofErr w:type="gramEnd"/>
      <w:r>
        <w:t xml:space="preserve"> to fit the expanded age composition data. We find that the magnitude of effect on age composition ISS is species type dependent, in which a larger effect 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rsidR="00927AF5" w:rsidRDefault="00B02E4A" w:rsidP="009277A5">
      <w:pPr>
        <w:pStyle w:val="BodyText"/>
        <w:ind w:firstLine="720"/>
      </w:pPr>
      <w:r>
        <w:t xml:space="preserve">An additional consideration is </w:t>
      </w:r>
      <w:proofErr w:type="gramStart"/>
      <w:r>
        <w:t>understanding</w:t>
      </w:r>
      <w:proofErr w:type="gramEnd"/>
      <w:r>
        <w:t xml:space="preserve"> effects of survey reduction effort, </w:t>
      </w:r>
      <w:del w:id="23" w:author="Ben.Williams" w:date="2023-09-01T09:56:00Z">
        <w:r w:rsidDel="007209CD">
          <w:delText xml:space="preserve">which has recently been </w:delText>
        </w:r>
      </w:del>
      <w:r>
        <w:t xml:space="preserve">the focus of a number of </w:t>
      </w:r>
      <w:ins w:id="24"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25" w:author="Ben.Williams" w:date="2023-09-01T09:57:00Z">
        <w:r w:rsidDel="007209CD">
          <w:delText xml:space="preserve">as example </w:delText>
        </w:r>
      </w:del>
      <w:r>
        <w:t>(</w:t>
      </w:r>
      <w:proofErr w:type="spellStart"/>
      <w:r>
        <w:t>Hulson</w:t>
      </w:r>
      <w:proofErr w:type="spellEnd"/>
      <w:r>
        <w:t xml:space="preserve"> et al. in review) </w:t>
      </w:r>
      <w:del w:id="26" w:author="Ben.Williams" w:date="2023-09-01T09:57:00Z">
        <w:r w:rsidDel="007209CD">
          <w:delText xml:space="preserve">and </w:delText>
        </w:r>
      </w:del>
      <w:r>
        <w:t xml:space="preserve">found that reduction in age collections had </w:t>
      </w:r>
      <w:ins w:id="27" w:author="Ben.Williams" w:date="2023-09-01T09:57:00Z">
        <w:r w:rsidR="007209CD">
          <w:t xml:space="preserve">a </w:t>
        </w:r>
      </w:ins>
      <w:r>
        <w:t xml:space="preserve">larger effect on age composition uncertainty for flatfish and rockfish as compared to </w:t>
      </w:r>
      <w:proofErr w:type="spellStart"/>
      <w:r>
        <w:t>gadids</w:t>
      </w:r>
      <w:proofErr w:type="spellEnd"/>
      <w:r>
        <w:t xml:space="preserve">. Here we find that including additional sources of uncertainty has </w:t>
      </w:r>
      <w:ins w:id="28" w:author="Ben.Williams" w:date="2023-09-01T09:59:00Z">
        <w:r w:rsidR="007209CD">
          <w:t xml:space="preserve">a greater </w:t>
        </w:r>
      </w:ins>
      <w:del w:id="29" w:author="Ben.Williams" w:date="2023-09-01T09:59:00Z">
        <w:r w:rsidDel="007209CD">
          <w:delText>largest</w:delText>
        </w:r>
      </w:del>
      <w:r>
        <w:t xml:space="preserve"> effect on </w:t>
      </w:r>
      <w:proofErr w:type="spellStart"/>
      <w:r>
        <w:t>gadids</w:t>
      </w:r>
      <w:proofErr w:type="spellEnd"/>
      <w:r>
        <w:t xml:space="preserve">, and </w:t>
      </w:r>
      <w:del w:id="30" w:author="Ben.Williams" w:date="2023-09-01T09:59:00Z">
        <w:r w:rsidDel="007209CD">
          <w:delText xml:space="preserve">smallest </w:delText>
        </w:r>
      </w:del>
      <w:ins w:id="31" w:author="Ben.Williams" w:date="2023-09-01T09:59:00Z">
        <w:r w:rsidR="007209CD">
          <w:t>less impact</w:t>
        </w:r>
        <w:r w:rsidR="007209CD">
          <w:t xml:space="preserve"> </w:t>
        </w:r>
      </w:ins>
      <w:r>
        <w:t xml:space="preserve">on rockfish. It is potentially the case that the effect of decreases in sampling effort for </w:t>
      </w:r>
      <w:proofErr w:type="spellStart"/>
      <w:r>
        <w:lastRenderedPageBreak/>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rsidR="009277A5" w:rsidRDefault="009277A5" w:rsidP="009277A5">
      <w:pPr>
        <w:pStyle w:val="BodyText"/>
      </w:pPr>
    </w:p>
    <w:p w:rsidR="00927AF5" w:rsidRDefault="00B02E4A">
      <w:pPr>
        <w:pStyle w:val="Heading1"/>
      </w:pPr>
      <w:bookmarkStart w:id="32" w:name="conclusions"/>
      <w:bookmarkEnd w:id="19"/>
      <w:r>
        <w:t>5. Conclusions</w:t>
      </w:r>
    </w:p>
    <w:p w:rsidR="00927AF5" w:rsidRDefault="00B02E4A" w:rsidP="009277A5">
      <w:pPr>
        <w:pStyle w:val="FirstParagraph"/>
        <w:ind w:firstLine="720"/>
      </w:pPr>
      <w:r>
        <w:t xml:space="preserve">Overall, we find that expanding upon the method introduced by Stewart and </w:t>
      </w:r>
      <w:proofErr w:type="spellStart"/>
      <w:r>
        <w:t>Monnahan</w:t>
      </w:r>
      <w:proofErr w:type="spellEnd"/>
      <w:r>
        <w:t xml:space="preserve">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w:t>
      </w:r>
      <w:proofErr w:type="spellStart"/>
      <w:r>
        <w:t>Monnahan</w:t>
      </w:r>
      <w:proofErr w:type="spellEnd"/>
      <w:r>
        <w:t xml:space="preserve"> 2017) to set age and length composition ISS. With modern computing power, for a single species using the package we built (</w:t>
      </w:r>
      <w:hyperlink r:id="rId10">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rsidR="009277A5" w:rsidRPr="009277A5" w:rsidRDefault="009277A5" w:rsidP="009277A5">
      <w:pPr>
        <w:pStyle w:val="BodyText"/>
      </w:pPr>
    </w:p>
    <w:p w:rsidR="00927AF5" w:rsidRDefault="00B02E4A">
      <w:pPr>
        <w:pStyle w:val="Heading1"/>
      </w:pPr>
      <w:bookmarkStart w:id="33" w:name="acknowledgements"/>
      <w:bookmarkEnd w:id="32"/>
      <w:r>
        <w:t>Acknowledgements</w:t>
      </w:r>
    </w:p>
    <w:p w:rsidR="00927AF5" w:rsidRDefault="00B02E4A">
      <w:pPr>
        <w:pStyle w:val="FirstParagraph"/>
      </w:pPr>
      <w:r>
        <w:t xml:space="preserve">We thank Dan </w:t>
      </w:r>
      <w:proofErr w:type="spellStart"/>
      <w:r>
        <w:t>Goethel</w:t>
      </w:r>
      <w:proofErr w:type="spellEnd"/>
      <w:r>
        <w:t xml:space="preserve"> and Cole </w:t>
      </w:r>
      <w:proofErr w:type="spellStart"/>
      <w:r>
        <w:t>Monnahan</w:t>
      </w:r>
      <w:proofErr w:type="spellEnd"/>
      <w:r>
        <w:t xml:space="preserve"> for their helpful reviews of this manuscript. We also thank all the AFSC survey staff who collected the data over the last 40 years used in this </w:t>
      </w:r>
      <w:r>
        <w:lastRenderedPageBreak/>
        <w:t>analysis. This research did not receive any specific grant from funding agencies in the public, commercial, or not-for-profit sectors.</w:t>
      </w:r>
    </w:p>
    <w:p w:rsidR="009277A5" w:rsidRPr="009277A5" w:rsidRDefault="009277A5" w:rsidP="009277A5">
      <w:pPr>
        <w:pStyle w:val="BodyText"/>
      </w:pPr>
    </w:p>
    <w:p w:rsidR="00927AF5" w:rsidRDefault="00B02E4A">
      <w:pPr>
        <w:pStyle w:val="Heading1"/>
      </w:pPr>
      <w:bookmarkStart w:id="34" w:name="author-contribution"/>
      <w:bookmarkEnd w:id="33"/>
      <w:r>
        <w:t>Author contribution</w:t>
      </w:r>
    </w:p>
    <w:p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rsidR="00927AF5" w:rsidRDefault="00B02E4A">
      <w:r>
        <w:br w:type="page"/>
      </w:r>
    </w:p>
    <w:p w:rsidR="00927AF5" w:rsidRDefault="00B02E4A">
      <w:pPr>
        <w:pStyle w:val="Heading1"/>
      </w:pPr>
      <w:bookmarkStart w:id="35" w:name="citations"/>
      <w:bookmarkEnd w:id="34"/>
      <w:r>
        <w:lastRenderedPageBreak/>
        <w:t>Citations</w:t>
      </w:r>
    </w:p>
    <w:p w:rsidR="00927AF5" w:rsidRDefault="00B02E4A" w:rsidP="009277A5">
      <w:pPr>
        <w:pStyle w:val="Bibliography"/>
        <w:ind w:left="720" w:hanging="720"/>
      </w:pPr>
      <w:bookmarkStart w:id="36" w:name="ref-Ailloud2019"/>
      <w:bookmarkStart w:id="37"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1">
        <w:r>
          <w:rPr>
            <w:rStyle w:val="Hyperlink"/>
          </w:rPr>
          <w:t>10.1093/</w:t>
        </w:r>
        <w:proofErr w:type="spellStart"/>
        <w:r>
          <w:rPr>
            <w:rStyle w:val="Hyperlink"/>
          </w:rPr>
          <w:t>icesjms</w:t>
        </w:r>
        <w:proofErr w:type="spellEnd"/>
        <w:r>
          <w:rPr>
            <w:rStyle w:val="Hyperlink"/>
          </w:rPr>
          <w:t>/fsz072</w:t>
        </w:r>
      </w:hyperlink>
      <w:r>
        <w:t>.</w:t>
      </w:r>
    </w:p>
    <w:p w:rsidR="00927AF5" w:rsidRDefault="00B02E4A" w:rsidP="009277A5">
      <w:pPr>
        <w:pStyle w:val="Bibliography"/>
        <w:ind w:left="720" w:hanging="720"/>
      </w:pPr>
      <w:bookmarkStart w:id="38" w:name="ref-Barbeaux2022"/>
      <w:bookmarkEnd w:id="36"/>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rsidR="00927AF5" w:rsidRDefault="00B02E4A" w:rsidP="009277A5">
      <w:pPr>
        <w:pStyle w:val="Bibliography"/>
        <w:ind w:left="720" w:hanging="720"/>
      </w:pPr>
      <w:bookmarkStart w:id="39" w:name="ref-Candy2012"/>
      <w:bookmarkEnd w:id="38"/>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2">
        <w:r>
          <w:rPr>
            <w:rStyle w:val="Hyperlink"/>
          </w:rPr>
          <w:t>10.1016/j.fishres.2011.11.005</w:t>
        </w:r>
      </w:hyperlink>
      <w:r>
        <w:t>.</w:t>
      </w:r>
    </w:p>
    <w:p w:rsidR="00927AF5" w:rsidRDefault="00B02E4A" w:rsidP="009277A5">
      <w:pPr>
        <w:pStyle w:val="Bibliography"/>
        <w:ind w:left="720" w:hanging="720"/>
      </w:pPr>
      <w:bookmarkStart w:id="40" w:name="ref-Henriquez2016"/>
      <w:bookmarkEnd w:id="39"/>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3">
        <w:r>
          <w:rPr>
            <w:rStyle w:val="Hyperlink"/>
          </w:rPr>
          <w:t>10.1093/</w:t>
        </w:r>
        <w:proofErr w:type="spellStart"/>
        <w:r>
          <w:rPr>
            <w:rStyle w:val="Hyperlink"/>
          </w:rPr>
          <w:t>icesjms</w:t>
        </w:r>
        <w:proofErr w:type="spellEnd"/>
        <w:r>
          <w:rPr>
            <w:rStyle w:val="Hyperlink"/>
          </w:rPr>
          <w:t>/fsv270</w:t>
        </w:r>
      </w:hyperlink>
      <w:r>
        <w:t>.</w:t>
      </w:r>
    </w:p>
    <w:p w:rsidR="00927AF5" w:rsidRDefault="00B02E4A" w:rsidP="009277A5">
      <w:pPr>
        <w:pStyle w:val="Bibliography"/>
        <w:ind w:left="720" w:hanging="720"/>
      </w:pPr>
      <w:bookmarkStart w:id="41" w:name="ref-Hulson2012"/>
      <w:bookmarkEnd w:id="40"/>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4">
        <w:r>
          <w:rPr>
            <w:rStyle w:val="Hyperlink"/>
          </w:rPr>
          <w:t>10.1093/</w:t>
        </w:r>
        <w:proofErr w:type="spellStart"/>
        <w:r>
          <w:rPr>
            <w:rStyle w:val="Hyperlink"/>
          </w:rPr>
          <w:t>icesjms</w:t>
        </w:r>
        <w:proofErr w:type="spellEnd"/>
        <w:r>
          <w:rPr>
            <w:rStyle w:val="Hyperlink"/>
          </w:rPr>
          <w:t>/fsr189</w:t>
        </w:r>
      </w:hyperlink>
      <w:r>
        <w:t>.</w:t>
      </w:r>
    </w:p>
    <w:p w:rsidR="00927AF5" w:rsidRDefault="00B02E4A" w:rsidP="009277A5">
      <w:pPr>
        <w:pStyle w:val="Bibliography"/>
        <w:ind w:left="720" w:hanging="720"/>
      </w:pPr>
      <w:bookmarkStart w:id="42" w:name="ref-Hulson2023c"/>
      <w:bookmarkEnd w:id="41"/>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rsidR="00927AF5" w:rsidRDefault="00B02E4A" w:rsidP="009277A5">
      <w:pPr>
        <w:pStyle w:val="Bibliography"/>
        <w:ind w:left="720" w:hanging="720"/>
      </w:pPr>
      <w:bookmarkStart w:id="43" w:name="ref-Hulson2021"/>
      <w:bookmarkEnd w:id="42"/>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rsidR="00927AF5" w:rsidRDefault="00B02E4A" w:rsidP="009277A5">
      <w:pPr>
        <w:pStyle w:val="Bibliography"/>
        <w:ind w:left="720" w:hanging="720"/>
      </w:pPr>
      <w:bookmarkStart w:id="44" w:name="ref-Hulson2023b"/>
      <w:bookmarkEnd w:id="43"/>
      <w:proofErr w:type="spellStart"/>
      <w:r>
        <w:lastRenderedPageBreak/>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rsidR="00927AF5" w:rsidRDefault="00B02E4A" w:rsidP="009277A5">
      <w:pPr>
        <w:pStyle w:val="Bibliography"/>
        <w:ind w:left="720" w:hanging="720"/>
      </w:pPr>
      <w:bookmarkStart w:id="45" w:name="ref-ICES2020"/>
      <w:bookmarkEnd w:id="44"/>
      <w:r>
        <w:t xml:space="preserve">ICES. 2020. Workshop on unavoidable survey effort reduction (WKUSER). ICES Scientific Reports. </w:t>
      </w:r>
      <w:proofErr w:type="spellStart"/>
      <w:proofErr w:type="gramStart"/>
      <w:r>
        <w:t>doi</w:t>
      </w:r>
      <w:proofErr w:type="spellEnd"/>
      <w:proofErr w:type="gramEnd"/>
      <w:r>
        <w:t xml:space="preserve">: </w:t>
      </w:r>
      <w:hyperlink r:id="rId15">
        <w:r>
          <w:rPr>
            <w:rStyle w:val="Hyperlink"/>
          </w:rPr>
          <w:t>10.17895/ices.pub.7453</w:t>
        </w:r>
      </w:hyperlink>
      <w:r>
        <w:t>.</w:t>
      </w:r>
    </w:p>
    <w:p w:rsidR="00927AF5" w:rsidRDefault="00B02E4A" w:rsidP="009277A5">
      <w:pPr>
        <w:pStyle w:val="Bibliography"/>
        <w:ind w:left="720" w:hanging="720"/>
      </w:pPr>
      <w:bookmarkStart w:id="46" w:name="ref-ICES2023"/>
      <w:bookmarkEnd w:id="45"/>
      <w:r>
        <w:t xml:space="preserve">ICES. 2023. Workshop on unavoidable survey effort reduction 2 (WKUSER). ICES Scientific Reports. </w:t>
      </w:r>
      <w:proofErr w:type="spellStart"/>
      <w:proofErr w:type="gramStart"/>
      <w:r>
        <w:t>doi</w:t>
      </w:r>
      <w:proofErr w:type="spellEnd"/>
      <w:proofErr w:type="gramEnd"/>
      <w:r>
        <w:t xml:space="preserve">: </w:t>
      </w:r>
      <w:hyperlink r:id="rId16">
        <w:r>
          <w:rPr>
            <w:rStyle w:val="Hyperlink"/>
          </w:rPr>
          <w:t>10.17895/ices.pub.22086845.v1</w:t>
        </w:r>
      </w:hyperlink>
      <w:r>
        <w:t>.</w:t>
      </w:r>
    </w:p>
    <w:p w:rsidR="00927AF5" w:rsidRDefault="00B02E4A" w:rsidP="009277A5">
      <w:pPr>
        <w:pStyle w:val="Bibliography"/>
        <w:ind w:left="720" w:hanging="720"/>
      </w:pPr>
      <w:bookmarkStart w:id="47" w:name="ref-Kimura1991"/>
      <w:bookmarkEnd w:id="46"/>
      <w:r>
        <w:t>Kimura, D.K., and Lyons, J.J. 1991. Between-reader bias and variability in the age-determination process. Fishery Bulletin, U. S. 89: 53–60.</w:t>
      </w:r>
    </w:p>
    <w:p w:rsidR="00927AF5" w:rsidRDefault="00B02E4A" w:rsidP="009277A5">
      <w:pPr>
        <w:pStyle w:val="Bibliography"/>
        <w:ind w:left="720" w:hanging="720"/>
      </w:pPr>
      <w:bookmarkStart w:id="48" w:name="ref-Lauth2019"/>
      <w:bookmarkEnd w:id="47"/>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rsidR="00927AF5" w:rsidRDefault="00B02E4A" w:rsidP="009277A5">
      <w:pPr>
        <w:pStyle w:val="Bibliography"/>
        <w:ind w:left="720" w:hanging="720"/>
      </w:pPr>
      <w:bookmarkStart w:id="49" w:name="ref-Liao2013"/>
      <w:bookmarkEnd w:id="48"/>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7">
        <w:r>
          <w:rPr>
            <w:rStyle w:val="Hyperlink"/>
          </w:rPr>
          <w:t>10.1080/00028487.2012.705255</w:t>
        </w:r>
      </w:hyperlink>
      <w:r>
        <w:t>.</w:t>
      </w:r>
    </w:p>
    <w:p w:rsidR="00927AF5" w:rsidRDefault="00B02E4A" w:rsidP="009277A5">
      <w:pPr>
        <w:pStyle w:val="Bibliography"/>
        <w:ind w:left="720" w:hanging="720"/>
      </w:pPr>
      <w:bookmarkStart w:id="50" w:name="ref-Mcallister1997"/>
      <w:bookmarkEnd w:id="49"/>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18">
        <w:r>
          <w:rPr>
            <w:rStyle w:val="Hyperlink"/>
          </w:rPr>
          <w:t>10.1139/f96-285</w:t>
        </w:r>
      </w:hyperlink>
      <w:r>
        <w:t>.</w:t>
      </w:r>
    </w:p>
    <w:p w:rsidR="00927AF5" w:rsidRDefault="00B02E4A" w:rsidP="009277A5">
      <w:pPr>
        <w:pStyle w:val="Bibliography"/>
        <w:ind w:left="720" w:hanging="720"/>
      </w:pPr>
      <w:bookmarkStart w:id="51" w:name="ref-Miller2006"/>
      <w:bookmarkEnd w:id="50"/>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19">
        <w:r>
          <w:rPr>
            <w:rStyle w:val="Hyperlink"/>
          </w:rPr>
          <w:t>10.1139/f06-022</w:t>
        </w:r>
      </w:hyperlink>
      <w:r>
        <w:t>.</w:t>
      </w:r>
    </w:p>
    <w:p w:rsidR="00927AF5" w:rsidRDefault="00B02E4A" w:rsidP="009277A5">
      <w:pPr>
        <w:pStyle w:val="Bibliography"/>
        <w:ind w:left="720" w:hanging="720"/>
      </w:pPr>
      <w:bookmarkStart w:id="52" w:name="ref-Monnahan2021"/>
      <w:bookmarkEnd w:id="51"/>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rsidR="00927AF5" w:rsidRDefault="00B02E4A" w:rsidP="009277A5">
      <w:pPr>
        <w:pStyle w:val="Bibliography"/>
        <w:ind w:left="720" w:hanging="720"/>
      </w:pPr>
      <w:bookmarkStart w:id="53" w:name="ref-Morison2005"/>
      <w:bookmarkEnd w:id="52"/>
      <w:r>
        <w:lastRenderedPageBreak/>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0">
        <w:r>
          <w:rPr>
            <w:rStyle w:val="Hyperlink"/>
          </w:rPr>
          <w:t>10.1071/MF04217</w:t>
        </w:r>
      </w:hyperlink>
      <w:r>
        <w:t>.</w:t>
      </w:r>
    </w:p>
    <w:p w:rsidR="00927AF5" w:rsidRDefault="00B02E4A" w:rsidP="009277A5">
      <w:pPr>
        <w:pStyle w:val="Bibliography"/>
        <w:ind w:left="720" w:hanging="720"/>
      </w:pPr>
      <w:bookmarkStart w:id="54" w:name="ref-Nesslage2022"/>
      <w:bookmarkEnd w:id="53"/>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1">
        <w:r>
          <w:rPr>
            <w:rStyle w:val="Hyperlink"/>
          </w:rPr>
          <w:t>10.1016/j.fishres.2022.106255</w:t>
        </w:r>
      </w:hyperlink>
      <w:r>
        <w:t>.</w:t>
      </w:r>
    </w:p>
    <w:p w:rsidR="00927AF5" w:rsidRDefault="00B02E4A" w:rsidP="009277A5">
      <w:pPr>
        <w:pStyle w:val="Bibliography"/>
        <w:ind w:left="720" w:hanging="720"/>
      </w:pPr>
      <w:bookmarkStart w:id="55" w:name="ref-Pennington2000"/>
      <w:bookmarkEnd w:id="54"/>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rsidR="00927AF5" w:rsidRDefault="00B02E4A" w:rsidP="009277A5">
      <w:pPr>
        <w:pStyle w:val="Bibliography"/>
        <w:ind w:left="720" w:hanging="720"/>
      </w:pPr>
      <w:bookmarkStart w:id="56" w:name="ref-Pennington1994"/>
      <w:bookmarkEnd w:id="55"/>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2">
        <w:r>
          <w:rPr>
            <w:rStyle w:val="Hyperlink"/>
          </w:rPr>
          <w:t>10.2307/2532786</w:t>
        </w:r>
      </w:hyperlink>
      <w:r>
        <w:t>.</w:t>
      </w:r>
    </w:p>
    <w:p w:rsidR="00927AF5" w:rsidRDefault="00B02E4A" w:rsidP="009277A5">
      <w:pPr>
        <w:pStyle w:val="Bibliography"/>
        <w:ind w:left="720" w:hanging="720"/>
      </w:pPr>
      <w:bookmarkStart w:id="57" w:name="ref-Punt2008"/>
      <w:bookmarkEnd w:id="56"/>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3">
        <w:r>
          <w:rPr>
            <w:rStyle w:val="Hyperlink"/>
          </w:rPr>
          <w:t>10.1139/F08-111</w:t>
        </w:r>
      </w:hyperlink>
      <w:r>
        <w:t>.</w:t>
      </w:r>
    </w:p>
    <w:p w:rsidR="00927AF5" w:rsidRDefault="00B02E4A" w:rsidP="009277A5">
      <w:pPr>
        <w:pStyle w:val="Bibliography"/>
        <w:ind w:left="720" w:hanging="720"/>
      </w:pPr>
      <w:bookmarkStart w:id="58" w:name="ref-Punt2021"/>
      <w:bookmarkEnd w:id="57"/>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4">
        <w:r>
          <w:rPr>
            <w:rStyle w:val="Hyperlink"/>
          </w:rPr>
          <w:t>10.1016/j.fishres.2021.105904</w:t>
        </w:r>
      </w:hyperlink>
      <w:r>
        <w:t>.</w:t>
      </w:r>
    </w:p>
    <w:p w:rsidR="00927AF5" w:rsidRDefault="00B02E4A" w:rsidP="009277A5">
      <w:pPr>
        <w:pStyle w:val="Bibliography"/>
        <w:ind w:left="720" w:hanging="720"/>
      </w:pPr>
      <w:bookmarkStart w:id="59" w:name="ref-QuinnDeriso1999"/>
      <w:bookmarkEnd w:id="58"/>
      <w:r>
        <w:t xml:space="preserve">Quinn, T., and </w:t>
      </w:r>
      <w:proofErr w:type="spellStart"/>
      <w:r>
        <w:t>Deriso</w:t>
      </w:r>
      <w:proofErr w:type="spellEnd"/>
      <w:r>
        <w:t>, R. 1999. Quantitative Fish Dynamics. Oxford University Press, New York, NY.</w:t>
      </w:r>
    </w:p>
    <w:p w:rsidR="00927AF5" w:rsidRDefault="00B02E4A" w:rsidP="009277A5">
      <w:pPr>
        <w:pStyle w:val="Bibliography"/>
        <w:ind w:left="720" w:hanging="720"/>
      </w:pPr>
      <w:bookmarkStart w:id="60" w:name="ref-Rcore"/>
      <w:bookmarkEnd w:id="59"/>
      <w:r>
        <w:t xml:space="preserve">R Core Team. 2022. R: A Language and Environment for Statistical Computing. R Foundation for Statistical Computing, Vienna, Austria. Available from </w:t>
      </w:r>
      <w:hyperlink r:id="rId25">
        <w:r>
          <w:rPr>
            <w:rStyle w:val="Hyperlink"/>
          </w:rPr>
          <w:t>https://www.R-project.org/</w:t>
        </w:r>
      </w:hyperlink>
      <w:r>
        <w:t>.</w:t>
      </w:r>
    </w:p>
    <w:p w:rsidR="00927AF5" w:rsidRDefault="00B02E4A" w:rsidP="009277A5">
      <w:pPr>
        <w:pStyle w:val="Bibliography"/>
        <w:ind w:left="720" w:hanging="720"/>
      </w:pPr>
      <w:bookmarkStart w:id="61" w:name="ref-Siskey2023"/>
      <w:bookmarkEnd w:id="60"/>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6">
        <w:r>
          <w:rPr>
            <w:rStyle w:val="Hyperlink"/>
          </w:rPr>
          <w:t>10.1139/cjfas-2022-0050</w:t>
        </w:r>
      </w:hyperlink>
      <w:r>
        <w:t>.</w:t>
      </w:r>
    </w:p>
    <w:p w:rsidR="00927AF5" w:rsidRDefault="00B02E4A" w:rsidP="009277A5">
      <w:pPr>
        <w:pStyle w:val="Bibliography"/>
        <w:ind w:left="720" w:hanging="720"/>
      </w:pPr>
      <w:bookmarkStart w:id="62" w:name="ref-Spencer2022"/>
      <w:bookmarkEnd w:id="61"/>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w:t>
      </w:r>
      <w:r>
        <w:lastRenderedPageBreak/>
        <w:t>Management Council, 1007 West 3rd Ave., Suite 400, L92 Building, 4th floor, Anchorage, AK 99501.</w:t>
      </w:r>
    </w:p>
    <w:p w:rsidR="00927AF5" w:rsidRDefault="00B02E4A" w:rsidP="009277A5">
      <w:pPr>
        <w:pStyle w:val="Bibliography"/>
        <w:ind w:left="720" w:hanging="720"/>
      </w:pPr>
      <w:bookmarkStart w:id="63" w:name="ref-Stewart2014"/>
      <w:bookmarkEnd w:id="62"/>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7">
        <w:r>
          <w:rPr>
            <w:rStyle w:val="Hyperlink"/>
          </w:rPr>
          <w:t>10.1139/cjfas-2013-0289</w:t>
        </w:r>
      </w:hyperlink>
      <w:r>
        <w:t>.</w:t>
      </w:r>
    </w:p>
    <w:p w:rsidR="00927AF5" w:rsidRDefault="00B02E4A" w:rsidP="009277A5">
      <w:pPr>
        <w:pStyle w:val="Bibliography"/>
        <w:ind w:left="720" w:hanging="720"/>
      </w:pPr>
      <w:bookmarkStart w:id="64" w:name="ref-Stewart2017"/>
      <w:bookmarkEnd w:id="63"/>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28">
        <w:r>
          <w:rPr>
            <w:rStyle w:val="Hyperlink"/>
          </w:rPr>
          <w:t>10.1016/j.fishres.2016.06.018</w:t>
        </w:r>
      </w:hyperlink>
      <w:r>
        <w:t>.</w:t>
      </w:r>
    </w:p>
    <w:p w:rsidR="00927AF5" w:rsidRDefault="00B02E4A" w:rsidP="009277A5">
      <w:pPr>
        <w:pStyle w:val="Bibliography"/>
        <w:ind w:left="720" w:hanging="720"/>
      </w:pPr>
      <w:bookmarkStart w:id="65" w:name="ref-Taylor2013"/>
      <w:bookmarkEnd w:id="64"/>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29">
        <w:r>
          <w:rPr>
            <w:rStyle w:val="Hyperlink"/>
          </w:rPr>
          <w:t>10.1016/j.fishres.2012.08.021</w:t>
        </w:r>
      </w:hyperlink>
      <w:r>
        <w:t>.</w:t>
      </w:r>
    </w:p>
    <w:p w:rsidR="00927AF5" w:rsidRDefault="00B02E4A" w:rsidP="009277A5">
      <w:pPr>
        <w:pStyle w:val="Bibliography"/>
        <w:ind w:left="720" w:hanging="720"/>
      </w:pPr>
      <w:bookmarkStart w:id="66" w:name="ref-Thorson2019"/>
      <w:bookmarkEnd w:id="65"/>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0">
        <w:r>
          <w:rPr>
            <w:rStyle w:val="Hyperlink"/>
          </w:rPr>
          <w:t>10.1139/cjfas-2018-0015</w:t>
        </w:r>
      </w:hyperlink>
      <w:r>
        <w:t>.</w:t>
      </w:r>
    </w:p>
    <w:p w:rsidR="00927AF5" w:rsidRDefault="00B02E4A" w:rsidP="009277A5">
      <w:pPr>
        <w:pStyle w:val="Bibliography"/>
        <w:ind w:left="720" w:hanging="720"/>
      </w:pPr>
      <w:bookmarkStart w:id="67" w:name="ref-Thorson2023"/>
      <w:bookmarkEnd w:id="66"/>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rsidR="00927AF5" w:rsidRDefault="00B02E4A" w:rsidP="009277A5">
      <w:pPr>
        <w:pStyle w:val="Bibliography"/>
        <w:ind w:left="720" w:hanging="720"/>
      </w:pPr>
      <w:bookmarkStart w:id="68" w:name="ref-vonSzalay2018"/>
      <w:bookmarkEnd w:id="67"/>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rsidR="00927AF5" w:rsidRDefault="00B02E4A" w:rsidP="009277A5">
      <w:pPr>
        <w:pStyle w:val="Bibliography"/>
        <w:ind w:left="720" w:hanging="720"/>
      </w:pPr>
      <w:bookmarkStart w:id="69" w:name="ref-vonSzalay2017"/>
      <w:bookmarkEnd w:id="68"/>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rsidR="00927AF5" w:rsidRDefault="00B02E4A" w:rsidP="009277A5">
      <w:pPr>
        <w:pStyle w:val="Bibliography"/>
        <w:ind w:left="720" w:hanging="720"/>
      </w:pPr>
      <w:bookmarkStart w:id="70" w:name="ref-Williams2022"/>
      <w:bookmarkEnd w:id="69"/>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rsidR="00927AF5" w:rsidRDefault="00B02E4A" w:rsidP="009277A5">
      <w:pPr>
        <w:pStyle w:val="Bibliography"/>
        <w:ind w:left="720" w:hanging="720"/>
      </w:pPr>
      <w:bookmarkStart w:id="71" w:name="ref-Xu2020"/>
      <w:bookmarkEnd w:id="70"/>
      <w:r>
        <w:lastRenderedPageBreak/>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1">
        <w:r>
          <w:rPr>
            <w:rStyle w:val="Hyperlink"/>
          </w:rPr>
          <w:t>10.1139/cjfas-2019-0107</w:t>
        </w:r>
      </w:hyperlink>
      <w:r>
        <w:t>.</w:t>
      </w:r>
    </w:p>
    <w:bookmarkEnd w:id="37"/>
    <w:bookmarkEnd w:id="71"/>
    <w:p w:rsidR="00927AF5" w:rsidRDefault="00B02E4A">
      <w:r>
        <w:br w:type="page"/>
      </w:r>
    </w:p>
    <w:p w:rsidR="00927AF5" w:rsidRDefault="00B02E4A">
      <w:pPr>
        <w:pStyle w:val="Heading1"/>
      </w:pPr>
      <w:bookmarkStart w:id="72" w:name="tables"/>
      <w:bookmarkEnd w:id="35"/>
      <w:r>
        <w:lastRenderedPageBreak/>
        <w:t>Tables</w:t>
      </w:r>
    </w:p>
    <w:p w:rsidR="00927AF5" w:rsidRPr="009277A5" w:rsidRDefault="00B02E4A">
      <w:pPr>
        <w:pStyle w:val="TableCaption"/>
        <w:rPr>
          <w:i w:val="0"/>
        </w:rPr>
      </w:pPr>
      <w:bookmarkStart w:id="73" w:name="tab:species-samples"/>
      <w:bookmarkEnd w:id="73"/>
      <w:r w:rsidRPr="009277A5">
        <w:rPr>
          <w:i w:val="0"/>
        </w:rPr>
        <w:t>Table 1: Average annual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927AF5" w:rsidTr="009277A5">
        <w:trPr>
          <w:tblHeader/>
        </w:trPr>
        <w:tc>
          <w:tcPr>
            <w:tcW w:w="0" w:type="auto"/>
            <w:tcBorders>
              <w:bottom w:val="single" w:sz="4" w:space="0" w:color="auto"/>
            </w:tcBorders>
          </w:tcPr>
          <w:p w:rsidR="00927AF5" w:rsidRDefault="00B02E4A">
            <w:pPr>
              <w:pStyle w:val="Compact"/>
            </w:pPr>
            <w:r>
              <w:t>Stock</w:t>
            </w:r>
          </w:p>
        </w:tc>
        <w:tc>
          <w:tcPr>
            <w:tcW w:w="0" w:type="auto"/>
            <w:tcBorders>
              <w:bottom w:val="single" w:sz="4" w:space="0" w:color="auto"/>
            </w:tcBorders>
          </w:tcPr>
          <w:p w:rsidR="00927AF5" w:rsidRDefault="00B02E4A">
            <w:pPr>
              <w:pStyle w:val="Compact"/>
            </w:pPr>
            <w:r>
              <w:t>Scientific name</w:t>
            </w:r>
          </w:p>
        </w:tc>
        <w:tc>
          <w:tcPr>
            <w:tcW w:w="0" w:type="auto"/>
            <w:tcBorders>
              <w:bottom w:val="single" w:sz="4" w:space="0" w:color="auto"/>
            </w:tcBorders>
          </w:tcPr>
          <w:p w:rsidR="00927AF5" w:rsidRDefault="00B02E4A">
            <w:pPr>
              <w:pStyle w:val="Compact"/>
              <w:jc w:val="center"/>
            </w:pPr>
            <w:r>
              <w:t>AI</w:t>
            </w:r>
          </w:p>
        </w:tc>
        <w:tc>
          <w:tcPr>
            <w:tcW w:w="0" w:type="auto"/>
            <w:tcBorders>
              <w:bottom w:val="single" w:sz="4" w:space="0" w:color="auto"/>
            </w:tcBorders>
          </w:tcPr>
          <w:p w:rsidR="00927AF5" w:rsidRDefault="00B02E4A">
            <w:pPr>
              <w:pStyle w:val="Compact"/>
              <w:jc w:val="center"/>
            </w:pPr>
            <w:r>
              <w:t>EBS</w:t>
            </w:r>
          </w:p>
        </w:tc>
        <w:tc>
          <w:tcPr>
            <w:tcW w:w="0" w:type="auto"/>
            <w:tcBorders>
              <w:bottom w:val="single" w:sz="4" w:space="0" w:color="auto"/>
            </w:tcBorders>
          </w:tcPr>
          <w:p w:rsidR="00927AF5" w:rsidRDefault="00B02E4A">
            <w:pPr>
              <w:pStyle w:val="Compact"/>
              <w:jc w:val="center"/>
            </w:pPr>
            <w:r>
              <w:t>GOA</w:t>
            </w:r>
          </w:p>
        </w:tc>
        <w:tc>
          <w:tcPr>
            <w:tcW w:w="0" w:type="auto"/>
            <w:tcBorders>
              <w:bottom w:val="single" w:sz="4" w:space="0" w:color="auto"/>
            </w:tcBorders>
          </w:tcPr>
          <w:p w:rsidR="00927AF5" w:rsidRDefault="00B02E4A">
            <w:pPr>
              <w:pStyle w:val="Compact"/>
              <w:jc w:val="center"/>
            </w:pPr>
            <w:r>
              <w:t>R-T</w:t>
            </w:r>
          </w:p>
        </w:tc>
      </w:tr>
      <w:tr w:rsidR="00927AF5" w:rsidTr="009277A5">
        <w:tc>
          <w:tcPr>
            <w:tcW w:w="0" w:type="auto"/>
            <w:tcBorders>
              <w:top w:val="single" w:sz="4" w:space="0" w:color="auto"/>
            </w:tcBorders>
          </w:tcPr>
          <w:p w:rsidR="00927AF5" w:rsidRDefault="00B02E4A">
            <w:pPr>
              <w:pStyle w:val="Compact"/>
            </w:pPr>
            <w:proofErr w:type="spellStart"/>
            <w:r>
              <w:t>arrowtooth</w:t>
            </w:r>
            <w:proofErr w:type="spellEnd"/>
            <w:r>
              <w:t xml:space="preserve"> flounder</w:t>
            </w:r>
          </w:p>
        </w:tc>
        <w:tc>
          <w:tcPr>
            <w:tcW w:w="0" w:type="auto"/>
            <w:tcBorders>
              <w:top w:val="single" w:sz="4" w:space="0" w:color="auto"/>
            </w:tcBorders>
          </w:tcPr>
          <w:p w:rsidR="00927AF5" w:rsidRPr="009277A5" w:rsidRDefault="00B02E4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rsidR="00927AF5" w:rsidRDefault="00B02E4A">
            <w:pPr>
              <w:pStyle w:val="Compact"/>
              <w:jc w:val="center"/>
            </w:pPr>
            <w:r>
              <w:t>450</w:t>
            </w:r>
          </w:p>
        </w:tc>
        <w:tc>
          <w:tcPr>
            <w:tcW w:w="0" w:type="auto"/>
            <w:tcBorders>
              <w:top w:val="single" w:sz="4" w:space="0" w:color="auto"/>
            </w:tcBorders>
          </w:tcPr>
          <w:p w:rsidR="00927AF5" w:rsidRDefault="00B02E4A">
            <w:pPr>
              <w:pStyle w:val="Compact"/>
              <w:jc w:val="center"/>
            </w:pPr>
            <w:r>
              <w:t>480</w:t>
            </w:r>
          </w:p>
        </w:tc>
        <w:tc>
          <w:tcPr>
            <w:tcW w:w="0" w:type="auto"/>
            <w:tcBorders>
              <w:top w:val="single" w:sz="4" w:space="0" w:color="auto"/>
            </w:tcBorders>
          </w:tcPr>
          <w:p w:rsidR="00927AF5" w:rsidRDefault="00B02E4A">
            <w:pPr>
              <w:pStyle w:val="Compact"/>
              <w:jc w:val="center"/>
            </w:pPr>
            <w:r>
              <w:t>850</w:t>
            </w:r>
          </w:p>
        </w:tc>
        <w:tc>
          <w:tcPr>
            <w:tcW w:w="0" w:type="auto"/>
            <w:tcBorders>
              <w:top w:val="single" w:sz="4" w:space="0" w:color="auto"/>
            </w:tcBorders>
          </w:tcPr>
          <w:p w:rsidR="00927AF5" w:rsidRDefault="00B02E4A">
            <w:pPr>
              <w:pStyle w:val="Compact"/>
              <w:jc w:val="center"/>
            </w:pPr>
            <w:r>
              <w:t>6,100</w:t>
            </w:r>
          </w:p>
        </w:tc>
      </w:tr>
      <w:tr w:rsidR="00927AF5">
        <w:tc>
          <w:tcPr>
            <w:tcW w:w="0" w:type="auto"/>
          </w:tcPr>
          <w:p w:rsidR="00927AF5" w:rsidRDefault="00B02E4A">
            <w:pPr>
              <w:pStyle w:val="Compact"/>
            </w:pPr>
            <w:r>
              <w:t>Atka mackerel</w:t>
            </w:r>
          </w:p>
        </w:tc>
        <w:tc>
          <w:tcPr>
            <w:tcW w:w="0" w:type="auto"/>
          </w:tcPr>
          <w:p w:rsidR="00927AF5" w:rsidRPr="009277A5" w:rsidRDefault="00B02E4A">
            <w:pPr>
              <w:pStyle w:val="Compact"/>
              <w:rPr>
                <w:i/>
              </w:rPr>
            </w:pPr>
            <w:proofErr w:type="spellStart"/>
            <w:r w:rsidRPr="009277A5">
              <w:rPr>
                <w:i/>
              </w:rPr>
              <w:t>Pleurogrammus</w:t>
            </w:r>
            <w:proofErr w:type="spellEnd"/>
            <w:r w:rsidRPr="009277A5">
              <w:rPr>
                <w:i/>
              </w:rPr>
              <w:t xml:space="preserve"> </w:t>
            </w:r>
            <w:proofErr w:type="spellStart"/>
            <w:r w:rsidRPr="009277A5">
              <w:rPr>
                <w:i/>
              </w:rPr>
              <w:t>monopterygius</w:t>
            </w:r>
            <w:proofErr w:type="spellEnd"/>
          </w:p>
        </w:tc>
        <w:tc>
          <w:tcPr>
            <w:tcW w:w="0" w:type="auto"/>
          </w:tcPr>
          <w:p w:rsidR="00927AF5" w:rsidRDefault="00B02E4A">
            <w:pPr>
              <w:pStyle w:val="Compact"/>
              <w:jc w:val="center"/>
            </w:pPr>
            <w:r>
              <w:t>600</w:t>
            </w:r>
          </w:p>
        </w:tc>
        <w:tc>
          <w:tcPr>
            <w:tcW w:w="0" w:type="auto"/>
          </w:tcPr>
          <w:p w:rsidR="00927AF5" w:rsidRDefault="00B02E4A">
            <w:pPr>
              <w:pStyle w:val="Compact"/>
              <w:jc w:val="center"/>
            </w:pPr>
            <w:r>
              <w:t>–</w:t>
            </w:r>
          </w:p>
        </w:tc>
        <w:tc>
          <w:tcPr>
            <w:tcW w:w="0" w:type="auto"/>
          </w:tcPr>
          <w:p w:rsidR="00927AF5" w:rsidRDefault="00B02E4A">
            <w:pPr>
              <w:pStyle w:val="Compact"/>
              <w:jc w:val="center"/>
            </w:pPr>
            <w:r>
              <w:t>–</w:t>
            </w:r>
          </w:p>
        </w:tc>
        <w:tc>
          <w:tcPr>
            <w:tcW w:w="0" w:type="auto"/>
          </w:tcPr>
          <w:p w:rsidR="00927AF5" w:rsidRDefault="00B02E4A">
            <w:pPr>
              <w:pStyle w:val="Compact"/>
              <w:jc w:val="center"/>
            </w:pPr>
            <w:r>
              <w:t>12,900</w:t>
            </w:r>
          </w:p>
        </w:tc>
      </w:tr>
      <w:tr w:rsidR="00927AF5">
        <w:tc>
          <w:tcPr>
            <w:tcW w:w="0" w:type="auto"/>
          </w:tcPr>
          <w:p w:rsidR="00927AF5" w:rsidRDefault="00B02E4A">
            <w:pPr>
              <w:pStyle w:val="Compact"/>
            </w:pPr>
            <w:r>
              <w:t>flathead sole</w:t>
            </w:r>
          </w:p>
        </w:tc>
        <w:tc>
          <w:tcPr>
            <w:tcW w:w="0" w:type="auto"/>
          </w:tcPr>
          <w:p w:rsidR="00927AF5" w:rsidRPr="009277A5" w:rsidRDefault="00B02E4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rsidR="00927AF5" w:rsidRDefault="00B02E4A">
            <w:pPr>
              <w:pStyle w:val="Compact"/>
              <w:jc w:val="center"/>
            </w:pPr>
            <w:r>
              <w:t>–</w:t>
            </w:r>
          </w:p>
        </w:tc>
        <w:tc>
          <w:tcPr>
            <w:tcW w:w="0" w:type="auto"/>
          </w:tcPr>
          <w:p w:rsidR="00927AF5" w:rsidRDefault="00B02E4A">
            <w:pPr>
              <w:pStyle w:val="Compact"/>
              <w:jc w:val="center"/>
            </w:pPr>
            <w:r>
              <w:t>560</w:t>
            </w:r>
          </w:p>
        </w:tc>
        <w:tc>
          <w:tcPr>
            <w:tcW w:w="0" w:type="auto"/>
          </w:tcPr>
          <w:p w:rsidR="00927AF5" w:rsidRDefault="00B02E4A">
            <w:pPr>
              <w:pStyle w:val="Compact"/>
              <w:jc w:val="center"/>
            </w:pPr>
            <w:r>
              <w:t>520</w:t>
            </w:r>
          </w:p>
        </w:tc>
        <w:tc>
          <w:tcPr>
            <w:tcW w:w="0" w:type="auto"/>
          </w:tcPr>
          <w:p w:rsidR="00927AF5" w:rsidRDefault="00B02E4A">
            <w:pPr>
              <w:pStyle w:val="Compact"/>
              <w:jc w:val="center"/>
            </w:pPr>
            <w:r>
              <w:t>9,400</w:t>
            </w:r>
          </w:p>
        </w:tc>
      </w:tr>
      <w:tr w:rsidR="00927AF5">
        <w:tc>
          <w:tcPr>
            <w:tcW w:w="0" w:type="auto"/>
          </w:tcPr>
          <w:p w:rsidR="00927AF5" w:rsidRDefault="00B02E4A">
            <w:pPr>
              <w:pStyle w:val="Compact"/>
            </w:pPr>
            <w:r>
              <w:t>northern rock sole</w:t>
            </w:r>
          </w:p>
        </w:tc>
        <w:tc>
          <w:tcPr>
            <w:tcW w:w="0" w:type="auto"/>
          </w:tcPr>
          <w:p w:rsidR="00927AF5" w:rsidRPr="009277A5" w:rsidRDefault="00B02E4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rsidR="00927AF5" w:rsidRDefault="00B02E4A">
            <w:pPr>
              <w:pStyle w:val="Compact"/>
              <w:jc w:val="center"/>
            </w:pPr>
            <w:r>
              <w:t>–</w:t>
            </w:r>
          </w:p>
        </w:tc>
        <w:tc>
          <w:tcPr>
            <w:tcW w:w="0" w:type="auto"/>
          </w:tcPr>
          <w:p w:rsidR="00927AF5" w:rsidRDefault="00B02E4A">
            <w:pPr>
              <w:pStyle w:val="Compact"/>
              <w:jc w:val="center"/>
            </w:pPr>
            <w:r>
              <w:t>460</w:t>
            </w:r>
          </w:p>
        </w:tc>
        <w:tc>
          <w:tcPr>
            <w:tcW w:w="0" w:type="auto"/>
          </w:tcPr>
          <w:p w:rsidR="00927AF5" w:rsidRDefault="00B02E4A">
            <w:pPr>
              <w:pStyle w:val="Compact"/>
              <w:jc w:val="center"/>
            </w:pPr>
            <w:r>
              <w:t>450</w:t>
            </w:r>
          </w:p>
        </w:tc>
        <w:tc>
          <w:tcPr>
            <w:tcW w:w="0" w:type="auto"/>
          </w:tcPr>
          <w:p w:rsidR="00927AF5" w:rsidRDefault="00B02E4A">
            <w:pPr>
              <w:pStyle w:val="Compact"/>
              <w:jc w:val="center"/>
            </w:pPr>
            <w:r>
              <w:t>8,900</w:t>
            </w:r>
          </w:p>
        </w:tc>
      </w:tr>
      <w:tr w:rsidR="00927AF5">
        <w:tc>
          <w:tcPr>
            <w:tcW w:w="0" w:type="auto"/>
          </w:tcPr>
          <w:p w:rsidR="00927AF5" w:rsidRDefault="00B02E4A">
            <w:pPr>
              <w:pStyle w:val="Compact"/>
            </w:pPr>
            <w:r>
              <w:t>northern rockfish</w:t>
            </w:r>
          </w:p>
        </w:tc>
        <w:tc>
          <w:tcPr>
            <w:tcW w:w="0" w:type="auto"/>
          </w:tcPr>
          <w:p w:rsidR="00927AF5" w:rsidRPr="009277A5" w:rsidRDefault="00B02E4A">
            <w:pPr>
              <w:pStyle w:val="Compact"/>
              <w:rPr>
                <w:i/>
              </w:rPr>
            </w:pPr>
            <w:r w:rsidRPr="009277A5">
              <w:rPr>
                <w:i/>
              </w:rPr>
              <w:t xml:space="preserve">Sebastes </w:t>
            </w:r>
            <w:proofErr w:type="spellStart"/>
            <w:r w:rsidRPr="009277A5">
              <w:rPr>
                <w:i/>
              </w:rPr>
              <w:t>polyspinis</w:t>
            </w:r>
            <w:proofErr w:type="spellEnd"/>
          </w:p>
        </w:tc>
        <w:tc>
          <w:tcPr>
            <w:tcW w:w="0" w:type="auto"/>
          </w:tcPr>
          <w:p w:rsidR="00927AF5" w:rsidRDefault="00B02E4A">
            <w:pPr>
              <w:pStyle w:val="Compact"/>
              <w:jc w:val="center"/>
            </w:pPr>
            <w:r>
              <w:t>570</w:t>
            </w:r>
          </w:p>
        </w:tc>
        <w:tc>
          <w:tcPr>
            <w:tcW w:w="0" w:type="auto"/>
          </w:tcPr>
          <w:p w:rsidR="00927AF5" w:rsidRDefault="00B02E4A">
            <w:pPr>
              <w:pStyle w:val="Compact"/>
              <w:jc w:val="center"/>
            </w:pPr>
            <w:r>
              <w:t>–</w:t>
            </w:r>
          </w:p>
        </w:tc>
        <w:tc>
          <w:tcPr>
            <w:tcW w:w="0" w:type="auto"/>
          </w:tcPr>
          <w:p w:rsidR="00927AF5" w:rsidRDefault="00B02E4A">
            <w:pPr>
              <w:pStyle w:val="Compact"/>
              <w:jc w:val="center"/>
            </w:pPr>
            <w:r>
              <w:t>450</w:t>
            </w:r>
          </w:p>
        </w:tc>
        <w:tc>
          <w:tcPr>
            <w:tcW w:w="0" w:type="auto"/>
          </w:tcPr>
          <w:p w:rsidR="00927AF5" w:rsidRDefault="00B02E4A">
            <w:pPr>
              <w:pStyle w:val="Compact"/>
              <w:jc w:val="center"/>
            </w:pPr>
            <w:r>
              <w:t>6,400</w:t>
            </w:r>
          </w:p>
        </w:tc>
      </w:tr>
      <w:tr w:rsidR="00927AF5">
        <w:tc>
          <w:tcPr>
            <w:tcW w:w="0" w:type="auto"/>
          </w:tcPr>
          <w:p w:rsidR="00927AF5" w:rsidRDefault="00B02E4A">
            <w:pPr>
              <w:pStyle w:val="Compact"/>
            </w:pPr>
            <w:r>
              <w:t>Pacific cod</w:t>
            </w:r>
          </w:p>
        </w:tc>
        <w:tc>
          <w:tcPr>
            <w:tcW w:w="0" w:type="auto"/>
          </w:tcPr>
          <w:p w:rsidR="00927AF5" w:rsidRPr="009277A5" w:rsidRDefault="00B02E4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rsidR="00927AF5" w:rsidRDefault="00B02E4A">
            <w:pPr>
              <w:pStyle w:val="Compact"/>
              <w:jc w:val="center"/>
            </w:pPr>
            <w:r>
              <w:t>800</w:t>
            </w:r>
          </w:p>
        </w:tc>
        <w:tc>
          <w:tcPr>
            <w:tcW w:w="0" w:type="auto"/>
          </w:tcPr>
          <w:p w:rsidR="00927AF5" w:rsidRDefault="00B02E4A">
            <w:pPr>
              <w:pStyle w:val="Compact"/>
              <w:jc w:val="center"/>
            </w:pPr>
            <w:r>
              <w:t>1070</w:t>
            </w:r>
          </w:p>
        </w:tc>
        <w:tc>
          <w:tcPr>
            <w:tcW w:w="0" w:type="auto"/>
          </w:tcPr>
          <w:p w:rsidR="00927AF5" w:rsidRDefault="00B02E4A">
            <w:pPr>
              <w:pStyle w:val="Compact"/>
              <w:jc w:val="center"/>
            </w:pPr>
            <w:r>
              <w:t>650</w:t>
            </w:r>
          </w:p>
        </w:tc>
        <w:tc>
          <w:tcPr>
            <w:tcW w:w="0" w:type="auto"/>
          </w:tcPr>
          <w:p w:rsidR="00927AF5" w:rsidRDefault="00B02E4A">
            <w:pPr>
              <w:pStyle w:val="Compact"/>
              <w:jc w:val="center"/>
            </w:pPr>
            <w:r>
              <w:t>21,200</w:t>
            </w:r>
          </w:p>
        </w:tc>
      </w:tr>
      <w:tr w:rsidR="00927AF5">
        <w:tc>
          <w:tcPr>
            <w:tcW w:w="0" w:type="auto"/>
          </w:tcPr>
          <w:p w:rsidR="00927AF5" w:rsidRDefault="00B02E4A">
            <w:pPr>
              <w:pStyle w:val="Compact"/>
            </w:pPr>
            <w:r>
              <w:t>Pacific ocean perch</w:t>
            </w:r>
          </w:p>
        </w:tc>
        <w:tc>
          <w:tcPr>
            <w:tcW w:w="0" w:type="auto"/>
          </w:tcPr>
          <w:p w:rsidR="00927AF5" w:rsidRPr="009277A5" w:rsidRDefault="00B02E4A">
            <w:pPr>
              <w:pStyle w:val="Compact"/>
              <w:rPr>
                <w:i/>
              </w:rPr>
            </w:pPr>
            <w:r w:rsidRPr="009277A5">
              <w:rPr>
                <w:i/>
              </w:rPr>
              <w:t xml:space="preserve">Sebastes </w:t>
            </w:r>
            <w:proofErr w:type="spellStart"/>
            <w:r w:rsidRPr="009277A5">
              <w:rPr>
                <w:i/>
              </w:rPr>
              <w:t>alutus</w:t>
            </w:r>
            <w:proofErr w:type="spellEnd"/>
          </w:p>
        </w:tc>
        <w:tc>
          <w:tcPr>
            <w:tcW w:w="0" w:type="auto"/>
          </w:tcPr>
          <w:p w:rsidR="00927AF5" w:rsidRDefault="00B02E4A">
            <w:pPr>
              <w:pStyle w:val="Compact"/>
              <w:jc w:val="center"/>
            </w:pPr>
            <w:r>
              <w:t>940</w:t>
            </w:r>
          </w:p>
        </w:tc>
        <w:tc>
          <w:tcPr>
            <w:tcW w:w="0" w:type="auto"/>
          </w:tcPr>
          <w:p w:rsidR="00927AF5" w:rsidRDefault="00B02E4A">
            <w:pPr>
              <w:pStyle w:val="Compact"/>
              <w:jc w:val="center"/>
            </w:pPr>
            <w:r>
              <w:t>–</w:t>
            </w:r>
          </w:p>
        </w:tc>
        <w:tc>
          <w:tcPr>
            <w:tcW w:w="0" w:type="auto"/>
          </w:tcPr>
          <w:p w:rsidR="00927AF5" w:rsidRDefault="00B02E4A">
            <w:pPr>
              <w:pStyle w:val="Compact"/>
              <w:jc w:val="center"/>
            </w:pPr>
            <w:r>
              <w:t>1030</w:t>
            </w:r>
          </w:p>
        </w:tc>
        <w:tc>
          <w:tcPr>
            <w:tcW w:w="0" w:type="auto"/>
          </w:tcPr>
          <w:p w:rsidR="00927AF5" w:rsidRDefault="00B02E4A">
            <w:pPr>
              <w:pStyle w:val="Compact"/>
              <w:jc w:val="center"/>
            </w:pPr>
            <w:r>
              <w:t>13,500</w:t>
            </w:r>
          </w:p>
        </w:tc>
      </w:tr>
      <w:tr w:rsidR="00927AF5" w:rsidTr="009277A5">
        <w:tc>
          <w:tcPr>
            <w:tcW w:w="0" w:type="auto"/>
          </w:tcPr>
          <w:p w:rsidR="00927AF5" w:rsidRDefault="00B02E4A">
            <w:pPr>
              <w:pStyle w:val="Compact"/>
            </w:pPr>
            <w:r>
              <w:t xml:space="preserve">walleye </w:t>
            </w:r>
            <w:proofErr w:type="spellStart"/>
            <w:r>
              <w:t>pollock</w:t>
            </w:r>
            <w:proofErr w:type="spellEnd"/>
          </w:p>
        </w:tc>
        <w:tc>
          <w:tcPr>
            <w:tcW w:w="0" w:type="auto"/>
          </w:tcPr>
          <w:p w:rsidR="00927AF5" w:rsidRPr="009277A5" w:rsidRDefault="00B02E4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rsidR="00927AF5" w:rsidRDefault="00B02E4A">
            <w:pPr>
              <w:pStyle w:val="Compact"/>
              <w:jc w:val="center"/>
            </w:pPr>
            <w:r>
              <w:t>790</w:t>
            </w:r>
          </w:p>
        </w:tc>
        <w:tc>
          <w:tcPr>
            <w:tcW w:w="0" w:type="auto"/>
          </w:tcPr>
          <w:p w:rsidR="00927AF5" w:rsidRDefault="00B02E4A">
            <w:pPr>
              <w:pStyle w:val="Compact"/>
              <w:jc w:val="center"/>
            </w:pPr>
            <w:r>
              <w:t>1500</w:t>
            </w:r>
          </w:p>
        </w:tc>
        <w:tc>
          <w:tcPr>
            <w:tcW w:w="0" w:type="auto"/>
          </w:tcPr>
          <w:p w:rsidR="00927AF5" w:rsidRDefault="00B02E4A">
            <w:pPr>
              <w:pStyle w:val="Compact"/>
              <w:jc w:val="center"/>
            </w:pPr>
            <w:r>
              <w:t>1300</w:t>
            </w:r>
          </w:p>
        </w:tc>
        <w:tc>
          <w:tcPr>
            <w:tcW w:w="0" w:type="auto"/>
          </w:tcPr>
          <w:p w:rsidR="00927AF5" w:rsidRDefault="00B02E4A">
            <w:pPr>
              <w:pStyle w:val="Compact"/>
              <w:jc w:val="center"/>
            </w:pPr>
            <w:r>
              <w:t>84,400</w:t>
            </w:r>
          </w:p>
        </w:tc>
      </w:tr>
      <w:tr w:rsidR="00927AF5" w:rsidTr="009277A5">
        <w:tc>
          <w:tcPr>
            <w:tcW w:w="0" w:type="auto"/>
            <w:tcBorders>
              <w:bottom w:val="single" w:sz="4" w:space="0" w:color="auto"/>
            </w:tcBorders>
          </w:tcPr>
          <w:p w:rsidR="00927AF5" w:rsidRDefault="00B02E4A">
            <w:pPr>
              <w:pStyle w:val="Compact"/>
            </w:pPr>
            <w:r>
              <w:t>yellowfin sole</w:t>
            </w:r>
          </w:p>
        </w:tc>
        <w:tc>
          <w:tcPr>
            <w:tcW w:w="0" w:type="auto"/>
            <w:tcBorders>
              <w:bottom w:val="single" w:sz="4" w:space="0" w:color="auto"/>
            </w:tcBorders>
          </w:tcPr>
          <w:p w:rsidR="00927AF5" w:rsidRPr="009277A5" w:rsidRDefault="00B02E4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rsidR="00927AF5" w:rsidRDefault="00B02E4A">
            <w:pPr>
              <w:pStyle w:val="Compact"/>
              <w:jc w:val="center"/>
            </w:pPr>
            <w:r>
              <w:t>–</w:t>
            </w:r>
          </w:p>
        </w:tc>
        <w:tc>
          <w:tcPr>
            <w:tcW w:w="0" w:type="auto"/>
            <w:tcBorders>
              <w:bottom w:val="single" w:sz="4" w:space="0" w:color="auto"/>
            </w:tcBorders>
          </w:tcPr>
          <w:p w:rsidR="00927AF5" w:rsidRDefault="00B02E4A">
            <w:pPr>
              <w:pStyle w:val="Compact"/>
              <w:jc w:val="center"/>
            </w:pPr>
            <w:r>
              <w:t>750</w:t>
            </w:r>
          </w:p>
        </w:tc>
        <w:tc>
          <w:tcPr>
            <w:tcW w:w="0" w:type="auto"/>
            <w:tcBorders>
              <w:bottom w:val="single" w:sz="4" w:space="0" w:color="auto"/>
            </w:tcBorders>
          </w:tcPr>
          <w:p w:rsidR="00927AF5" w:rsidRDefault="00B02E4A">
            <w:pPr>
              <w:pStyle w:val="Compact"/>
              <w:jc w:val="center"/>
            </w:pPr>
            <w:r>
              <w:t>–</w:t>
            </w:r>
          </w:p>
        </w:tc>
        <w:tc>
          <w:tcPr>
            <w:tcW w:w="0" w:type="auto"/>
            <w:tcBorders>
              <w:bottom w:val="single" w:sz="4" w:space="0" w:color="auto"/>
            </w:tcBorders>
          </w:tcPr>
          <w:p w:rsidR="00927AF5" w:rsidRDefault="00B02E4A">
            <w:pPr>
              <w:pStyle w:val="Compact"/>
              <w:jc w:val="center"/>
            </w:pPr>
            <w:r>
              <w:t>10,300</w:t>
            </w:r>
          </w:p>
        </w:tc>
      </w:tr>
    </w:tbl>
    <w:p w:rsidR="00927AF5" w:rsidRDefault="00B02E4A">
      <w:r>
        <w:br w:type="page"/>
      </w:r>
    </w:p>
    <w:p w:rsidR="00927AF5" w:rsidRDefault="00B02E4A">
      <w:pPr>
        <w:pStyle w:val="Heading1"/>
      </w:pPr>
      <w:bookmarkStart w:id="74" w:name="figures"/>
      <w:bookmarkEnd w:id="72"/>
      <w:r>
        <w:lastRenderedPageBreak/>
        <w:t>Figures</w:t>
      </w:r>
    </w:p>
    <w:p w:rsidR="00927AF5" w:rsidRDefault="00B02E4A">
      <w:r>
        <w:rPr>
          <w:noProof/>
        </w:rPr>
        <w:drawing>
          <wp:inline distT="0" distB="0" distL="0" distR="0">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2"/>
                    <a:stretch>
                      <a:fillRect/>
                    </a:stretch>
                  </pic:blipFill>
                  <pic:spPr bwMode="auto">
                    <a:xfrm>
                      <a:off x="0" y="0"/>
                      <a:ext cx="5084064" cy="5216652"/>
                    </a:xfrm>
                    <a:prstGeom prst="rect">
                      <a:avLst/>
                    </a:prstGeom>
                    <a:noFill/>
                    <a:ln w="9525">
                      <a:noFill/>
                      <a:headEnd/>
                      <a:tailEnd/>
                    </a:ln>
                  </pic:spPr>
                </pic:pic>
              </a:graphicData>
            </a:graphic>
          </wp:inline>
        </w:drawing>
      </w:r>
    </w:p>
    <w:p w:rsidR="00927AF5" w:rsidRDefault="00B02E4A">
      <w:pPr>
        <w:pStyle w:val="ImageCaption"/>
      </w:pPr>
      <w:bookmarkStart w:id="75" w:name="fig:bs-flows"/>
      <w:bookmarkEnd w:id="75"/>
      <w:r>
        <w:t>Figure 1: Bootstrap-simulation flow chart, the steps refer to the order of operations.</w:t>
      </w:r>
    </w:p>
    <w:p w:rsidR="00927AF5" w:rsidRDefault="00B02E4A">
      <w:r>
        <w:rPr>
          <w:noProof/>
        </w:rPr>
        <w:lastRenderedPageBreak/>
        <w:drawing>
          <wp:inline distT="0" distB="0" distL="0" distR="0">
            <wp:extent cx="5943600" cy="7315200"/>
            <wp:effectExtent l="0" t="0" r="0" b="0"/>
            <wp:docPr id="101"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102" name="Picture" descr="../figs/alt_iss.png"/>
                    <pic:cNvPicPr>
                      <a:picLocks noChangeAspect="1" noChangeArrowheads="1"/>
                    </pic:cNvPicPr>
                  </pic:nvPicPr>
                  <pic:blipFill>
                    <a:blip r:embed="rId33"/>
                    <a:stretch>
                      <a:fillRect/>
                    </a:stretch>
                  </pic:blipFill>
                  <pic:spPr bwMode="auto">
                    <a:xfrm>
                      <a:off x="0" y="0"/>
                      <a:ext cx="5943600" cy="7315200"/>
                    </a:xfrm>
                    <a:prstGeom prst="rect">
                      <a:avLst/>
                    </a:prstGeom>
                    <a:noFill/>
                    <a:ln w="9525">
                      <a:noFill/>
                      <a:headEnd/>
                      <a:tailEnd/>
                    </a:ln>
                  </pic:spPr>
                </pic:pic>
              </a:graphicData>
            </a:graphic>
          </wp:inline>
        </w:drawing>
      </w:r>
    </w:p>
    <w:p w:rsidR="00927AF5" w:rsidRDefault="00B02E4A">
      <w:pPr>
        <w:pStyle w:val="ImageCaption"/>
      </w:pPr>
      <w:bookmarkStart w:id="76" w:name="fig:iss-plot"/>
      <w:bookmarkEnd w:id="76"/>
      <w:r>
        <w:t xml:space="preserve">Figure 2: Boxplot of annual age composition input sample size for the stocks and regions evaluated across uncertainty scenarios. ‘Base’ refers to the case that includes no additional sources of uncertainty, ‘AE’ is the case when ageing error is included, ‘GV’ is the case when </w:t>
      </w:r>
      <w:r>
        <w:lastRenderedPageBreak/>
        <w:t>growth variability is included, and ‘AE &amp; GV’ is the case when both ageing error and growth variability is included.</w:t>
      </w:r>
      <w:ins w:id="77" w:author="Ben.Williams" w:date="2023-09-06T15:26:00Z">
        <w:r w:rsidR="00927E8C">
          <w:t xml:space="preserve"> </w:t>
        </w:r>
      </w:ins>
      <w:ins w:id="78" w:author="Ben.Williams" w:date="2023-09-06T15:28:00Z">
        <w:r w:rsidR="002679E1">
          <w:t>The boxplot</w:t>
        </w:r>
      </w:ins>
      <w:ins w:id="79" w:author="Ben.Williams" w:date="2023-09-06T15:30:00Z">
        <w:r w:rsidR="002679E1">
          <w:t>s</w:t>
        </w:r>
      </w:ins>
      <w:ins w:id="80" w:author="Ben.Williams" w:date="2023-09-06T15:28:00Z">
        <w:r w:rsidR="002679E1">
          <w:t xml:space="preserve"> shows the median, </w:t>
        </w:r>
        <w:proofErr w:type="gramStart"/>
        <w:r w:rsidR="002679E1">
          <w:t>1</w:t>
        </w:r>
        <w:r w:rsidR="002679E1" w:rsidRPr="002679E1">
          <w:rPr>
            <w:vertAlign w:val="superscript"/>
            <w:rPrChange w:id="81" w:author="Ben.Williams" w:date="2023-09-06T15:29:00Z">
              <w:rPr/>
            </w:rPrChange>
          </w:rPr>
          <w:t>st</w:t>
        </w:r>
        <w:proofErr w:type="gramEnd"/>
        <w:r w:rsidR="002679E1">
          <w:t xml:space="preserve"> </w:t>
        </w:r>
      </w:ins>
      <w:ins w:id="82" w:author="Ben.Williams" w:date="2023-09-06T15:29:00Z">
        <w:r w:rsidR="002679E1">
          <w:t>and 3</w:t>
        </w:r>
        <w:r w:rsidR="002679E1" w:rsidRPr="002679E1">
          <w:rPr>
            <w:vertAlign w:val="superscript"/>
            <w:rPrChange w:id="83" w:author="Ben.Williams" w:date="2023-09-06T15:29:00Z">
              <w:rPr/>
            </w:rPrChange>
          </w:rPr>
          <w:t>rd</w:t>
        </w:r>
        <w:r w:rsidR="002679E1">
          <w:t xml:space="preserve"> quartiles, and 1.5 times the inter-quartile range.</w:t>
        </w:r>
      </w:ins>
    </w:p>
    <w:p w:rsidR="00927AF5" w:rsidRDefault="00B02E4A">
      <w:r>
        <w:rPr>
          <w:noProof/>
        </w:rPr>
        <w:drawing>
          <wp:inline distT="0" distB="0" distL="0" distR="0">
            <wp:extent cx="5943600" cy="4572000"/>
            <wp:effectExtent l="0" t="0" r="0" b="0"/>
            <wp:docPr id="105"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6" name="Picture" descr="../figs/alt_prop-iss.png"/>
                    <pic:cNvPicPr>
                      <a:picLocks noChangeAspect="1" noChangeArrowheads="1"/>
                    </pic:cNvPicPr>
                  </pic:nvPicPr>
                  <pic:blipFill>
                    <a:blip r:embed="rId34"/>
                    <a:stretch>
                      <a:fillRect/>
                    </a:stretch>
                  </pic:blipFill>
                  <pic:spPr bwMode="auto">
                    <a:xfrm>
                      <a:off x="0" y="0"/>
                      <a:ext cx="5943600" cy="4572000"/>
                    </a:xfrm>
                    <a:prstGeom prst="rect">
                      <a:avLst/>
                    </a:prstGeom>
                    <a:noFill/>
                    <a:ln w="9525">
                      <a:noFill/>
                      <a:headEnd/>
                      <a:tailEnd/>
                    </a:ln>
                  </pic:spPr>
                </pic:pic>
              </a:graphicData>
            </a:graphic>
          </wp:inline>
        </w:drawing>
      </w:r>
    </w:p>
    <w:p w:rsidR="002679E1" w:rsidRDefault="00B02E4A" w:rsidP="002679E1">
      <w:pPr>
        <w:pStyle w:val="ImageCaption"/>
        <w:rPr>
          <w:ins w:id="84" w:author="Ben.Williams" w:date="2023-09-06T15:30:00Z"/>
        </w:rPr>
      </w:pPr>
      <w:bookmarkStart w:id="85" w:name="fig:prop-iss"/>
      <w:bookmarkEnd w:id="85"/>
      <w:r>
        <w:t>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w:t>
      </w:r>
      <w:ins w:id="86" w:author="Ben.Williams" w:date="2023-09-06T15:30:00Z">
        <w:r w:rsidR="002679E1">
          <w:t xml:space="preserve"> </w:t>
        </w:r>
        <w:r w:rsidR="002679E1">
          <w:t>The boxplot</w:t>
        </w:r>
        <w:r w:rsidR="002679E1">
          <w:t>s</w:t>
        </w:r>
        <w:r w:rsidR="002679E1">
          <w:t xml:space="preserve"> shows the median, </w:t>
        </w:r>
        <w:proofErr w:type="gramStart"/>
        <w:r w:rsidR="002679E1">
          <w:t>1</w:t>
        </w:r>
        <w:r w:rsidR="002679E1" w:rsidRPr="00BE6C42">
          <w:rPr>
            <w:vertAlign w:val="superscript"/>
          </w:rPr>
          <w:t>st</w:t>
        </w:r>
        <w:proofErr w:type="gramEnd"/>
        <w:r w:rsidR="002679E1">
          <w:t xml:space="preserve"> and 3</w:t>
        </w:r>
        <w:r w:rsidR="002679E1" w:rsidRPr="00BE6C42">
          <w:rPr>
            <w:vertAlign w:val="superscript"/>
          </w:rPr>
          <w:t>rd</w:t>
        </w:r>
        <w:r w:rsidR="002679E1">
          <w:t xml:space="preserve"> quartiles, and 1.5 times the inter-quartile range.</w:t>
        </w:r>
      </w:ins>
    </w:p>
    <w:p w:rsidR="00927AF5" w:rsidRDefault="00927AF5">
      <w:pPr>
        <w:pStyle w:val="ImageCaption"/>
      </w:pPr>
    </w:p>
    <w:p w:rsidR="00927AF5" w:rsidRDefault="00B02E4A">
      <w:r>
        <w:rPr>
          <w:noProof/>
        </w:rPr>
        <w:lastRenderedPageBreak/>
        <w:drawing>
          <wp:inline distT="0" distB="0" distL="0" distR="0">
            <wp:extent cx="5943600" cy="5943600"/>
            <wp:effectExtent l="0" t="0" r="0" b="0"/>
            <wp:docPr id="109"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10" name="Picture" descr="../figs/alt_hls-iss-nss.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rsidR="002679E1" w:rsidRDefault="00B02E4A" w:rsidP="002679E1">
      <w:pPr>
        <w:pStyle w:val="ImageCaption"/>
        <w:rPr>
          <w:ins w:id="87" w:author="Ben.Williams" w:date="2023-09-06T15:30:00Z"/>
        </w:rPr>
      </w:pPr>
      <w:bookmarkStart w:id="88" w:name="fig:iss-nss-hls"/>
      <w:bookmarkEnd w:id="88"/>
      <w:r>
        <w:t xml:space="preserve">Figure 4: Age composition input sample size per sampled haul compared to number </w:t>
      </w:r>
      <w:ins w:id="89" w:author="Ben.Williams" w:date="2023-09-01T10:08:00Z">
        <w:r w:rsidR="0020681D">
          <w:t xml:space="preserve">of </w:t>
        </w:r>
      </w:ins>
      <w:r>
        <w:t>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w:t>
      </w:r>
      <w:ins w:id="90" w:author="Ben.Williams" w:date="2023-09-01T10:08:00Z">
        <w:r w:rsidR="0020681D">
          <w:t>o</w:t>
        </w:r>
      </w:ins>
      <w:r>
        <w:t xml:space="preserve">ts shows a 1:1 relationship and </w:t>
      </w:r>
      <w:del w:id="91" w:author="Ben.Williams" w:date="2023-09-01T10:08:00Z">
        <w:r w:rsidDel="00357E1D">
          <w:delText>elipses</w:delText>
        </w:r>
      </w:del>
      <w:ins w:id="92" w:author="Ben.Williams" w:date="2023-09-01T10:08:00Z">
        <w:r w:rsidR="00357E1D">
          <w:t>ellipses</w:t>
        </w:r>
      </w:ins>
      <w:r>
        <w:t xml:space="preserve"> </w:t>
      </w:r>
      <w:proofErr w:type="gramStart"/>
      <w:r>
        <w:t>are plotted</w:t>
      </w:r>
      <w:proofErr w:type="gramEnd"/>
      <w:r>
        <w:t xml:space="preserve"> for reference.</w:t>
      </w:r>
      <w:ins w:id="93" w:author="Ben.Williams" w:date="2023-09-06T15:30:00Z">
        <w:r w:rsidR="002679E1">
          <w:t xml:space="preserve"> </w:t>
        </w:r>
        <w:r w:rsidR="002679E1">
          <w:t>The boxplot</w:t>
        </w:r>
        <w:r w:rsidR="002679E1">
          <w:t>s</w:t>
        </w:r>
        <w:r w:rsidR="002679E1">
          <w:t xml:space="preserve"> shows the median, </w:t>
        </w:r>
        <w:proofErr w:type="gramStart"/>
        <w:r w:rsidR="002679E1">
          <w:t>1</w:t>
        </w:r>
        <w:r w:rsidR="002679E1" w:rsidRPr="00BE6C42">
          <w:rPr>
            <w:vertAlign w:val="superscript"/>
          </w:rPr>
          <w:t>st</w:t>
        </w:r>
        <w:proofErr w:type="gramEnd"/>
        <w:r w:rsidR="002679E1">
          <w:t xml:space="preserve"> and 3</w:t>
        </w:r>
        <w:r w:rsidR="002679E1" w:rsidRPr="00BE6C42">
          <w:rPr>
            <w:vertAlign w:val="superscript"/>
          </w:rPr>
          <w:t>rd</w:t>
        </w:r>
        <w:r w:rsidR="002679E1">
          <w:t xml:space="preserve"> quartiles, and 1.5 times the inter-quartile range.</w:t>
        </w:r>
      </w:ins>
    </w:p>
    <w:p w:rsidR="00927AF5" w:rsidRDefault="00927AF5">
      <w:pPr>
        <w:pStyle w:val="ImageCaption"/>
      </w:pPr>
    </w:p>
    <w:p w:rsidR="00927AF5" w:rsidRDefault="00B02E4A">
      <w:r>
        <w:rPr>
          <w:noProof/>
        </w:rPr>
        <w:lastRenderedPageBreak/>
        <w:drawing>
          <wp:inline distT="0" distB="0" distL="0" distR="0">
            <wp:extent cx="5943600" cy="5943600"/>
            <wp:effectExtent l="0" t="0" r="0" b="0"/>
            <wp:docPr id="113"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4" name="Picture" descr="../figs/alt_ae-gv-stats.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rsidR="00927AF5" w:rsidRDefault="00B02E4A">
      <w:pPr>
        <w:pStyle w:val="ImageCaption"/>
      </w:pPr>
      <w:bookmarkStart w:id="94" w:name="fig:ae-gv-stats"/>
      <w:bookmarkEnd w:id="94"/>
      <w:r>
        <w:t>Figure 5: Relative age composition input sample size when including ageing error (‘AE’) or growth variability (‘GV’) compared to age and growth statistics (top panel) and when including both ageing error and growth variability (‘AE &amp; GV’) across the stocks evaluated (bottom panel).</w:t>
      </w:r>
      <w:bookmarkEnd w:id="74"/>
    </w:p>
    <w:sectPr w:rsidR="00927AF5" w:rsidSect="001B2361">
      <w:footerReference w:type="default" r:id="rId3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FB6" w:rsidRDefault="00250FB6">
      <w:pPr>
        <w:spacing w:before="0" w:line="240" w:lineRule="auto"/>
      </w:pPr>
      <w:r>
        <w:separator/>
      </w:r>
    </w:p>
  </w:endnote>
  <w:endnote w:type="continuationSeparator" w:id="0">
    <w:p w:rsidR="00250FB6" w:rsidRDefault="00250F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B02E4A">
        <w:pPr>
          <w:pStyle w:val="Footer"/>
          <w:jc w:val="center"/>
        </w:pPr>
        <w:r>
          <w:fldChar w:fldCharType="begin"/>
        </w:r>
        <w:r>
          <w:instrText xml:space="preserve"> PAGE   \* MERGEFORMAT </w:instrText>
        </w:r>
        <w:r>
          <w:fldChar w:fldCharType="separate"/>
        </w:r>
        <w:r w:rsidR="002679E1">
          <w:rPr>
            <w:noProof/>
          </w:rPr>
          <w:t>18</w:t>
        </w:r>
        <w:r>
          <w:rPr>
            <w:noProof/>
          </w:rPr>
          <w:fldChar w:fldCharType="end"/>
        </w:r>
      </w:p>
    </w:sdtContent>
  </w:sdt>
  <w:p w:rsidR="001E0294" w:rsidRDefault="0025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FB6" w:rsidRDefault="00250FB6">
      <w:r>
        <w:separator/>
      </w:r>
    </w:p>
  </w:footnote>
  <w:footnote w:type="continuationSeparator" w:id="0">
    <w:p w:rsidR="00250FB6" w:rsidRDefault="0025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Williams">
    <w15:presenceInfo w15:providerId="None" w15:userId="Ben.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20681D"/>
    <w:rsid w:val="00250FB6"/>
    <w:rsid w:val="002679E1"/>
    <w:rsid w:val="00357E1D"/>
    <w:rsid w:val="007209CD"/>
    <w:rsid w:val="009277A5"/>
    <w:rsid w:val="00927AF5"/>
    <w:rsid w:val="00927E8C"/>
    <w:rsid w:val="00B02E4A"/>
    <w:rsid w:val="00EF45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65E6"/>
  <w15:docId w15:val="{85679EE7-27BF-4D8B-BEC1-C3B915ED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v270" TargetMode="External"/><Relationship Id="rId18" Type="http://schemas.openxmlformats.org/officeDocument/2006/relationships/hyperlink" Target="https://doi.org/10.1139/f96-285" TargetMode="External"/><Relationship Id="rId26" Type="http://schemas.openxmlformats.org/officeDocument/2006/relationships/hyperlink" Target="https://doi.org/10.1139/cjfas-2022-0050" TargetMode="External"/><Relationship Id="rId39" Type="http://schemas.microsoft.com/office/2011/relationships/people" Target="people.xml"/><Relationship Id="rId21" Type="http://schemas.openxmlformats.org/officeDocument/2006/relationships/hyperlink" Target="https://doi.org/10.1016/j.fishres.2022.106255" TargetMode="External"/><Relationship Id="rId34" Type="http://schemas.openxmlformats.org/officeDocument/2006/relationships/image" Target="media/image3.png"/><Relationship Id="rId7" Type="http://schemas.openxmlformats.org/officeDocument/2006/relationships/hyperlink" Target="mailto:pete.hulson@noaa.gov" TargetMode="External"/><Relationship Id="rId12" Type="http://schemas.openxmlformats.org/officeDocument/2006/relationships/hyperlink" Target="https://doi.org/10.1016/j.fishres.2011.11.005" TargetMode="External"/><Relationship Id="rId17" Type="http://schemas.openxmlformats.org/officeDocument/2006/relationships/hyperlink" Target="https://doi.org/10.1080/00028487.2012.705255" TargetMode="External"/><Relationship Id="rId25" Type="http://schemas.openxmlformats.org/officeDocument/2006/relationships/hyperlink" Target="https://www.R-project.org/"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7895/ices.pub.22086845.v1" TargetMode="External"/><Relationship Id="rId20" Type="http://schemas.openxmlformats.org/officeDocument/2006/relationships/hyperlink" Target="https://doi.org/10.1071/MF04217" TargetMode="External"/><Relationship Id="rId29" Type="http://schemas.openxmlformats.org/officeDocument/2006/relationships/hyperlink" Target="https://doi.org/10.1016/j.fishres.2012.08.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cesjms/fsz072" TargetMode="External"/><Relationship Id="rId24" Type="http://schemas.openxmlformats.org/officeDocument/2006/relationships/hyperlink" Target="https://doi.org/10.1016/j.fishres.2021.105904" TargetMode="External"/><Relationship Id="rId32" Type="http://schemas.openxmlformats.org/officeDocument/2006/relationships/image" Target="media/image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7895/ices.pub.7453" TargetMode="External"/><Relationship Id="rId23" Type="http://schemas.openxmlformats.org/officeDocument/2006/relationships/hyperlink" Target="https://doi.org/10.1139/F08-111" TargetMode="External"/><Relationship Id="rId28" Type="http://schemas.openxmlformats.org/officeDocument/2006/relationships/hyperlink" Target="https://doi.org/10.1016/j.fishres.2016.06.018" TargetMode="External"/><Relationship Id="rId36" Type="http://schemas.openxmlformats.org/officeDocument/2006/relationships/image" Target="media/image5.png"/><Relationship Id="rId10" Type="http://schemas.openxmlformats.org/officeDocument/2006/relationships/hyperlink" Target="https://github.com/BenWilliams-NOAA/surveyISS" TargetMode="External"/><Relationship Id="rId19" Type="http://schemas.openxmlformats.org/officeDocument/2006/relationships/hyperlink" Target="https://doi.org/10.1139/f06-022" TargetMode="External"/><Relationship Id="rId31" Type="http://schemas.openxmlformats.org/officeDocument/2006/relationships/hyperlink" Target="https://doi.org/10.1139/cjfas-2019-0107" TargetMode="External"/><Relationship Id="rId4" Type="http://schemas.openxmlformats.org/officeDocument/2006/relationships/webSettings" Target="webSettings.xml"/><Relationship Id="rId9" Type="http://schemas.openxmlformats.org/officeDocument/2006/relationships/hyperlink" Target="https://github.com/BenWilliams-NOAA/surveyISS" TargetMode="External"/><Relationship Id="rId14" Type="http://schemas.openxmlformats.org/officeDocument/2006/relationships/hyperlink" Target="https://doi.org/10.1093/icesjms/fsr189" TargetMode="External"/><Relationship Id="rId22" Type="http://schemas.openxmlformats.org/officeDocument/2006/relationships/hyperlink" Target="https://doi.org/10.2307/2532786" TargetMode="External"/><Relationship Id="rId27" Type="http://schemas.openxmlformats.org/officeDocument/2006/relationships/hyperlink" Target="https://doi.org/10.1139/cjfas-2013-0289" TargetMode="External"/><Relationship Id="rId30" Type="http://schemas.openxmlformats.org/officeDocument/2006/relationships/hyperlink" Target="https://doi.org/10.1139/cjfas-2018-0015" TargetMode="External"/><Relationship Id="rId35" Type="http://schemas.openxmlformats.org/officeDocument/2006/relationships/image" Target="media/image4.png"/><Relationship Id="rId8" Type="http://schemas.openxmlformats.org/officeDocument/2006/relationships/hyperlink" Target="mailto:pete.hulson@noa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4142</TotalTime>
  <Pages>33</Pages>
  <Words>7271</Words>
  <Characters>41449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48623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cp:lastModifiedBy>Ben.Williams</cp:lastModifiedBy>
  <cp:revision>5</cp:revision>
  <dcterms:created xsi:type="dcterms:W3CDTF">2023-09-01T18:05:00Z</dcterms:created>
  <dcterms:modified xsi:type="dcterms:W3CDTF">2023-09-06T23:38:00Z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