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7D806D6A" w:rsidR="00927AF5" w:rsidRDefault="00B02E4A">
      <w:pPr>
        <w:pStyle w:val="Title"/>
      </w:pPr>
      <w:r>
        <w:t>Inclusion of ageing error and growth variability in the bootstrap estimation of age composition</w:t>
      </w:r>
      <w:r w:rsidR="00E56554">
        <w:t xml:space="preserve"> and conditional age-at-length</w:t>
      </w:r>
      <w:r>
        <w:t xml:space="preserve">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235BBD51" w:rsidR="00927AF5" w:rsidRDefault="00B02E4A">
      <w:pPr>
        <w:pStyle w:val="Compact"/>
        <w:numPr>
          <w:ilvl w:val="0"/>
          <w:numId w:val="22"/>
        </w:numPr>
      </w:pPr>
      <w:r>
        <w:t xml:space="preserve">We develop a method to integrate ageing error and growth variability into a bootstrap framework that estimates age composition </w:t>
      </w:r>
      <w:r w:rsidR="00E56554">
        <w:t xml:space="preserve">and conditional age-at-length </w:t>
      </w:r>
      <w:r>
        <w:t>input sample size</w:t>
      </w:r>
    </w:p>
    <w:p w14:paraId="132436C3" w14:textId="645197D0" w:rsidR="00927AF5" w:rsidRDefault="00B02E4A">
      <w:pPr>
        <w:pStyle w:val="Compact"/>
        <w:numPr>
          <w:ilvl w:val="0"/>
          <w:numId w:val="22"/>
        </w:numPr>
      </w:pPr>
      <w:r>
        <w:t>Incorporating ageing error and growth variability reduces the input sample size up to 60%</w:t>
      </w:r>
    </w:p>
    <w:p w14:paraId="6F55922E" w14:textId="2C653672" w:rsidR="00927AF5" w:rsidRDefault="00B02E4A">
      <w:pPr>
        <w:pStyle w:val="Compact"/>
        <w:numPr>
          <w:ilvl w:val="0"/>
          <w:numId w:val="22"/>
        </w:numPr>
      </w:pPr>
      <w:r>
        <w:t>The magnitude of reduction in age composition</w:t>
      </w:r>
      <w:r w:rsidR="00FA13BF">
        <w:t xml:space="preserve"> and conditional age-at-length</w:t>
      </w:r>
      <w:r>
        <w:t xml:space="preserve"> input sample size was species type specific</w:t>
      </w:r>
    </w:p>
    <w:p w14:paraId="40D5E985" w14:textId="5FFEB603"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w:t>
      </w:r>
      <w:r w:rsidR="00FA13BF">
        <w:t xml:space="preserve"> and conditional age-at-length</w:t>
      </w:r>
      <w:r>
        <w:t xml:space="preserve">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64140C76" w:rsidR="00927AF5" w:rsidRDefault="00B02E4A" w:rsidP="009277A5">
      <w:pPr>
        <w:pStyle w:val="FirstParagraph"/>
        <w:ind w:firstLine="720"/>
      </w:pPr>
      <w:r>
        <w:t xml:space="preserve">Statistical catch-at-age assessment models used for fisheries management integrate various sources of information that </w:t>
      </w:r>
      <w:proofErr w:type="gramStart"/>
      <w:r>
        <w:t>are statistically weighted</w:t>
      </w:r>
      <w:proofErr w:type="gramEnd"/>
      <w:r>
        <w:t xml:space="preserve"> in a joint likelihood framework; the relative statistical weighting between these sources of information is an important, yet often a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w:t>
      </w:r>
      <w:r w:rsidR="00FA13BF">
        <w:t xml:space="preserve"> and conditional age-at-length</w:t>
      </w:r>
      <w:r>
        <w:t xml:space="preserve"> data. In this study, we evaluate the impact of including ageing error and growth variability within bootstrap methods that estimate age composition</w:t>
      </w:r>
      <w:r w:rsidR="00FA13BF">
        <w:t xml:space="preserve"> and conditional age-at-length</w:t>
      </w:r>
      <w:r>
        <w:t xml:space="preserve">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w:t>
      </w:r>
      <w:r w:rsidR="00FA13BF">
        <w:t xml:space="preserve"> or conditional age-at-length</w:t>
      </w:r>
      <w:r>
        <w:t xml:space="preserve"> data than would be accounted for with ISS estimates that do not include these sources of uncertainty</w:t>
      </w:r>
      <w:proofErr w:type="gramEnd"/>
      <w:r>
        <w:t xml:space="preserve">. The method and results provided here allow for assessment scientists to statistically weight age composition </w:t>
      </w:r>
      <w:r w:rsidR="00FA13BF">
        <w:t xml:space="preserve">and conditional age-at-length </w:t>
      </w:r>
      <w:r>
        <w:t>with ISS that takes into account ageing error and growth variability that are implicit to any expanded age composition</w:t>
      </w:r>
      <w:r w:rsidR="00FA13BF">
        <w:t xml:space="preserve"> or conditional age-at-length</w:t>
      </w:r>
      <w:r>
        <w:t xml:space="preserve"> from either fishery-independent or fishery-dependent sources. This </w:t>
      </w:r>
      <w:proofErr w:type="gramStart"/>
      <w:r>
        <w:t>has not previously been investigated</w:t>
      </w:r>
      <w:proofErr w:type="gramEnd"/>
      <w:r>
        <w:t xml:space="preserve"> and including these sources of uncertainty improves bootstrap estimates of ISS to capture all the </w:t>
      </w:r>
      <w:r>
        <w:lastRenderedPageBreak/>
        <w:t>sources of variability in age composition</w:t>
      </w:r>
      <w:r w:rsidR="00FA13BF">
        <w:t xml:space="preserve"> and conditional age-at-length</w:t>
      </w:r>
      <w:r>
        <w:t xml:space="preserve"> and will subsequently improve stock assessment model quality.</w:t>
      </w:r>
    </w:p>
    <w:p w14:paraId="0A6C3F73" w14:textId="77777777" w:rsidR="00927AF5" w:rsidRDefault="00B02E4A">
      <w:pPr>
        <w:pStyle w:val="BodyText"/>
      </w:pPr>
      <w:r>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5B73E386"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on the other hand, are based upon collection of age and length samples, randomized at some level, but obtained from hauls</w:t>
      </w:r>
      <w:r w:rsidR="007209CD">
        <w:t xml:space="preserve"> or trips</w:t>
      </w:r>
      <w:r>
        <w:t xml:space="preserve"> targeting a specific species</w:t>
      </w:r>
      <w:r w:rsidR="007209CD">
        <w:t xml:space="preserve"> or species group</w:t>
      </w:r>
      <w:proofErr w:type="gramEnd"/>
      <w:r>
        <w:t xml:space="preserve">.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w:t>
      </w:r>
      <w:proofErr w:type="spellStart"/>
      <w:r>
        <w:t>Hulson</w:t>
      </w:r>
      <w:proofErr w:type="spellEnd"/>
      <w:r>
        <w:t xml:space="preserve">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likelihood function to statistically weight the age or length composition data. The statistical weight assigned to annual composition data can follow a myriad of methods (e.g., </w:t>
      </w:r>
      <w:r>
        <w:lastRenderedPageBreak/>
        <w:t xml:space="preserve">fixed values as 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14:paraId="2335144C" w14:textId="77777777"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Often 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211011E2" w:rsidR="00927AF5" w:rsidRDefault="00B02E4A" w:rsidP="009277A5">
      <w:pPr>
        <w:pStyle w:val="BodyText"/>
        <w:ind w:firstLine="720"/>
      </w:pPr>
      <w:r>
        <w:t>When age is capable of being determined from otoliths, there is further variability in age composition data due</w:t>
      </w:r>
      <w:r w:rsidR="00EF4572">
        <w:t xml:space="preserve"> </w:t>
      </w:r>
      <w:r>
        <w:t>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studies have been devoted to quantifying the effects of ageing error on assessment model estimates </w:t>
      </w:r>
      <w:r w:rsidR="00527E80">
        <w:t>(</w:t>
      </w:r>
      <w:r w:rsidR="00FA13BF">
        <w:t xml:space="preserve">e.g., </w:t>
      </w:r>
      <w:r>
        <w:t xml:space="preserve">Liao et al. 2013).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 xml:space="preserve">In the process of obtaining an observed age composition, it is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3" w:name="material-and-methods"/>
      <w:bookmarkEnd w:id="2"/>
      <w:r>
        <w:t>2. Material and methods</w:t>
      </w:r>
    </w:p>
    <w:p w14:paraId="3790BD93" w14:textId="77777777" w:rsidR="00927AF5" w:rsidRDefault="00B02E4A">
      <w:pPr>
        <w:pStyle w:val="Heading2"/>
      </w:pPr>
      <w:bookmarkStart w:id="4" w:name="data"/>
      <w:r>
        <w:t>2.1 Data</w:t>
      </w:r>
    </w:p>
    <w:p w14:paraId="46C57B55" w14:textId="1A143FFD"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r w:rsidR="007209CD">
        <w:t>reproducibility</w:t>
      </w:r>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w:t>
      </w:r>
      <w:r w:rsidR="009C4793">
        <w:t xml:space="preserve">For the EBS the survey years included in this analysis were 1982 – 2022, for the GOA were 1990 – 2021, and for the AI were 1991 – 2018. As a point of clarification, we use the term ‘stock’ to identify a certain species within a distinct region, for example, the EBS walleye </w:t>
      </w:r>
      <w:proofErr w:type="spellStart"/>
      <w:r w:rsidR="009C4793">
        <w:t>pollock</w:t>
      </w:r>
      <w:proofErr w:type="spellEnd"/>
      <w:r w:rsidR="009C4793">
        <w:t xml:space="preserve"> stock. </w:t>
      </w:r>
      <w:r>
        <w:t xml:space="preserve">The stocks selected for this analysis all have greater than 5,000 reader-tester paired otolith </w:t>
      </w:r>
      <w:r>
        <w:lastRenderedPageBreak/>
        <w:t>readings</w:t>
      </w:r>
      <w:r w:rsidR="009C4793">
        <w:t xml:space="preserve"> and </w:t>
      </w:r>
      <w:r>
        <w:t>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5" w:name="length-and-age-composition-expansion"/>
      <w:bookmarkEnd w:id="4"/>
      <w:r>
        <w:t>2.2 Length and age composition expansion</w:t>
      </w:r>
    </w:p>
    <w:p w14:paraId="54D10676" w14:textId="77777777"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14:paraId="71F1B2E2" w14:textId="77777777"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3CFDA5EC"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w:t>
      </w:r>
      <w:r>
        <w:lastRenderedPageBreak/>
        <w:t>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0F8F05CE"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75ECD514" w14:textId="3B61B740" w:rsidR="00927AF5" w:rsidRDefault="00B02E4A" w:rsidP="00F00867">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r w:rsidR="00721E3E">
        <w:t xml:space="preserve"> Note that when expanding length frequencies at AFSC the length bins are set at 1 cm (that span the size range for each species),</w:t>
      </w:r>
      <w:r w:rsidR="008E67EC">
        <w:t xml:space="preserve"> as this is how the length bin structure is set in the stock assessment models employed at AFSC,</w:t>
      </w:r>
      <w:r w:rsidR="00721E3E">
        <w:t xml:space="preserve"> however, these formulae can be used for other bin sizes (for example, 2 cm or larger). </w:t>
      </w:r>
      <w:r>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6EF910ED"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pPr>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w:t>
      </w:r>
      <w:proofErr w:type="gramStart"/>
      <w:r>
        <w:t>can also</w:t>
      </w:r>
      <w:proofErr w:type="gramEnd"/>
      <w:r>
        <w:t xml:space="preserve"> be summed to any sub-region level. We note that this </w:t>
      </w:r>
      <w:r>
        <w:lastRenderedPageBreak/>
        <w:t xml:space="preserve">formulation is equivalent to the design-based length composition expansion used in Stewart and Hamel (2014). The only difference </w:t>
      </w:r>
      <w:proofErr w:type="gramStart"/>
      <w:r>
        <w:t>is found</w:t>
      </w:r>
      <w:proofErr w:type="gramEnd"/>
      <w:r>
        <w:t xml:space="preserve"> in multiplying the sex-specific relative length composition by the relative catch-per-unit-effort for each haul in equation (4) here, where Stewart and Hamel (2014) multiply the sex-specific relative length composition by the predicted number of fish in a haul.</w:t>
      </w:r>
    </w:p>
    <w:p w14:paraId="06669DB3" w14:textId="77777777" w:rsidR="00927AF5" w:rsidRDefault="00721E3E" w:rsidP="009277A5">
      <w:pPr>
        <w:pStyle w:val="BodyText"/>
        <w:ind w:firstLine="720"/>
      </w:pPr>
      <w:r>
        <w:t xml:space="preserve">Age-length-keys (ALKs) generated from the age-length paired observations within a survey are then applied to estimated abundance-at-length to provide an estimate of abundance-at-age (e.g., Quinn and </w:t>
      </w:r>
      <w:proofErr w:type="spellStart"/>
      <w:r>
        <w:t>Deriso</w:t>
      </w:r>
      <w:proofErr w:type="spellEnd"/>
      <w:r>
        <w:t xml:space="preserve"> 1999), referred to as the ‘second stage expansion’. </w:t>
      </w:r>
      <w:r w:rsidR="00B02E4A">
        <w:t xml:space="preserve">In the second stage </w:t>
      </w:r>
      <w:proofErr w:type="gramStart"/>
      <w:r w:rsidR="00B02E4A">
        <w:t>expansion</w:t>
      </w:r>
      <w:proofErr w:type="gramEnd"/>
      <w:r w:rsidR="00B02E4A">
        <w:t xml:space="preserve"> the sex-specific estimates of population abundance-at-length</w:t>
      </w:r>
      <w:r>
        <w:t xml:space="preserve"> (from equation (4))</w:t>
      </w:r>
      <w:r w:rsidR="00B02E4A">
        <w:t xml:space="preserve"> are used to estimate sex-specific population abundance-at-age. The annual specimen data that </w:t>
      </w:r>
      <w:proofErr w:type="gramStart"/>
      <w:r w:rsidR="00B02E4A">
        <w:t>are collected</w:t>
      </w:r>
      <w:proofErr w:type="gramEnd"/>
      <w:r w:rsidR="00B02E4A">
        <w:t xml:space="preserve">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xml:space="preserve">). Next, the sex-specific numbers-at-age and length </w:t>
      </w:r>
      <w:proofErr w:type="gramStart"/>
      <w:r w:rsidR="00B02E4A">
        <w:t>are converted</w:t>
      </w:r>
      <w:proofErr w:type="gramEnd"/>
      <w:r w:rsidR="00B02E4A">
        <w:t xml:space="preserve"> to sex-specific proportions of age-at-length (i.e., age-length key) with</w:t>
      </w:r>
    </w:p>
    <w:p w14:paraId="29BC986C"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 xml:space="preserve">The proportions of age-at-length </w:t>
      </w:r>
      <w:proofErr w:type="gramStart"/>
      <w:r>
        <w:t>are then expanded</w:t>
      </w:r>
      <w:proofErr w:type="gramEnd"/>
      <w:r>
        <w:t xml:space="preserve"> to population abundance-at-age with</w:t>
      </w:r>
    </w:p>
    <w:p w14:paraId="29CDAF26" w14:textId="77777777" w:rsidR="00927AF5" w:rsidRDefault="009C107F">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rsidP="00E14C5A">
      <w:pPr>
        <w:pStyle w:val="BodyText"/>
      </w:pPr>
      <w:r>
        <w:tab/>
        <w:t xml:space="preserve">For both the expanded population numbers-at-length and -age the </w:t>
      </w:r>
      <w:r w:rsidR="00876914">
        <w:t>formulae</w:t>
      </w:r>
      <w:r>
        <w:t xml:space="preserve"> presented here perform the expansions for sex-specific data. Thus, population numbers-at-length and age for male, female, and unsexed categories </w:t>
      </w:r>
      <w:proofErr w:type="gramStart"/>
      <w:r>
        <w:t>are computed</w:t>
      </w:r>
      <w:proofErr w:type="gramEnd"/>
      <w:r>
        <w:t xml:space="preserve">, and the total population numbers-at-length and </w:t>
      </w:r>
      <w:r w:rsidR="00876914">
        <w:t>-</w:t>
      </w:r>
      <w:r>
        <w:t>age are computed by summing across these sex categories.</w:t>
      </w:r>
      <w:r w:rsidR="00876914">
        <w:t xml:space="preserve"> While these formulae are presented for specific sex categories, the methods developed in this study are also flexible to </w:t>
      </w:r>
      <w:r w:rsidR="00876914">
        <w:lastRenderedPageBreak/>
        <w:t>combining data across the sex categories (males, females, and unsexed) prior to the first and second stage expansions, thus, estimating a total (or combined sex) length and age composition without the need for summation after the first and second stage expansions.</w:t>
      </w:r>
    </w:p>
    <w:p w14:paraId="6C86A54B" w14:textId="77777777" w:rsidR="009277A5" w:rsidRPr="009277A5" w:rsidRDefault="009277A5" w:rsidP="009277A5">
      <w:pPr>
        <w:pStyle w:val="BodyText"/>
      </w:pPr>
    </w:p>
    <w:p w14:paraId="04802E4D" w14:textId="77777777" w:rsidR="00927AF5" w:rsidRDefault="00B02E4A">
      <w:pPr>
        <w:pStyle w:val="Heading2"/>
      </w:pPr>
      <w:bookmarkStart w:id="6" w:name="simulation-bootstrap-framework"/>
      <w:bookmarkEnd w:id="5"/>
      <w:r>
        <w:t>2.3 Simulation-Bootstrap framework</w:t>
      </w:r>
    </w:p>
    <w:p w14:paraId="447D03C8" w14:textId="4BCBD7C6"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w:t>
      </w:r>
      <w:r w:rsidRPr="00E14C5A">
        <w:t>age. Growth variability was incorporated by resampling from lengths associated with a given age and sex.</w:t>
      </w:r>
      <w:r w:rsidR="00876914" w:rsidRPr="00E14C5A">
        <w:t xml:space="preserve"> </w:t>
      </w:r>
      <w:r w:rsidR="00715DC0" w:rsidRPr="00E14C5A">
        <w:t>We</w:t>
      </w:r>
      <w:r w:rsidR="00715DC0">
        <w:t xml:space="preserve"> developed these simulations so that growth variability can be incorporated by either pooling the age-length across all survey years and resampling the lengths for a given age, or using the annual age-length data and only resampling the lengths for a given age that were observed within the specific survey year.</w:t>
      </w:r>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1894C016" w:rsidR="00927AF5" w:rsidRDefault="00834223">
      <w:pPr>
        <w:pStyle w:val="FirstParagraph"/>
      </w:pPr>
      <w:commentRangeStart w:id="7"/>
      <w:r>
        <w:t xml:space="preserve">We also include functions that compute conditional age-at-length (CAAL) in addition to the expansion methods described </w:t>
      </w:r>
      <w:proofErr w:type="gramStart"/>
      <w:r>
        <w:t>above</w:t>
      </w:r>
      <w:proofErr w:type="gramEnd"/>
      <w:r>
        <w:t xml:space="preserve">. To compute CAAL we perform step 1, then steps 4 – 6, and in step </w:t>
      </w:r>
      <w:proofErr w:type="gramStart"/>
      <w:r>
        <w:t>7</w:t>
      </w:r>
      <w:proofErr w:type="gramEnd"/>
      <w:r>
        <w:t xml:space="preserve"> we compute the ALK (equation (5)) without the abundance-at-age expansion</w:t>
      </w:r>
      <w:commentRangeEnd w:id="7"/>
      <w:r w:rsidR="00173BC5">
        <w:rPr>
          <w:rStyle w:val="CommentReference"/>
        </w:rPr>
        <w:commentReference w:id="7"/>
      </w:r>
      <w:r>
        <w:t xml:space="preserve">. </w:t>
      </w:r>
      <w:r w:rsidR="00B02E4A">
        <w:t xml:space="preserve">Steps 5 and 6 </w:t>
      </w:r>
      <w:proofErr w:type="gramStart"/>
      <w:r w:rsidR="00B02E4A">
        <w:t>were designed</w:t>
      </w:r>
      <w:proofErr w:type="gramEnd"/>
      <w:r w:rsidR="00B02E4A">
        <w:t xml:space="preserve"> to explore inclusion of ageing error and growth variability. The bootstrap-simulation repeats </w:t>
      </w:r>
      <w:r>
        <w:t xml:space="preserve">these </w:t>
      </w:r>
      <w:r w:rsidR="00B02E4A">
        <w:t>steps providing iterated population abundance-at-age</w:t>
      </w:r>
      <w:r>
        <w:t xml:space="preserve"> and CAAL</w:t>
      </w:r>
      <w:r w:rsidR="00B02E4A">
        <w:t xml:space="preserve"> for comparison to the historical (the full sample without any resampling of data) population abundance-at-age</w:t>
      </w:r>
      <w:r>
        <w:t xml:space="preserve"> and CAAL</w:t>
      </w:r>
      <w:r w:rsidR="00B02E4A">
        <w:t>.</w:t>
      </w:r>
    </w:p>
    <w:p w14:paraId="09081B24" w14:textId="77777777" w:rsidR="009277A5" w:rsidRDefault="009277A5" w:rsidP="009277A5">
      <w:pPr>
        <w:pStyle w:val="BodyText"/>
      </w:pPr>
    </w:p>
    <w:p w14:paraId="1705F0D9" w14:textId="77777777" w:rsidR="00927AF5" w:rsidRDefault="00B02E4A">
      <w:pPr>
        <w:pStyle w:val="Heading2"/>
      </w:pPr>
      <w:bookmarkStart w:id="8" w:name="computing-input-sample-size"/>
      <w:bookmarkEnd w:id="6"/>
      <w:r>
        <w:t>2.4 Computing input sample size</w:t>
      </w:r>
    </w:p>
    <w:p w14:paraId="59F57438" w14:textId="52D18958" w:rsidR="00927AF5" w:rsidRDefault="00B02E4A" w:rsidP="009277A5">
      <w:pPr>
        <w:pStyle w:val="FirstParagraph"/>
        <w:ind w:firstLine="720"/>
      </w:pPr>
      <w:r>
        <w:t xml:space="preserve">A useful statistic that can quantify the variability in age composition is </w:t>
      </w:r>
      <w:r w:rsidR="004905D0">
        <w:t>realized</w:t>
      </w:r>
      <w:r>
        <w:t xml:space="preserve"> sample size, introduced by McAllister and </w:t>
      </w:r>
      <w:proofErr w:type="spellStart"/>
      <w:r>
        <w:t>Ianelli</w:t>
      </w:r>
      <w:proofErr w:type="spellEnd"/>
      <w:r>
        <w:t xml:space="preserve"> (1997</w:t>
      </w:r>
      <w:r w:rsidR="004905D0">
        <w:t>; using the terminology of Stewart and Hamel 2014)</w:t>
      </w:r>
      <w:r>
        <w:t xml:space="preserve">. This statistic evaluates the amount of uncertainty in an estimated composition compared to an observed composition and </w:t>
      </w:r>
      <w:proofErr w:type="gramStart"/>
      <w:r>
        <w:t>is given</w:t>
      </w:r>
      <w:proofErr w:type="gramEnd"/>
      <w:r>
        <w:t xml:space="preserve"> by:</w:t>
      </w:r>
    </w:p>
    <w:p w14:paraId="38787BCF" w14:textId="371C6A46" w:rsidR="00927AF5" w:rsidRDefault="009C107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5F3CFBCB"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r w:rsidR="004905D0">
        <w:t xml:space="preserve"> We note, that for the realized sample size of </w:t>
      </w:r>
      <w:r w:rsidR="00CB5EA5">
        <w:t>CAAL</w:t>
      </w:r>
      <w:r w:rsidR="004905D0">
        <w:t xml:space="preserve">, there would be an additional subscript introduced in equation (7) for length bin, where </w:t>
      </w:r>
      <w:r w:rsidR="00CB5EA5">
        <w:t>category-</w:t>
      </w:r>
      <w:r w:rsidR="00CB5EA5">
        <w:rPr>
          <w:i/>
        </w:rPr>
        <w:t>c</w:t>
      </w:r>
      <w:r w:rsidR="00CB5EA5">
        <w:t xml:space="preserve"> would be age, thus </w:t>
      </w:r>
      <w:r w:rsidR="00CB5EA5">
        <w:lastRenderedPageBreak/>
        <w:t>providing a realized sample size for each length bin within a given year’s CAAL data.</w:t>
      </w:r>
      <w:r>
        <w:t xml:space="preserve"> Here, the underlying age composition</w:t>
      </w:r>
      <w:r w:rsidR="00CB5EA5">
        <w:t xml:space="preserve"> and CAAL</w:t>
      </w:r>
      <w:r>
        <w:t xml:space="preserve"> derived from the historical bottom trawl surveys with the full and unsampled data was treated as the observed proportions 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r w:rsidR="004905D0">
        <w:t xml:space="preserve">realized </w:t>
      </w:r>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r w:rsidR="00CB5EA5">
        <w:t xml:space="preserve"> or CAAL</w:t>
      </w:r>
      <w:r>
        <w:t xml:space="preserve">. Thus, across each iteration of the bootstrap-simulation we computed a </w:t>
      </w:r>
      <w:r w:rsidR="004905D0">
        <w:t xml:space="preserve">realized </w:t>
      </w:r>
      <w:r>
        <w:t>sample size that indicated the amount of uncertainty in the resampled age composition</w:t>
      </w:r>
      <w:r w:rsidR="00CB5EA5">
        <w:t xml:space="preserve"> or CAAL</w:t>
      </w:r>
      <w:r>
        <w:t>.</w:t>
      </w:r>
    </w:p>
    <w:p w14:paraId="0AF8CD63" w14:textId="014E2222" w:rsidR="00927AF5" w:rsidRDefault="00B02E4A" w:rsidP="009277A5">
      <w:pPr>
        <w:pStyle w:val="BodyText"/>
        <w:ind w:firstLine="720"/>
      </w:pPr>
      <w:r>
        <w:t xml:space="preserve">To summarize </w:t>
      </w:r>
      <w:r w:rsidR="004905D0">
        <w:t xml:space="preserve">realized </w:t>
      </w:r>
      <w:r>
        <w:t xml:space="preserve">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to determine the ISS that is used in stock assessment models to fit compositional data (Stewart and Hamel 2014). </w:t>
      </w:r>
      <w:r w:rsidR="00CB5EA5">
        <w:t>Thus, for the expanded age composition data we present the</w:t>
      </w:r>
      <w:r w:rsidR="00173BC5">
        <w:t xml:space="preserve"> annual</w:t>
      </w:r>
      <w:r w:rsidR="00CB5EA5">
        <w:t xml:space="preserve"> ISS that </w:t>
      </w:r>
      <w:proofErr w:type="gramStart"/>
      <w:r w:rsidR="00CB5EA5">
        <w:t>was computed</w:t>
      </w:r>
      <w:proofErr w:type="gramEnd"/>
      <w:r w:rsidR="00CB5EA5">
        <w:t xml:space="preserve"> from the harmonic mean of the </w:t>
      </w:r>
      <w:r w:rsidR="00173BC5">
        <w:t xml:space="preserve">annual </w:t>
      </w:r>
      <w:r w:rsidR="00CB5EA5">
        <w:t xml:space="preserve">iterated realized sample sizes. For CAAL the ISS for each length bin within the annual CAAL data was computed as the harmonic mean of the bin-specific realized sample size across the iterations. Then, to summarize the effect of additional uncertainty, we compute the mean of the ISS across the length bins (rather than show the ISS for each year and length bin). </w:t>
      </w:r>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r w:rsidR="00CB5EA5">
        <w:t xml:space="preserve"> </w:t>
      </w:r>
    </w:p>
    <w:p w14:paraId="05EC03DF" w14:textId="11D32C31" w:rsidR="009277A5" w:rsidRDefault="009277A5" w:rsidP="009277A5">
      <w:pPr>
        <w:pStyle w:val="BodyText"/>
      </w:pPr>
    </w:p>
    <w:p w14:paraId="6D530DB8" w14:textId="728CF42F" w:rsidR="00834223" w:rsidRDefault="00834223" w:rsidP="00E14C5A">
      <w:pPr>
        <w:pStyle w:val="Heading2"/>
      </w:pPr>
      <w:r>
        <w:lastRenderedPageBreak/>
        <w:t xml:space="preserve">2.5 </w:t>
      </w:r>
      <w:r w:rsidR="001C6D67">
        <w:t>Bootstrap-s</w:t>
      </w:r>
      <w:r>
        <w:t xml:space="preserve">imulation </w:t>
      </w:r>
      <w:r w:rsidR="00173BC5">
        <w:t xml:space="preserve">scenarios and </w:t>
      </w:r>
      <w:r>
        <w:t>treatments</w:t>
      </w:r>
    </w:p>
    <w:p w14:paraId="2264E6AC" w14:textId="17B1C1AC" w:rsidR="001C6D67" w:rsidRDefault="00834223">
      <w:pPr>
        <w:pStyle w:val="BodyText"/>
        <w:ind w:firstLine="720"/>
      </w:pPr>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w:t>
      </w:r>
      <w:r w:rsidR="00283A1F">
        <w:t xml:space="preserve"> we term ‘uncertainty scenarios</w:t>
      </w:r>
      <w:r>
        <w:t>’</w:t>
      </w:r>
      <w:r w:rsidR="00283A1F">
        <w:t xml:space="preserve"> (Table 2).</w:t>
      </w:r>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w:t>
      </w:r>
      <w:proofErr w:type="gramStart"/>
      <w:r>
        <w:t>are produced</w:t>
      </w:r>
      <w:proofErr w:type="gramEnd"/>
      <w:r>
        <w:t xml:space="preserve"> in the same age reading laborator</w:t>
      </w:r>
      <w:r w:rsidR="001C6D67">
        <w:t>y at AFSC).</w:t>
      </w:r>
      <w:r w:rsidR="00283A1F">
        <w:t xml:space="preserve"> </w:t>
      </w:r>
      <w:r w:rsidR="00386489">
        <w:t xml:space="preserve">To generalize the presentation of results we aggregate across regions and species types, thus, annual ISS and relative ISS results </w:t>
      </w:r>
      <w:proofErr w:type="gramStart"/>
      <w:r w:rsidR="00386489">
        <w:t>are shown</w:t>
      </w:r>
      <w:proofErr w:type="gramEnd"/>
      <w:r w:rsidR="00386489">
        <w:t xml:space="preserve"> </w:t>
      </w:r>
      <w:r w:rsidR="00386489" w:rsidRPr="00173BC5">
        <w:t xml:space="preserve">for flatfish, </w:t>
      </w:r>
      <w:proofErr w:type="spellStart"/>
      <w:r w:rsidR="00386489" w:rsidRPr="00173BC5">
        <w:t>gadids</w:t>
      </w:r>
      <w:proofErr w:type="spellEnd"/>
      <w:r w:rsidR="00386489" w:rsidRPr="00173BC5">
        <w:t>, and rockfish across the stocks and regions included in this analysis (Table 1). In the presentation</w:t>
      </w:r>
      <w:r w:rsidR="00173BC5" w:rsidRPr="00173BC5">
        <w:t xml:space="preserve"> of CAAL results we selected </w:t>
      </w:r>
      <w:r w:rsidR="00386489" w:rsidRPr="00173BC5">
        <w:t>example stock</w:t>
      </w:r>
      <w:r w:rsidR="00173BC5" w:rsidRPr="00173BC5">
        <w:t xml:space="preserve">s for each of the species types; GOA </w:t>
      </w:r>
      <w:proofErr w:type="spellStart"/>
      <w:r w:rsidR="00173BC5" w:rsidRPr="00173BC5">
        <w:t>arrowtooth</w:t>
      </w:r>
      <w:proofErr w:type="spellEnd"/>
      <w:r w:rsidR="00173BC5" w:rsidRPr="00173BC5">
        <w:t xml:space="preserve"> flounder</w:t>
      </w:r>
      <w:r w:rsidR="00173BC5">
        <w:t xml:space="preserve"> (</w:t>
      </w:r>
      <w:proofErr w:type="spellStart"/>
      <w:r w:rsidR="00173BC5" w:rsidRPr="009277A5">
        <w:rPr>
          <w:i/>
        </w:rPr>
        <w:t>Atheresthes</w:t>
      </w:r>
      <w:proofErr w:type="spellEnd"/>
      <w:r w:rsidR="00173BC5" w:rsidRPr="009277A5">
        <w:rPr>
          <w:i/>
        </w:rPr>
        <w:t xml:space="preserve"> </w:t>
      </w:r>
      <w:proofErr w:type="spellStart"/>
      <w:r w:rsidR="00173BC5" w:rsidRPr="009277A5">
        <w:rPr>
          <w:i/>
        </w:rPr>
        <w:t>stomias</w:t>
      </w:r>
      <w:proofErr w:type="spellEnd"/>
      <w:r w:rsidR="00173BC5">
        <w:t>)</w:t>
      </w:r>
      <w:r w:rsidR="00173BC5" w:rsidRPr="00173BC5">
        <w:t xml:space="preserve"> as an example for flatfish, GOA  Pacific cod</w:t>
      </w:r>
      <w:r w:rsidR="00173BC5">
        <w:t xml:space="preserve"> (</w:t>
      </w:r>
      <w:proofErr w:type="spellStart"/>
      <w:r w:rsidR="00173BC5" w:rsidRPr="009277A5">
        <w:rPr>
          <w:i/>
        </w:rPr>
        <w:t>Gadus</w:t>
      </w:r>
      <w:proofErr w:type="spellEnd"/>
      <w:r w:rsidR="00173BC5" w:rsidRPr="009277A5">
        <w:rPr>
          <w:i/>
        </w:rPr>
        <w:t xml:space="preserve"> </w:t>
      </w:r>
      <w:proofErr w:type="spellStart"/>
      <w:r w:rsidR="00173BC5" w:rsidRPr="009277A5">
        <w:rPr>
          <w:i/>
        </w:rPr>
        <w:t>macrocephalus</w:t>
      </w:r>
      <w:proofErr w:type="spellEnd"/>
      <w:r w:rsidR="00173BC5">
        <w:t>)</w:t>
      </w:r>
      <w:r w:rsidR="00173BC5" w:rsidRPr="00173BC5">
        <w:t xml:space="preserve"> as an example for </w:t>
      </w:r>
      <w:proofErr w:type="spellStart"/>
      <w:r w:rsidR="00173BC5" w:rsidRPr="00173BC5">
        <w:t>gadids</w:t>
      </w:r>
      <w:proofErr w:type="spellEnd"/>
      <w:r w:rsidR="00173BC5" w:rsidRPr="00173BC5">
        <w:t>, and GOA Pacific ocean perch</w:t>
      </w:r>
      <w:r w:rsidR="00173BC5">
        <w:t xml:space="preserve"> (</w:t>
      </w:r>
      <w:r w:rsidR="00173BC5" w:rsidRPr="009277A5">
        <w:rPr>
          <w:i/>
        </w:rPr>
        <w:t xml:space="preserve">Sebastes </w:t>
      </w:r>
      <w:proofErr w:type="spellStart"/>
      <w:r w:rsidR="00173BC5" w:rsidRPr="009277A5">
        <w:rPr>
          <w:i/>
        </w:rPr>
        <w:t>alutus</w:t>
      </w:r>
      <w:proofErr w:type="spellEnd"/>
      <w:r w:rsidR="00173BC5">
        <w:t>)</w:t>
      </w:r>
      <w:r w:rsidR="00173BC5" w:rsidRPr="00173BC5">
        <w:t xml:space="preserve"> as an example for rockfish.</w:t>
      </w:r>
      <w:r w:rsidR="00386489" w:rsidRPr="00173BC5">
        <w:t xml:space="preserve"> </w:t>
      </w:r>
    </w:p>
    <w:p w14:paraId="5AD9DA6A" w14:textId="1534251C" w:rsidR="001C6D67" w:rsidRPr="001628EB" w:rsidRDefault="001C6D67" w:rsidP="00834223">
      <w:pPr>
        <w:pStyle w:val="BodyText"/>
        <w:ind w:firstLine="720"/>
      </w:pPr>
      <w:r>
        <w:t xml:space="preserve">We applied </w:t>
      </w:r>
      <w:r w:rsidR="00173BC5">
        <w:t>three</w:t>
      </w:r>
      <w:r>
        <w:t xml:space="preserve"> bootstrap-simulation treatments across the uncertainty scenarios in order to evaluate the consistency of the results after incorporating each additional error source</w:t>
      </w:r>
      <w:r w:rsidR="00283A1F">
        <w:t xml:space="preserve"> (Table 2)</w:t>
      </w:r>
      <w:r w:rsidR="006A07DE">
        <w:t>. In the first treatment we evaluated the impact of pooling age-length data across all years</w:t>
      </w:r>
      <w:r w:rsidR="00283A1F">
        <w:t xml:space="preserve"> (‘Pooled’)</w:t>
      </w:r>
      <w:r w:rsidR="006A07DE">
        <w:t xml:space="preserve"> versus using the annual age-length data</w:t>
      </w:r>
      <w:r w:rsidR="00283A1F">
        <w:t xml:space="preserve"> (‘Annual’)</w:t>
      </w:r>
      <w:r w:rsidR="006A07DE">
        <w:t xml:space="preserve"> when resampling lengths for a given age to incorporate growth variability; we term this t</w:t>
      </w:r>
      <w:r w:rsidR="00C4369F">
        <w:t>reatment the ‘Growth data</w:t>
      </w:r>
      <w:r w:rsidR="006A07DE">
        <w:t xml:space="preserve"> treatment’. In the second treatment we evaluate the impact of different length bins for the length frequency data by including 2 cm and 5 cm length bins in addition to the base bin of 1 cm for comparison; </w:t>
      </w:r>
      <w:r w:rsidR="006A07DE">
        <w:lastRenderedPageBreak/>
        <w:t xml:space="preserve">we term this treatment the ‘Length bin treatment’. In the third </w:t>
      </w:r>
      <w:proofErr w:type="gramStart"/>
      <w:r w:rsidR="006A07DE">
        <w:t>treatment</w:t>
      </w:r>
      <w:proofErr w:type="gramEnd"/>
      <w:r w:rsidR="006A07DE">
        <w:t xml:space="preserve"> we show an example of aggregating length and age data prior to </w:t>
      </w:r>
      <w:r w:rsidR="00173BC5">
        <w:t>length and age expansion (‘Pre-</w:t>
      </w:r>
      <w:r w:rsidR="006A07DE">
        <w:t>expansion</w:t>
      </w:r>
      <w:r w:rsidR="00173BC5">
        <w:t>’</w:t>
      </w:r>
      <w:r w:rsidR="006A07DE">
        <w:t xml:space="preserve">) or after length and age expansion </w:t>
      </w:r>
      <w:r w:rsidR="00173BC5">
        <w:t>(‘Post-</w:t>
      </w:r>
      <w:r w:rsidR="006A07DE">
        <w:t>expansion</w:t>
      </w:r>
      <w:r w:rsidR="00173BC5">
        <w:t>’</w:t>
      </w:r>
      <w:r w:rsidR="006A07DE">
        <w:t>)</w:t>
      </w:r>
      <w:r w:rsidR="001628EB">
        <w:t xml:space="preserve">; we term this treatment the ‘Aggregation treatment’. For this </w:t>
      </w:r>
      <w:proofErr w:type="gramStart"/>
      <w:r w:rsidR="001628EB">
        <w:t>treatment</w:t>
      </w:r>
      <w:proofErr w:type="gramEnd"/>
      <w:r w:rsidR="001628EB">
        <w:t xml:space="preserve"> we selected two stocks to show as an example: GOA Pacific cod </w:t>
      </w:r>
      <w:r w:rsidR="00173BC5">
        <w:t xml:space="preserve">and GOA Pacific ocean perch. </w:t>
      </w:r>
      <w:r w:rsidR="001628EB">
        <w:t>We selected these stocks because they do not exhibit differences in growth between females and males, which is the primary consideration for aggregating data either before or after length and age expansion.</w:t>
      </w:r>
    </w:p>
    <w:p w14:paraId="577926E2" w14:textId="1D451710" w:rsidR="00834223" w:rsidRDefault="00834223" w:rsidP="00834223">
      <w:pPr>
        <w:pStyle w:val="BodyText"/>
        <w:ind w:firstLine="720"/>
      </w:pPr>
      <w:r>
        <w:t xml:space="preserve">The bootstrap-simulations were run for 500 iterations, a level at which the variability in population abundance-at-age results had stabilized. The bootstrap-simulation </w:t>
      </w:r>
      <w:proofErr w:type="gramStart"/>
      <w:r>
        <w:t>was developed</w:t>
      </w:r>
      <w:proofErr w:type="gramEnd"/>
      <w:r>
        <w:t xml:space="preserve"> in R (R Core Team 2022) and is available via GitHub as an R package (</w:t>
      </w:r>
      <w:hyperlink r:id="rId12">
        <w:r>
          <w:rPr>
            <w:rStyle w:val="Hyperlink"/>
          </w:rPr>
          <w:t>https://github.com/BenWilliams-NOAA/surveyISS</w:t>
        </w:r>
      </w:hyperlink>
      <w:r>
        <w:t>).</w:t>
      </w:r>
    </w:p>
    <w:p w14:paraId="3C9DFC9C" w14:textId="77777777" w:rsidR="00834223" w:rsidRDefault="00834223" w:rsidP="009277A5">
      <w:pPr>
        <w:pStyle w:val="BodyText"/>
      </w:pPr>
    </w:p>
    <w:p w14:paraId="4A5D23C4" w14:textId="52F08CC3" w:rsidR="00927AF5" w:rsidRDefault="00B02E4A">
      <w:pPr>
        <w:pStyle w:val="Heading2"/>
      </w:pPr>
      <w:bookmarkStart w:id="9" w:name="Xe65babd8f99318cbb49fcc1e256a898e8b1eae7"/>
      <w:bookmarkEnd w:id="8"/>
      <w:r>
        <w:t>2.</w:t>
      </w:r>
      <w:r w:rsidR="00834223">
        <w:t>6</w:t>
      </w:r>
      <w:r>
        <w:t xml:space="preserve"> Evaluating</w:t>
      </w:r>
      <w:r w:rsidR="00F675FF">
        <w:t xml:space="preserve"> sampling and</w:t>
      </w:r>
      <w:r>
        <w:t xml:space="preserve"> life-history relationships to consequences of added uncertainty</w:t>
      </w:r>
    </w:p>
    <w:p w14:paraId="7231FCAA" w14:textId="7AD6960C" w:rsidR="00927AF5" w:rsidRDefault="00F675FF" w:rsidP="009277A5">
      <w:pPr>
        <w:pStyle w:val="FirstParagraph"/>
        <w:ind w:firstLine="720"/>
      </w:pPr>
      <w:r>
        <w:t>For the</w:t>
      </w:r>
      <w:r w:rsidR="00B02E4A">
        <w:t xml:space="preserve"> three species types</w:t>
      </w:r>
      <w:r>
        <w:t xml:space="preserve"> in this analysis</w:t>
      </w:r>
      <w:r w:rsidR="00B02E4A">
        <w:t xml:space="preserve"> </w:t>
      </w:r>
      <w:r>
        <w:t>(</w:t>
      </w:r>
      <w:r w:rsidR="00B02E4A">
        <w:t xml:space="preserve">flatfish, </w:t>
      </w:r>
      <w:proofErr w:type="spellStart"/>
      <w:r w:rsidR="00B02E4A">
        <w:t>gadids</w:t>
      </w:r>
      <w:proofErr w:type="spellEnd"/>
      <w:r w:rsidR="00B02E4A">
        <w:t xml:space="preserve">, and </w:t>
      </w:r>
      <w:proofErr w:type="gramStart"/>
      <w:r w:rsidR="00B02E4A">
        <w:t>rockfish)</w:t>
      </w:r>
      <w:proofErr w:type="gramEnd"/>
      <w:r>
        <w:t xml:space="preserve"> we evaluated relationships between sampling rates and indicators of life-history traits across the uncertainty scenarios considered</w:t>
      </w:r>
      <w:r w:rsidR="00B02E4A">
        <w:t xml:space="preserve">. </w:t>
      </w:r>
      <w:r>
        <w:t xml:space="preserve">To evaluate the relationship with sampling rates, and the consequence of added uncertainty in ISS, we present the relationship between the average ISS per age sampled and the number of ages collected. We present these results in order to provide a comparison with the type of results presented in Stewart and Hamel (2014). To evaluate the relationship between ISS and </w:t>
      </w:r>
      <w:proofErr w:type="gramStart"/>
      <w:r>
        <w:t>life-history</w:t>
      </w:r>
      <w:proofErr w:type="gramEnd"/>
      <w:r w:rsidR="003A601A">
        <w:t xml:space="preserve"> and the consequences of additional sources of uncertainty</w:t>
      </w:r>
      <w:r>
        <w:t xml:space="preserve"> </w:t>
      </w:r>
      <w:r w:rsidR="003A601A">
        <w:t xml:space="preserve">we used two indicators. First, we compare relative ISS after incorporating ageing error with the age range of the stocks to assess the relationship with longevity. Second, we compare relative ISS after incorporating growth variability with the length range of the stocks to </w:t>
      </w:r>
      <w:r w:rsidR="00173BC5">
        <w:t xml:space="preserve">determine if the impacts of </w:t>
      </w:r>
      <w:r w:rsidR="00173BC5">
        <w:lastRenderedPageBreak/>
        <w:t xml:space="preserve">growth variability </w:t>
      </w:r>
      <w:proofErr w:type="gramStart"/>
      <w:r w:rsidR="00173BC5">
        <w:t>are related</w:t>
      </w:r>
      <w:proofErr w:type="gramEnd"/>
      <w:r w:rsidR="00173BC5">
        <w:t xml:space="preserve"> to the size of the species type considered</w:t>
      </w:r>
      <w:r w:rsidR="003A601A">
        <w:t xml:space="preserve">. Finally, we rank the relative ISS after incorporating both ageing error and growth variability across stocks (and highlighting species types) to illustrate any species type </w:t>
      </w:r>
      <w:proofErr w:type="gramStart"/>
      <w:r w:rsidR="003A601A">
        <w:t>impacts on</w:t>
      </w:r>
      <w:proofErr w:type="gramEnd"/>
      <w:r w:rsidR="003A601A">
        <w:t xml:space="preserve"> ISS after incorporating these sources of variability.</w:t>
      </w:r>
    </w:p>
    <w:p w14:paraId="02B701D8" w14:textId="77777777" w:rsidR="009277A5" w:rsidRPr="009277A5" w:rsidRDefault="009277A5" w:rsidP="009277A5">
      <w:pPr>
        <w:pStyle w:val="BodyText"/>
      </w:pPr>
    </w:p>
    <w:p w14:paraId="41CE6727" w14:textId="77777777" w:rsidR="00927AF5" w:rsidRDefault="00B02E4A">
      <w:pPr>
        <w:pStyle w:val="Heading1"/>
      </w:pPr>
      <w:bookmarkStart w:id="10" w:name="results"/>
      <w:bookmarkEnd w:id="3"/>
      <w:bookmarkEnd w:id="9"/>
      <w:r>
        <w:t>3. Results</w:t>
      </w:r>
    </w:p>
    <w:p w14:paraId="2658190A" w14:textId="58C1E1CC" w:rsidR="00927AF5" w:rsidRDefault="00B02E4A" w:rsidP="009277A5">
      <w:pPr>
        <w:pStyle w:val="FirstParagraph"/>
        <w:ind w:firstLine="720"/>
      </w:pPr>
      <w:r>
        <w:t>While the magnitude of age composition ISS was stock and region specific, there was a consistent reduction in age composition ISS</w:t>
      </w:r>
      <w:r w:rsidR="00593BE1">
        <w:t xml:space="preserve"> </w:t>
      </w:r>
      <w:r w:rsidR="00AD4F54">
        <w:t>for each</w:t>
      </w:r>
      <w:r w:rsidR="00593BE1">
        <w:t xml:space="preserve"> species types</w:t>
      </w:r>
      <w:r>
        <w:t xml:space="preserve"> as additional sources of uncertainty </w:t>
      </w:r>
      <w:proofErr w:type="gramStart"/>
      <w:r>
        <w:t>were introduced</w:t>
      </w:r>
      <w:proofErr w:type="gramEnd"/>
      <w:r>
        <w:t xml:space="preserve"> in the bootstrap procedure (</w:t>
      </w:r>
      <w:r w:rsidR="000D4CFB">
        <w:t xml:space="preserve">top panels of </w:t>
      </w:r>
      <w:r>
        <w:t>Figure 2</w:t>
      </w:r>
      <w:r w:rsidR="000D4CFB">
        <w:t>, shown by region and stock in Figure S1</w:t>
      </w:r>
      <w:r>
        <w:t>). This reduction in age composition ISS resulted for both sex-specific</w:t>
      </w:r>
      <w:r w:rsidR="000D4CFB">
        <w:t xml:space="preserve"> (female and male)</w:t>
      </w:r>
      <w:r>
        <w:t xml:space="preserve"> and total (combined sex) age composition ISS. The relative magnitude of adding ageing error compared to growth variability was </w:t>
      </w:r>
      <w:r w:rsidR="000D4CFB">
        <w:t>species type specific (top panels Figure 2) and</w:t>
      </w:r>
      <w:r>
        <w:t xml:space="preserve"> stock and region specific</w:t>
      </w:r>
      <w:r w:rsidR="000D4CFB">
        <w:t xml:space="preserve"> (Figure S1)</w:t>
      </w:r>
      <w:r>
        <w:t xml:space="preserve">. For example, adding ageing error to </w:t>
      </w:r>
      <w:r w:rsidR="000D4CFB">
        <w:t>rockfish</w:t>
      </w:r>
      <w:r>
        <w:t xml:space="preserve"> age data resulted in smaller ISS</w:t>
      </w:r>
      <w:r w:rsidR="000D4CFB">
        <w:t xml:space="preserve"> on average</w:t>
      </w:r>
      <w:r>
        <w:t xml:space="preserve"> than adding growth variability, but larger ISS </w:t>
      </w:r>
      <w:r w:rsidR="000D4CFB">
        <w:t xml:space="preserve">for flatfish and </w:t>
      </w:r>
      <w:proofErr w:type="spellStart"/>
      <w:r w:rsidR="000D4CFB">
        <w:t>gadids</w:t>
      </w:r>
      <w:proofErr w:type="spellEnd"/>
      <w:r>
        <w:t xml:space="preserve">. </w:t>
      </w:r>
      <w:r w:rsidR="000D4CFB">
        <w:t>For all the species types, age composition ISS was the smallest when both ageing error and growth variability were included in the bootstrap-simulation procedure</w:t>
      </w:r>
      <w:r>
        <w:t>.</w:t>
      </w:r>
    </w:p>
    <w:p w14:paraId="1CC56542" w14:textId="5A775126" w:rsidR="00927AF5" w:rsidRDefault="00B02E4A" w:rsidP="009277A5">
      <w:pPr>
        <w:pStyle w:val="BodyText"/>
        <w:ind w:firstLine="720"/>
      </w:pPr>
      <w:r>
        <w:t xml:space="preserve">The </w:t>
      </w:r>
      <w:r w:rsidR="000D4CFB">
        <w:t xml:space="preserve">relative </w:t>
      </w:r>
      <w:r>
        <w:t xml:space="preserve">age composition ISS across uncertainty scenarios revealed patterns </w:t>
      </w:r>
      <w:r w:rsidR="000D4CFB">
        <w:t xml:space="preserve">among </w:t>
      </w:r>
      <w:r>
        <w:t>species types</w:t>
      </w:r>
      <w:r w:rsidR="000D4CFB">
        <w:t xml:space="preserve">, where flatfish and </w:t>
      </w:r>
      <w:proofErr w:type="spellStart"/>
      <w:r w:rsidR="000D4CFB">
        <w:t>gadids</w:t>
      </w:r>
      <w:proofErr w:type="spellEnd"/>
      <w:r w:rsidR="000D4CFB">
        <w:t xml:space="preserve"> had similar reductions in age composition ISS, and greater reductions that rockfish age composition ISS, when the additional sources of uncertainty were included in the bootstrap-simulation procedure</w:t>
      </w:r>
      <w:r>
        <w:t xml:space="preserve"> (</w:t>
      </w:r>
      <w:r w:rsidR="000D4CFB">
        <w:t xml:space="preserve">bottom panels of </w:t>
      </w:r>
      <w:r>
        <w:t xml:space="preserve">Figure </w:t>
      </w:r>
      <w:r w:rsidR="00647040">
        <w:t>2</w:t>
      </w:r>
      <w:r>
        <w:t>). Including ageing error for rockfish had a larger proportional reduction in relative ISS than including growth variability. However,</w:t>
      </w:r>
      <w:r w:rsidR="00647040">
        <w:t xml:space="preserve"> when pooling the growth data across years,</w:t>
      </w:r>
      <w:r>
        <w:t xml:space="preserve"> growth variability had a larger proportional reduction for flatfish and </w:t>
      </w:r>
      <w:proofErr w:type="spellStart"/>
      <w:r>
        <w:t>gadid</w:t>
      </w:r>
      <w:proofErr w:type="spellEnd"/>
      <w:r>
        <w:t xml:space="preserve"> relative ISS than adding ageing error. </w:t>
      </w:r>
      <w:proofErr w:type="spellStart"/>
      <w:r w:rsidR="00647040">
        <w:t>Gadids</w:t>
      </w:r>
      <w:proofErr w:type="spellEnd"/>
      <w:r w:rsidR="00647040">
        <w:t xml:space="preserve"> </w:t>
      </w:r>
      <w:r>
        <w:lastRenderedPageBreak/>
        <w:t>exhibited the greatest variability in the proportional reduction in relative ISS</w:t>
      </w:r>
      <w:r w:rsidR="00647040">
        <w:t xml:space="preserve"> and extended to the largest reduction in relative ISS</w:t>
      </w:r>
      <w:r>
        <w:t xml:space="preserve">, while </w:t>
      </w:r>
      <w:r w:rsidR="00647040">
        <w:t xml:space="preserve">rockfish </w:t>
      </w:r>
      <w:r>
        <w:t>had the smallest</w:t>
      </w:r>
      <w:r w:rsidR="00647040">
        <w:t xml:space="preserve"> reduction in</w:t>
      </w:r>
      <w:r>
        <w:t xml:space="preserve"> relative ISS</w:t>
      </w:r>
      <w:r w:rsidR="00647040">
        <w:t xml:space="preserve"> across the uncertainty scenarios</w:t>
      </w:r>
      <w:r>
        <w:t xml:space="preserve">, in general. Overall, </w:t>
      </w:r>
      <w:r w:rsidR="00647040">
        <w:t xml:space="preserve">when </w:t>
      </w:r>
      <w:r>
        <w:t>adding both ageing error and growth variability</w:t>
      </w:r>
      <w:r w:rsidR="00647040">
        <w:t xml:space="preserve"> the median</w:t>
      </w:r>
      <w:r>
        <w:t xml:space="preserve"> decrease </w:t>
      </w:r>
      <w:r w:rsidR="00647040">
        <w:t xml:space="preserve">in </w:t>
      </w:r>
      <w:r w:rsidR="00872D81">
        <w:t>age composition</w:t>
      </w:r>
      <w:r>
        <w:t xml:space="preserve"> ISS </w:t>
      </w:r>
      <w:r w:rsidR="00647040">
        <w:t xml:space="preserve">was </w:t>
      </w:r>
      <w:r w:rsidR="00872D81">
        <w:t>72</w:t>
      </w:r>
      <w:r w:rsidR="00647040">
        <w:t>%</w:t>
      </w:r>
      <w:r>
        <w:t xml:space="preserve"> for flatfish, </w:t>
      </w:r>
      <w:r w:rsidR="00872D81">
        <w:t>56</w:t>
      </w:r>
      <w:r>
        <w:t xml:space="preserve">% for </w:t>
      </w:r>
      <w:proofErr w:type="spellStart"/>
      <w:r>
        <w:t>gadids</w:t>
      </w:r>
      <w:proofErr w:type="spellEnd"/>
      <w:r>
        <w:t xml:space="preserve">, and </w:t>
      </w:r>
      <w:r w:rsidR="00872D81">
        <w:t>88</w:t>
      </w:r>
      <w:r>
        <w:t>% for rockfish</w:t>
      </w:r>
      <w:r w:rsidR="00872D81">
        <w:t xml:space="preserve"> when compared to age composition ISS that </w:t>
      </w:r>
      <w:proofErr w:type="gramStart"/>
      <w:r w:rsidR="00872D81">
        <w:t>doesn’t</w:t>
      </w:r>
      <w:proofErr w:type="gramEnd"/>
      <w:r w:rsidR="00872D81">
        <w:t xml:space="preserve"> include these sources of uncertainty</w:t>
      </w:r>
      <w:r>
        <w:t>.</w:t>
      </w:r>
      <w:r w:rsidR="00647040">
        <w:t xml:space="preserve"> We also note an interesting result in which for some </w:t>
      </w:r>
      <w:r w:rsidR="00872D81">
        <w:t xml:space="preserve">instances </w:t>
      </w:r>
      <w:r w:rsidR="00647040">
        <w:t>the relative ISS was larger than 100%, indicating that when implementing ageing error and growth variability there is a random chance that the age composition ISS could increase</w:t>
      </w:r>
      <w:r w:rsidR="00872D81">
        <w:t xml:space="preserve"> compared to the ISS that does not include these sources of uncertainty. However, </w:t>
      </w:r>
      <w:r w:rsidR="00647040">
        <w:t xml:space="preserve">this </w:t>
      </w:r>
      <w:r w:rsidR="00872D81">
        <w:t>occurred</w:t>
      </w:r>
      <w:r w:rsidR="00647040">
        <w:t xml:space="preserve"> in a </w:t>
      </w:r>
      <w:r w:rsidR="00872D81">
        <w:t xml:space="preserve">small </w:t>
      </w:r>
      <w:r w:rsidR="00647040">
        <w:t xml:space="preserve">number of </w:t>
      </w:r>
      <w:r w:rsidR="00872D81">
        <w:t>instances</w:t>
      </w:r>
      <w:r w:rsidR="00A7460C">
        <w:t xml:space="preserve"> (in general, for less than 25% of the stock-year </w:t>
      </w:r>
      <w:r w:rsidR="007B7A8D">
        <w:t>age composition ISS</w:t>
      </w:r>
      <w:r w:rsidR="00A7460C">
        <w:t>)</w:t>
      </w:r>
      <w:r w:rsidR="00872D81">
        <w:t>.</w:t>
      </w:r>
    </w:p>
    <w:p w14:paraId="6AF1BDA8" w14:textId="09F8BDE5" w:rsidR="00872D81" w:rsidRDefault="0079087B" w:rsidP="009277A5">
      <w:pPr>
        <w:pStyle w:val="BodyText"/>
        <w:ind w:firstLine="720"/>
      </w:pPr>
      <w:r>
        <w:t xml:space="preserve">Whether using pooled or annual growth data in the growth </w:t>
      </w:r>
      <w:r w:rsidR="00C4369F">
        <w:t>data</w:t>
      </w:r>
      <w:r>
        <w:t xml:space="preserve"> treatment similar reductions in age composition ISS resulted for flatfish and rockfish, however, the decrease in ISS was less in the </w:t>
      </w:r>
      <w:proofErr w:type="gramStart"/>
      <w:r>
        <w:t>growth variability uncertainty scenario</w:t>
      </w:r>
      <w:proofErr w:type="gramEnd"/>
      <w:r>
        <w:t xml:space="preserve"> for </w:t>
      </w:r>
      <w:proofErr w:type="spellStart"/>
      <w:r>
        <w:t>gadids</w:t>
      </w:r>
      <w:proofErr w:type="spellEnd"/>
      <w:r>
        <w:t xml:space="preserve"> when using annual growth data as compared to pooled growth data (Figure 3</w:t>
      </w:r>
      <w:r w:rsidR="002D489A">
        <w:t>, shown for individual stocks in Figures S1 and S2</w:t>
      </w:r>
      <w:r>
        <w:t>). In general, for all the species types the relative ISS was smaller when using pooled growth data compared to annual growth data</w:t>
      </w:r>
      <w:r w:rsidR="007B7A8D">
        <w:t>, indicating an increase in uncertainty when using pooled growth data as compared to annual growth data.</w:t>
      </w:r>
      <w:r>
        <w:t xml:space="preserve"> F</w:t>
      </w:r>
      <w:r w:rsidR="007B7A8D">
        <w:t>urther, for all the species types</w:t>
      </w:r>
      <w:r>
        <w:t>, the variability in the relative ISS was reduced when using annual growth data as compared to pooled growth data</w:t>
      </w:r>
      <w:r w:rsidR="007B7A8D">
        <w:t xml:space="preserve"> in the growth variability uncertainty </w:t>
      </w:r>
      <w:proofErr w:type="gramStart"/>
      <w:r w:rsidR="002D489A">
        <w:t>scenario</w:t>
      </w:r>
      <w:r w:rsidR="007B7A8D">
        <w:t>,</w:t>
      </w:r>
      <w:proofErr w:type="gramEnd"/>
      <w:r w:rsidR="007B7A8D">
        <w:t xml:space="preserve"> this was particularly true for flatfish and </w:t>
      </w:r>
      <w:proofErr w:type="spellStart"/>
      <w:r w:rsidR="007B7A8D">
        <w:t>gadids</w:t>
      </w:r>
      <w:proofErr w:type="spellEnd"/>
      <w:r w:rsidR="007B7A8D">
        <w:t>.</w:t>
      </w:r>
      <w:r w:rsidR="002D489A">
        <w:t xml:space="preserve"> For the remaining treatments (length bin and aggregation </w:t>
      </w:r>
      <w:proofErr w:type="gramStart"/>
      <w:r w:rsidR="002D489A">
        <w:t>treatments)</w:t>
      </w:r>
      <w:proofErr w:type="gramEnd"/>
      <w:r w:rsidR="002D489A">
        <w:t xml:space="preserve"> we show results using the annual growth data when implementing growth variability (but note that the trend of results was consistent regardless of growth data treatment).</w:t>
      </w:r>
    </w:p>
    <w:p w14:paraId="50A3C40F" w14:textId="3403723C" w:rsidR="007B7A8D" w:rsidRDefault="002D489A" w:rsidP="009277A5">
      <w:pPr>
        <w:pStyle w:val="BodyText"/>
        <w:ind w:firstLine="720"/>
      </w:pPr>
      <w:r>
        <w:lastRenderedPageBreak/>
        <w:t xml:space="preserve">For the length bin treatment and aggregation treatment slight differences in age composition ISS resulted, while </w:t>
      </w:r>
      <w:r w:rsidR="003F07B4">
        <w:t xml:space="preserve">relative ISS results were consistent across the species types (Figures 4 and 5). </w:t>
      </w:r>
      <w:r w:rsidR="007B7A8D">
        <w:t>A</w:t>
      </w:r>
      <w:r w:rsidR="003F07B4">
        <w:t>n</w:t>
      </w:r>
      <w:r w:rsidR="007B7A8D">
        <w:t xml:space="preserve"> increase in the age composition ISS resulted as the bin size increased within the length bin treatment for each of the uncertainty scenarios, while the primary result of decreasing age composition ISS as additional uncertainty was included remained (</w:t>
      </w:r>
      <w:r w:rsidR="003F07B4">
        <w:t>top panels of</w:t>
      </w:r>
      <w:r>
        <w:t xml:space="preserve"> </w:t>
      </w:r>
      <w:r w:rsidR="007B7A8D">
        <w:t>Figure 4</w:t>
      </w:r>
      <w:r>
        <w:t>, shown for individual stocks in Figures S2 – S4</w:t>
      </w:r>
      <w:r w:rsidR="007B7A8D">
        <w:t>).</w:t>
      </w:r>
      <w:r w:rsidR="00C47561">
        <w:t xml:space="preserve"> The increase in age composition ISS </w:t>
      </w:r>
      <w:r w:rsidR="00D06D97">
        <w:t>ranged from 4 – 13%</w:t>
      </w:r>
      <w:r w:rsidR="00C47561">
        <w:t xml:space="preserve"> for 2 cm bins and </w:t>
      </w:r>
      <w:r w:rsidR="00D06D97">
        <w:t xml:space="preserve">10 – 23% </w:t>
      </w:r>
      <w:r w:rsidR="00C47561">
        <w:t>for 5 cm bins across the species types</w:t>
      </w:r>
      <w:r w:rsidR="00D06D97">
        <w:t xml:space="preserve"> and uncertainty scenarios</w:t>
      </w:r>
      <w:r w:rsidR="00C47561">
        <w:t xml:space="preserve"> compared to the age composition ISS using 1 cm length bins.</w:t>
      </w:r>
      <w:r w:rsidR="00D06D97">
        <w:t xml:space="preserve"> In </w:t>
      </w:r>
      <w:r>
        <w:t>the length bin treatment the relative ISS, and variability in relative ISS, resulted in similar values for each of the uncertainty scenarios</w:t>
      </w:r>
      <w:r w:rsidR="00D06D97">
        <w:t xml:space="preserve"> regardless of the size of the length bin for each of</w:t>
      </w:r>
      <w:r>
        <w:t xml:space="preserve"> the species types (bottom panels, Figure 4).</w:t>
      </w:r>
      <w:r w:rsidR="003F07B4">
        <w:t xml:space="preserve"> An increase in age composition ISS resulted when aggregating combined sex data pre-expansion as compared to post-expansion in the aggregation treatment for the example stocks </w:t>
      </w:r>
      <w:proofErr w:type="gramStart"/>
      <w:r w:rsidR="003F07B4">
        <w:t>we</w:t>
      </w:r>
      <w:proofErr w:type="gramEnd"/>
      <w:r w:rsidR="003F07B4">
        <w:t xml:space="preserve"> selected (top panels of Figure 5).</w:t>
      </w:r>
      <w:r w:rsidR="00C56A70">
        <w:t xml:space="preserve"> This increase in age composition ISS ranged from 4 – 11% for these stocks across the uncertainty scenarios when aggregating combined sex data pre-expansion as compared to post-expansion. Similar to the length bin treatment, the relative ISS remained largely unchanged whether the combined sex data </w:t>
      </w:r>
      <w:proofErr w:type="gramStart"/>
      <w:r w:rsidR="00C56A70">
        <w:t>were aggregated</w:t>
      </w:r>
      <w:proofErr w:type="gramEnd"/>
      <w:r w:rsidR="00C56A70">
        <w:t xml:space="preserve"> pre-expansion or post-expansion </w:t>
      </w:r>
      <w:r w:rsidR="002C556E">
        <w:t xml:space="preserve">in the aggregation treatment </w:t>
      </w:r>
      <w:r w:rsidR="00C56A70">
        <w:t>(bottom panels of Figure 5)</w:t>
      </w:r>
      <w:r w:rsidR="002C556E">
        <w:t>.</w:t>
      </w:r>
    </w:p>
    <w:p w14:paraId="6531383D" w14:textId="77777777" w:rsidR="00E14C5A" w:rsidRDefault="00D815DB" w:rsidP="009277A5">
      <w:pPr>
        <w:pStyle w:val="BodyText"/>
        <w:ind w:firstLine="720"/>
      </w:pPr>
      <w:r>
        <w:t>Similar to results for expanded age composition, t</w:t>
      </w:r>
      <w:r w:rsidR="002C556E">
        <w:t>he magnitude of conditional age-at-length ISS (presented as the mean across length bins) was stock specific</w:t>
      </w:r>
      <w:r>
        <w:t xml:space="preserve"> and decreased across the uncertainty scenarios as ageing error and growth variability was introduced (Figure 6). </w:t>
      </w:r>
      <w:r w:rsidR="00AB6B9B">
        <w:t>When comparing across the stock examples the magnitude of age composition</w:t>
      </w:r>
      <w:r>
        <w:t xml:space="preserve"> ISS</w:t>
      </w:r>
      <w:r w:rsidR="00AB6B9B">
        <w:t xml:space="preserve"> compared to conditional age-at-length ISS was different. For example, </w:t>
      </w:r>
      <w:proofErr w:type="spellStart"/>
      <w:r w:rsidR="00AB6B9B">
        <w:t>arrowtooth</w:t>
      </w:r>
      <w:proofErr w:type="spellEnd"/>
      <w:r w:rsidR="00AB6B9B">
        <w:t xml:space="preserve"> flounder age composition</w:t>
      </w:r>
      <w:r>
        <w:t xml:space="preserve"> </w:t>
      </w:r>
      <w:r w:rsidR="00AB6B9B">
        <w:lastRenderedPageBreak/>
        <w:t xml:space="preserve">ISS was generally larger than </w:t>
      </w:r>
      <w:proofErr w:type="gramStart"/>
      <w:r w:rsidR="00AB6B9B">
        <w:t xml:space="preserve">either walleye </w:t>
      </w:r>
      <w:proofErr w:type="spellStart"/>
      <w:r w:rsidR="00AB6B9B">
        <w:t>pollock</w:t>
      </w:r>
      <w:proofErr w:type="spellEnd"/>
      <w:r w:rsidR="00AB6B9B">
        <w:t xml:space="preserve"> and</w:t>
      </w:r>
      <w:proofErr w:type="gramEnd"/>
      <w:r w:rsidR="00AB6B9B">
        <w:t xml:space="preserve"> Pacific ocean perch age composition ISS, where Pacific ocean perch conditional age-at-length was generally larger than </w:t>
      </w:r>
      <w:proofErr w:type="spellStart"/>
      <w:r w:rsidR="00AB6B9B">
        <w:t>arrowtooth</w:t>
      </w:r>
      <w:proofErr w:type="spellEnd"/>
      <w:r w:rsidR="00AB6B9B">
        <w:t xml:space="preserve"> flounder and walleye </w:t>
      </w:r>
      <w:proofErr w:type="spellStart"/>
      <w:r w:rsidR="00AB6B9B">
        <w:t>pollock</w:t>
      </w:r>
      <w:proofErr w:type="spellEnd"/>
      <w:r w:rsidR="00AB6B9B">
        <w:t xml:space="preserve"> conditional age-at-length ISS (top two rows of Figure 6). While the relative age composition and conditional age-at-length ISS decreased across the uncertainty scenarios, the magnitude of decrease within the uncertainty scenarios was different when comparing between age composition and conditional age-at-length</w:t>
      </w:r>
      <w:r w:rsidR="00CD766E">
        <w:t xml:space="preserve"> (bottom two rows of Figure 6)</w:t>
      </w:r>
      <w:r w:rsidR="00AB6B9B">
        <w:t xml:space="preserve">. For example, the decrease in relative conditional age-at-length ISS when implementing growth variability was larger for </w:t>
      </w:r>
      <w:proofErr w:type="spellStart"/>
      <w:r w:rsidR="00AB6B9B">
        <w:t>arrowtooth</w:t>
      </w:r>
      <w:proofErr w:type="spellEnd"/>
      <w:r w:rsidR="00AB6B9B">
        <w:t xml:space="preserve"> flounder and P</w:t>
      </w:r>
      <w:r w:rsidR="00CD766E">
        <w:t>acific ocean perch than the decrease in</w:t>
      </w:r>
      <w:r w:rsidR="00AB6B9B">
        <w:t xml:space="preserve"> relative age composition ISS</w:t>
      </w:r>
      <w:r w:rsidR="00CD766E">
        <w:t xml:space="preserve">. Additionally, the decrease in relative conditional age-at-length ISS was larger for walleye </w:t>
      </w:r>
      <w:proofErr w:type="spellStart"/>
      <w:r w:rsidR="00CD766E">
        <w:t>pollock</w:t>
      </w:r>
      <w:proofErr w:type="spellEnd"/>
      <w:r w:rsidR="00CD766E">
        <w:t xml:space="preserve"> for each of the uncertainty scenarios as compared to relative age composition ISS.</w:t>
      </w:r>
    </w:p>
    <w:p w14:paraId="5C6895FB" w14:textId="2A04E73E" w:rsidR="00CD766E" w:rsidRDefault="00B02E4A" w:rsidP="009277A5">
      <w:pPr>
        <w:pStyle w:val="BodyText"/>
        <w:ind w:firstLine="720"/>
      </w:pPr>
      <w:r>
        <w:t xml:space="preserve">A </w:t>
      </w:r>
      <w:r w:rsidR="00CD766E">
        <w:t xml:space="preserve">decreasing </w:t>
      </w:r>
      <w:r>
        <w:t xml:space="preserve">relationship </w:t>
      </w:r>
      <w:r w:rsidR="00CD766E">
        <w:t>was</w:t>
      </w:r>
      <w:r>
        <w:t xml:space="preserve"> observed</w:t>
      </w:r>
      <w:r w:rsidR="00CD766E">
        <w:t xml:space="preserve"> for each species type</w:t>
      </w:r>
      <w:r>
        <w:t xml:space="preserve"> between the</w:t>
      </w:r>
      <w:r w:rsidR="00CD766E">
        <w:t xml:space="preserve"> age </w:t>
      </w:r>
      <w:proofErr w:type="gramStart"/>
      <w:r w:rsidR="00CD766E">
        <w:t>composition</w:t>
      </w:r>
      <w:proofErr w:type="gramEnd"/>
      <w:r w:rsidR="00CD766E">
        <w:t xml:space="preserve"> ISS per age sample</w:t>
      </w:r>
      <w:r>
        <w:t xml:space="preserve"> </w:t>
      </w:r>
      <w:r w:rsidR="00CD766E">
        <w:t xml:space="preserve">and the total number of age samples collected </w:t>
      </w:r>
      <w:r>
        <w:t>(top panel</w:t>
      </w:r>
      <w:r w:rsidR="00CD766E">
        <w:t>s</w:t>
      </w:r>
      <w:r>
        <w:t xml:space="preserve"> of Figure </w:t>
      </w:r>
      <w:r w:rsidR="00CD766E">
        <w:t>7</w:t>
      </w:r>
      <w:r>
        <w:t xml:space="preserve">). </w:t>
      </w:r>
      <w:r w:rsidR="00CD766E">
        <w:t xml:space="preserve">This decreasing relationship resulted for each of the uncertainty scenarios, but was not a significant relationship with </w:t>
      </w:r>
      <w:r w:rsidR="00CD766E" w:rsidRPr="00CD766E">
        <w:rPr>
          <w:i/>
        </w:rPr>
        <w:t>R</w:t>
      </w:r>
      <w:r w:rsidR="00CD766E">
        <w:rPr>
          <w:vertAlign w:val="superscript"/>
        </w:rPr>
        <w:t>2</w:t>
      </w:r>
      <w:r w:rsidR="00CD766E">
        <w:t xml:space="preserve"> values less than 0.23 for each linear model fit, where the majority were below 0.1 (shown in text in the top panels of Figure 7). The median age composition ISS per age sample ranged from </w:t>
      </w:r>
      <w:r w:rsidR="006207AE">
        <w:t xml:space="preserve">0.3 - 0.37 for flatfish, 0.14 – 0.23 for </w:t>
      </w:r>
      <w:proofErr w:type="spellStart"/>
      <w:r w:rsidR="006207AE">
        <w:t>gadids</w:t>
      </w:r>
      <w:proofErr w:type="spellEnd"/>
      <w:r w:rsidR="006207AE">
        <w:t>, and 0.25 – 0.29 for rockfish across the uncertainty scenarios (bottom panel</w:t>
      </w:r>
      <w:r w:rsidR="006B20CD">
        <w:t>s</w:t>
      </w:r>
      <w:r w:rsidR="006207AE">
        <w:t xml:space="preserve"> of Figure 7). We note that the uncertainty in these median values of age composition ISS per age sample was large, with coefficients of variation upwards of 28% for flatfish, 61% for </w:t>
      </w:r>
      <w:proofErr w:type="spellStart"/>
      <w:r w:rsidR="006207AE">
        <w:t>gadids</w:t>
      </w:r>
      <w:proofErr w:type="spellEnd"/>
      <w:r w:rsidR="006207AE">
        <w:t>, and 33% for rockfish.</w:t>
      </w:r>
    </w:p>
    <w:p w14:paraId="7B7E0125" w14:textId="39334BE1" w:rsidR="006B20CD" w:rsidRPr="006B20CD" w:rsidRDefault="001004FF" w:rsidP="000E6F4E">
      <w:pPr>
        <w:pStyle w:val="BodyText"/>
        <w:ind w:firstLine="720"/>
      </w:pPr>
      <w:r>
        <w:t>An increasing relationship resulted for each species type between the age composition ISS per sampled haul and the number of age samples per sampled haul (</w:t>
      </w:r>
      <w:r w:rsidR="006B20CD">
        <w:t xml:space="preserve">top panels of </w:t>
      </w:r>
      <w:r>
        <w:t>F</w:t>
      </w:r>
      <w:r w:rsidR="006B20CD">
        <w:t>igure 8, we note these panels are</w:t>
      </w:r>
      <w:r>
        <w:t xml:space="preserve"> analogous to Figure 4 in Stewart and Hamel 2014). </w:t>
      </w:r>
      <w:r w:rsidR="006B20CD">
        <w:t xml:space="preserve">The strongest </w:t>
      </w:r>
      <w:r w:rsidR="006B20CD">
        <w:lastRenderedPageBreak/>
        <w:t xml:space="preserve">relationship resulted for flatfish (with </w:t>
      </w:r>
      <w:r w:rsidR="006B20CD">
        <w:rPr>
          <w:i/>
        </w:rPr>
        <w:t>R</w:t>
      </w:r>
      <w:r w:rsidR="006B20CD">
        <w:rPr>
          <w:vertAlign w:val="superscript"/>
        </w:rPr>
        <w:t>2</w:t>
      </w:r>
      <w:r w:rsidR="006B20CD">
        <w:t xml:space="preserve"> values of 0.8 – 0.93), was intermediate for rockfish (with </w:t>
      </w:r>
      <w:r w:rsidR="006B20CD">
        <w:rPr>
          <w:i/>
        </w:rPr>
        <w:t>R</w:t>
      </w:r>
      <w:r w:rsidR="006B20CD">
        <w:rPr>
          <w:vertAlign w:val="superscript"/>
        </w:rPr>
        <w:t>2</w:t>
      </w:r>
      <w:r w:rsidR="006B20CD">
        <w:t xml:space="preserve"> values of 0.59 – 0.64), and was the weakest for </w:t>
      </w:r>
      <w:proofErr w:type="spellStart"/>
      <w:r w:rsidR="006B20CD">
        <w:t>gadids</w:t>
      </w:r>
      <w:proofErr w:type="spellEnd"/>
      <w:r w:rsidR="006B20CD">
        <w:t xml:space="preserve"> (with </w:t>
      </w:r>
      <w:r w:rsidR="006B20CD">
        <w:rPr>
          <w:i/>
        </w:rPr>
        <w:t>R</w:t>
      </w:r>
      <w:r w:rsidR="006B20CD">
        <w:rPr>
          <w:vertAlign w:val="superscript"/>
        </w:rPr>
        <w:t>2</w:t>
      </w:r>
      <w:r w:rsidR="006B20CD">
        <w:t xml:space="preserve"> values of 0.39 – 0.56). The linear relationship also degraded as additional uncertainty </w:t>
      </w:r>
      <w:proofErr w:type="gramStart"/>
      <w:r w:rsidR="006B20CD">
        <w:t>was incorporated</w:t>
      </w:r>
      <w:proofErr w:type="gramEnd"/>
      <w:r w:rsidR="006B20CD">
        <w:t xml:space="preserve"> across the uncertainty scenarios for all the species types.</w:t>
      </w:r>
      <w:r w:rsidR="006B20CD" w:rsidRPr="006B20CD">
        <w:t xml:space="preserve"> </w:t>
      </w:r>
      <w:r w:rsidR="006B20CD">
        <w:t xml:space="preserve">The median age composition ISS per sampled haul ranged from 2.5 – 3.1 for flatfish, 0.9 – 1.5 for </w:t>
      </w:r>
      <w:proofErr w:type="spellStart"/>
      <w:r w:rsidR="006B20CD">
        <w:t>gadids</w:t>
      </w:r>
      <w:proofErr w:type="spellEnd"/>
      <w:r w:rsidR="006B20CD">
        <w:t>, and 1.5 – 1.7 for rockfish across the uncertainty scenarios (bottom panels of Figure 8, we note these panels are analogous to Figure 3 in Stewart and Hamel 2014). We note that the uncertainty in these median values of age composition ISS per sampled haul was large, with coeffic</w:t>
      </w:r>
      <w:r w:rsidR="000E6F4E">
        <w:t xml:space="preserve">ients of variation upwards of 74% for flatfish, 86% for </w:t>
      </w:r>
      <w:proofErr w:type="spellStart"/>
      <w:r w:rsidR="000E6F4E">
        <w:t>gadids</w:t>
      </w:r>
      <w:proofErr w:type="spellEnd"/>
      <w:r w:rsidR="000E6F4E">
        <w:t>, and 57</w:t>
      </w:r>
      <w:r w:rsidR="006B20CD">
        <w:t>% for rockfish.</w:t>
      </w:r>
    </w:p>
    <w:p w14:paraId="7CD9BE53" w14:textId="398BC70A" w:rsidR="00927AF5" w:rsidRDefault="00B02E4A" w:rsidP="009277A5">
      <w:pPr>
        <w:pStyle w:val="BodyText"/>
        <w:ind w:firstLine="720"/>
      </w:pPr>
      <w:r>
        <w:t xml:space="preserve">Comparing between statistics for </w:t>
      </w:r>
      <w:r w:rsidR="006207AE">
        <w:t>longevity (as indicated by age range)</w:t>
      </w:r>
      <w:r>
        <w:t xml:space="preserve"> and growth </w:t>
      </w:r>
      <w:r w:rsidR="006207AE">
        <w:t>(as indicated by length range)</w:t>
      </w:r>
      <w:r w:rsidR="00E14C5A">
        <w:t xml:space="preserve"> </w:t>
      </w:r>
      <w:r>
        <w:t xml:space="preserve">resulted in </w:t>
      </w:r>
      <w:r w:rsidR="006207AE">
        <w:t xml:space="preserve">generally similar </w:t>
      </w:r>
      <w:r>
        <w:t>trends in the relative</w:t>
      </w:r>
      <w:r w:rsidR="006207AE">
        <w:t xml:space="preserve"> age composition</w:t>
      </w:r>
      <w:r>
        <w:t xml:space="preserve"> ISS by species types</w:t>
      </w:r>
      <w:r w:rsidR="00870307">
        <w:t xml:space="preserve"> when adding eith</w:t>
      </w:r>
      <w:r w:rsidR="00E14C5A">
        <w:t>er ageing error or growth varia</w:t>
      </w:r>
      <w:r w:rsidR="00870307">
        <w:t>b</w:t>
      </w:r>
      <w:r w:rsidR="00E14C5A">
        <w:t>i</w:t>
      </w:r>
      <w:r w:rsidR="00870307">
        <w:t>lity</w:t>
      </w:r>
      <w:r>
        <w:t xml:space="preserve"> (top panels of Figure </w:t>
      </w:r>
      <w:r w:rsidR="001004FF">
        <w:t>9</w:t>
      </w:r>
      <w:r>
        <w:t xml:space="preserve">). The relative </w:t>
      </w:r>
      <w:r w:rsidR="006207AE">
        <w:t xml:space="preserve">age composition </w:t>
      </w:r>
      <w:r>
        <w:t xml:space="preserve">ISS when adding ageing error </w:t>
      </w:r>
      <w:r w:rsidR="006207AE">
        <w:t>had a decreasing trend</w:t>
      </w:r>
      <w:r w:rsidR="00870307">
        <w:t xml:space="preserve"> when compared to longevity for each of the species types, indicating that the longer lived the stock the larger the effect of ageing error had on age composition ISS (top left panel o</w:t>
      </w:r>
      <w:r w:rsidR="001004FF">
        <w:t>f Figure 9</w:t>
      </w:r>
      <w:r w:rsidR="00870307">
        <w:t xml:space="preserve">). A similar decreasing trend resulted for </w:t>
      </w:r>
      <w:r w:rsidR="00B80F91">
        <w:t>each species type</w:t>
      </w:r>
      <w:r w:rsidR="00870307">
        <w:t xml:space="preserve"> when comparing relative age composition ISS after adding growth variability with the length range of the stocks, indicating that the larger the stock grows the more of an effect growth variability has on decreasing the age composition </w:t>
      </w:r>
      <w:r w:rsidR="001004FF">
        <w:t>ISS (top right panel of Figure 9</w:t>
      </w:r>
      <w:r w:rsidR="00870307">
        <w:t>).</w:t>
      </w:r>
      <w:r w:rsidR="00B80F91">
        <w:t xml:space="preserve"> </w:t>
      </w:r>
      <w:r>
        <w:t>On average, the relative ISS when adding both ageing error and growth variability was largest for rockfish</w:t>
      </w:r>
      <w:r w:rsidR="00B80F91">
        <w:t xml:space="preserve"> (85% of the base age composition ISS)</w:t>
      </w:r>
      <w:r>
        <w:t>, intermediate for flatfish</w:t>
      </w:r>
      <w:r w:rsidR="00B80F91">
        <w:t xml:space="preserve"> (78% of the base age composition ISS)</w:t>
      </w:r>
      <w:r>
        <w:t xml:space="preserve">, and smallest for </w:t>
      </w:r>
      <w:proofErr w:type="spellStart"/>
      <w:r>
        <w:t>gadids</w:t>
      </w:r>
      <w:proofErr w:type="spellEnd"/>
      <w:r>
        <w:t xml:space="preserve"> (</w:t>
      </w:r>
      <w:r w:rsidR="00B80F91">
        <w:t xml:space="preserve">70% of the base age composition ISS, </w:t>
      </w:r>
      <w:r>
        <w:t xml:space="preserve">bottom panel of Figure </w:t>
      </w:r>
      <w:r w:rsidR="001004FF">
        <w:t>9</w:t>
      </w:r>
      <w:r>
        <w:t xml:space="preserve">). The same trend resulted when evaluating the range </w:t>
      </w:r>
      <w:r>
        <w:lastRenderedPageBreak/>
        <w:t xml:space="preserve">in the relative </w:t>
      </w:r>
      <w:r w:rsidR="00B80F91">
        <w:t xml:space="preserve">age composition </w:t>
      </w:r>
      <w:r>
        <w:t>ISS when both ageing error and growth variability were added</w:t>
      </w:r>
      <w:r w:rsidR="00B80F91">
        <w:t xml:space="preserve">, where the range was smallest for rockfish, intermediate for flatfish, and largest for </w:t>
      </w:r>
      <w:proofErr w:type="spellStart"/>
      <w:r w:rsidR="00B80F91">
        <w:t>gadids</w:t>
      </w:r>
      <w:proofErr w:type="spellEnd"/>
      <w:r>
        <w:t>.</w:t>
      </w:r>
    </w:p>
    <w:p w14:paraId="48676306" w14:textId="77777777" w:rsidR="009277A5" w:rsidRDefault="009277A5" w:rsidP="009277A5">
      <w:pPr>
        <w:pStyle w:val="BodyText"/>
      </w:pPr>
    </w:p>
    <w:p w14:paraId="414EB42C" w14:textId="77777777" w:rsidR="00927AF5" w:rsidRDefault="00B02E4A">
      <w:pPr>
        <w:pStyle w:val="Heading1"/>
      </w:pPr>
      <w:bookmarkStart w:id="11" w:name="discussion"/>
      <w:bookmarkEnd w:id="10"/>
      <w:r>
        <w:t>4. Discussion</w:t>
      </w:r>
    </w:p>
    <w:p w14:paraId="0362D168" w14:textId="1D3D6BDE" w:rsidR="00927AF5" w:rsidRDefault="00B02E4A" w:rsidP="009277A5">
      <w:pPr>
        <w:pStyle w:val="FirstParagraph"/>
        <w:ind w:firstLine="720"/>
      </w:pPr>
      <w:r>
        <w:t>In this study we find that accounting for ageing error and growth variability using bootstrap procedures decreased age composition ISS for all stocks examined.</w:t>
      </w:r>
      <w:r w:rsidR="0073674A">
        <w:t xml:space="preserve"> This result was consistent across all the treatments that we applied, which included evaluating pooling of growth data (either using annual data or pooled across time), different sizes of length bins (either 1 cm, 2 cm, or 5 cm bins), and</w:t>
      </w:r>
      <w:r w:rsidR="009C107F">
        <w:t xml:space="preserve"> differences in</w:t>
      </w:r>
      <w:r w:rsidR="0073674A">
        <w:t xml:space="preserve"> aggregating data for total age composition (either before or after length and age expansion). We also showed that this result was consistent for conditional age-at-length ISS. </w:t>
      </w:r>
      <w:r>
        <w:t xml:space="preserve">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w:t>
      </w:r>
      <w:r w:rsidR="0073674A">
        <w:t xml:space="preserve"> However, the influence of growth variability for </w:t>
      </w:r>
      <w:proofErr w:type="spellStart"/>
      <w:r w:rsidR="0073674A">
        <w:t>gadids</w:t>
      </w:r>
      <w:proofErr w:type="spellEnd"/>
      <w:r w:rsidR="0073674A">
        <w:t xml:space="preserve"> and flatfish was sensitive to the pooling of growth data; age composition ISS was smaller when growth variability </w:t>
      </w:r>
      <w:proofErr w:type="gramStart"/>
      <w:r w:rsidR="0073674A">
        <w:t>was applied</w:t>
      </w:r>
      <w:proofErr w:type="gramEnd"/>
      <w:r w:rsidR="0073674A">
        <w:t xml:space="preserve"> to pooled data as compared to annual data for </w:t>
      </w:r>
      <w:proofErr w:type="spellStart"/>
      <w:r w:rsidR="0073674A">
        <w:t>gadids</w:t>
      </w:r>
      <w:proofErr w:type="spellEnd"/>
      <w:r w:rsidR="0073674A">
        <w:t xml:space="preserve">, and the range in the decrease in age composition ISS was smaller </w:t>
      </w:r>
      <w:r w:rsidR="000545AB">
        <w:t>for annual data compared to pooled data for flatfish</w:t>
      </w:r>
      <w:r w:rsidR="0073674A">
        <w:t>.</w:t>
      </w:r>
      <w:r>
        <w:t xml:space="preserve"> We propose that these results are due to larger</w:t>
      </w:r>
      <w:r w:rsidR="0073674A">
        <w:t xml:space="preserve"> inter-annual</w:t>
      </w:r>
      <w:r>
        <w:t xml:space="preserve">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When considering both ageing error and growth uncertainty the largest reduction in ISS magnitude was for </w:t>
      </w:r>
      <w:proofErr w:type="spellStart"/>
      <w:r>
        <w:t>gadids</w:t>
      </w:r>
      <w:proofErr w:type="spellEnd"/>
      <w:r>
        <w:t>, followed by flatfish, with the least effect observed for rockfish, though results varies by stock and region.</w:t>
      </w:r>
    </w:p>
    <w:p w14:paraId="0A2222DE" w14:textId="77777777" w:rsidR="00B833FB" w:rsidRDefault="009C107F" w:rsidP="00F00867">
      <w:pPr>
        <w:pStyle w:val="BodyText"/>
      </w:pPr>
      <w:r>
        <w:lastRenderedPageBreak/>
        <w:tab/>
        <w:t xml:space="preserve">When applying the bootstrap procedure we developed in this study to estimate age composition ISS there are several considerations that </w:t>
      </w:r>
      <w:proofErr w:type="gramStart"/>
      <w:r>
        <w:t>should be made</w:t>
      </w:r>
      <w:proofErr w:type="gramEnd"/>
      <w:r>
        <w:t xml:space="preserve"> that are specific to the stock </w:t>
      </w:r>
      <w:r w:rsidR="00873AB6">
        <w:t>that is being analyzed</w:t>
      </w:r>
      <w:r>
        <w:t xml:space="preserve">. These considerations include: (1) the size of length bins used for length data, (2) whether to aggregate length and age data prior to or after </w:t>
      </w:r>
      <w:proofErr w:type="gramStart"/>
      <w:r>
        <w:t>length and age expansion, and (3)</w:t>
      </w:r>
      <w:r w:rsidR="00873AB6">
        <w:t xml:space="preserve"> whether to pool growth data across time or use annual data</w:t>
      </w:r>
      <w:proofErr w:type="gramEnd"/>
      <w:r w:rsidR="00873AB6">
        <w:t>.</w:t>
      </w:r>
    </w:p>
    <w:p w14:paraId="555B9CE2" w14:textId="77777777" w:rsidR="00B833FB" w:rsidRDefault="009C107F" w:rsidP="00F00867">
      <w:pPr>
        <w:pStyle w:val="BodyText"/>
        <w:ind w:firstLine="720"/>
      </w:pPr>
      <w:r>
        <w:t xml:space="preserve">In this </w:t>
      </w:r>
      <w:proofErr w:type="gramStart"/>
      <w:r>
        <w:t>study</w:t>
      </w:r>
      <w:proofErr w:type="gramEnd"/>
      <w:r>
        <w:t xml:space="preserve"> we found that age composition can increase as the size of the length bin increases. For example, age composition ISS for 5 cm length bins was larger than when using 1 cm length bins, albeit, the increase was not significant. In </w:t>
      </w:r>
      <w:proofErr w:type="spellStart"/>
      <w:r>
        <w:t>Hulson</w:t>
      </w:r>
      <w:proofErr w:type="spellEnd"/>
      <w:r>
        <w:t xml:space="preserve"> et al. (in press) this result </w:t>
      </w:r>
      <w:proofErr w:type="gramStart"/>
      <w:r>
        <w:t>was also presented</w:t>
      </w:r>
      <w:proofErr w:type="gramEnd"/>
      <w:r>
        <w:t xml:space="preserve"> for length composition ISS, in which increasing the size of length bins increased the ISS, which was the main driver of the results presented here. This result suggests that increasing the size of the length bin reduces the amount of uncertainty in the length frequency collections. In </w:t>
      </w:r>
      <w:proofErr w:type="gramStart"/>
      <w:r>
        <w:t>this</w:t>
      </w:r>
      <w:proofErr w:type="gramEnd"/>
      <w:r>
        <w:t xml:space="preserve"> case we recommend that length bins larger than 1 cm</w:t>
      </w:r>
      <w:r w:rsidR="00873AB6">
        <w:t xml:space="preserve"> be considered</w:t>
      </w:r>
      <w:r>
        <w:t xml:space="preserve"> in order to increase the age composition ISS.</w:t>
      </w:r>
    </w:p>
    <w:p w14:paraId="1609D0CD" w14:textId="1F0E4CF0" w:rsidR="009C107F" w:rsidRDefault="00873AB6" w:rsidP="00F00867">
      <w:pPr>
        <w:pStyle w:val="BodyText"/>
        <w:ind w:firstLine="720"/>
      </w:pPr>
      <w:r>
        <w:t xml:space="preserve">We also show that aggregating combined sex length and age data prior to length and age expansion can increase age composition ISS as compared to summing sex-specific length and age composition after expansion. While the increase was small (and not significant), this is an important consideration to be made, particularly if the stock that is being assessed does not display sex-specific differences in growth. For example, the rockfish and </w:t>
      </w:r>
      <w:proofErr w:type="spellStart"/>
      <w:r>
        <w:t>gadid</w:t>
      </w:r>
      <w:proofErr w:type="spellEnd"/>
      <w:r>
        <w:t xml:space="preserve"> stocks presented here do not display sex-specific differences in growth, and we recommend that pre-expansion aggregation of age and length data </w:t>
      </w:r>
      <w:proofErr w:type="gramStart"/>
      <w:r>
        <w:t>be considered</w:t>
      </w:r>
      <w:proofErr w:type="gramEnd"/>
      <w:r>
        <w:t xml:space="preserve">. However, the flatfish stocks included in this analysis do exhibit sex-specific differences in growth, and thus, we recommend that sex-specific length and age compositions </w:t>
      </w:r>
      <w:proofErr w:type="gramStart"/>
      <w:r>
        <w:t>be constructed</w:t>
      </w:r>
      <w:proofErr w:type="gramEnd"/>
      <w:r>
        <w:t>.</w:t>
      </w:r>
    </w:p>
    <w:p w14:paraId="38C04DAD" w14:textId="77777777" w:rsidR="00F00867" w:rsidRDefault="00B833FB" w:rsidP="009277A5">
      <w:pPr>
        <w:pStyle w:val="BodyText"/>
        <w:ind w:firstLine="720"/>
      </w:pPr>
      <w:r>
        <w:lastRenderedPageBreak/>
        <w:t xml:space="preserve">When implementing growth variability into the bootstrap-simulation procedure the resulting magnitude of age composition ISS was sensitive to how the growth data </w:t>
      </w:r>
      <w:proofErr w:type="gramStart"/>
      <w:r>
        <w:t>was pooled</w:t>
      </w:r>
      <w:proofErr w:type="gramEnd"/>
      <w:r>
        <w:t xml:space="preserve">. This was particularly true for the </w:t>
      </w:r>
      <w:proofErr w:type="spellStart"/>
      <w:r>
        <w:t>gadid</w:t>
      </w:r>
      <w:proofErr w:type="spellEnd"/>
      <w:r>
        <w:t xml:space="preserve"> stocks evaluated in this study, where, for example, using pooled growth data resulted in smaller age composition ISS than when using annual growth data. Alternatively, for the rockfish stocks evaluated, there was not a large difference in age composition ISS magnitude whether using pooled growth data or annual growth data. We recommend that for stocks that exhibit inter-annual variability in growth, particularly inter-annual variability that may result in a trend in growth across time (i.e., increasing or decreasing size over time), that annual growth data be used in order to avoid over-estimating the effect of growth variability on age composition ISS. For stocks that don’t exhibit inter-annual variability in growth, we recommend using pooled growth data in order to more adequately incorporate the potential growth variability by leveraging the larger sample size in pooled data compared to annual data.</w:t>
      </w:r>
      <w:r w:rsidR="00F00867">
        <w:t xml:space="preserve"> </w:t>
      </w:r>
    </w:p>
    <w:p w14:paraId="010838F5" w14:textId="47A7A174"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r w:rsidR="007209CD">
        <w:t>ed</w:t>
      </w:r>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w:t>
      </w:r>
      <w:r w:rsidR="000545AB">
        <w:t xml:space="preserve"> and years</w:t>
      </w:r>
      <w:r>
        <w:t xml:space="preserve"> when adding additional uncertainty as compared to the base case </w:t>
      </w:r>
      <w:r w:rsidR="000545AB">
        <w:t>could be as small as</w:t>
      </w:r>
      <w:r>
        <w:t xml:space="preserve"> </w:t>
      </w:r>
      <w:r w:rsidR="000545AB">
        <w:t>21</w:t>
      </w:r>
      <w:r>
        <w:t xml:space="preserve">% of the base case ISS, </w:t>
      </w:r>
      <w:r w:rsidR="000545AB">
        <w:t>as small as 41</w:t>
      </w:r>
      <w:r>
        <w:t xml:space="preserve">% of the base case for flatfish, and </w:t>
      </w:r>
      <w:r w:rsidR="000545AB">
        <w:t>as small as 61</w:t>
      </w:r>
      <w:r>
        <w:t xml:space="preserve">% of the base case for rockfish. Without these additional sources of uncertainty taken into account, using the bootstrap procedure would result in ISS that are larger than what they should be. While we did not investigate implications to specific </w:t>
      </w:r>
      <w:r w:rsidR="00FE349B">
        <w:t>SCAA</w:t>
      </w:r>
      <w:r w:rsidR="00FE349B">
        <w:t xml:space="preserve"> </w:t>
      </w:r>
      <w:r>
        <w:t xml:space="preserve">model outcomes, it </w:t>
      </w:r>
      <w:proofErr w:type="gramStart"/>
      <w:r>
        <w:t>can be inferred</w:t>
      </w:r>
      <w:proofErr w:type="gramEnd"/>
      <w:r>
        <w:t xml:space="preserve"> that reductions of ISS on this scale would have downstream effects on model predictions and the associated uncertainty. We note that these sources of uncertainty </w:t>
      </w:r>
      <w:proofErr w:type="gramStart"/>
      <w:r>
        <w:t>would not be contained</w:t>
      </w:r>
      <w:proofErr w:type="gramEnd"/>
      <w:r>
        <w:t xml:space="preserve"> only to fishery-independent sources, like </w:t>
      </w:r>
      <w:r>
        <w:lastRenderedPageBreak/>
        <w:t xml:space="preserve">evaluated here, but would also be inherent to age collections for fishery-dependent sources as well. The functions to bootstrap age composition data to determine ISS for fishery-dependent </w:t>
      </w:r>
      <w:proofErr w:type="gramStart"/>
      <w:r>
        <w:t xml:space="preserve">sources </w:t>
      </w:r>
      <w:r w:rsidR="00FE349B">
        <w:t xml:space="preserve"> are</w:t>
      </w:r>
      <w:proofErr w:type="gramEnd"/>
      <w:r w:rsidR="00FE349B">
        <w:t xml:space="preserve"> currently being developed</w:t>
      </w:r>
      <w:r>
        <w:t>. Future investigations into the impacts of adding ageing error and growth variability into ISS estimation on</w:t>
      </w:r>
      <w:r w:rsidR="00FE349B">
        <w:t xml:space="preserve"> SCAA</w:t>
      </w:r>
      <w:r>
        <w:t xml:space="preserve"> model results should also include fishery-dependent ISS implications as well.</w:t>
      </w:r>
      <w:r w:rsidR="00B833FB">
        <w:t xml:space="preserve"> </w:t>
      </w:r>
      <w:r w:rsidR="00FE349B">
        <w:t>These investigations</w:t>
      </w:r>
      <w:r w:rsidR="00B833FB">
        <w:t xml:space="preserve"> should also include data weighting methods</w:t>
      </w:r>
      <w:r w:rsidR="00FE349B">
        <w:t xml:space="preserve"> that allow for adjustment </w:t>
      </w:r>
      <w:r w:rsidR="00FE349B" w:rsidRPr="00F00867">
        <w:t>to weighting between the data sources integrated, for example using the methods presented in Francis (</w:t>
      </w:r>
      <w:r w:rsidR="00F00867" w:rsidRPr="00F00867">
        <w:t>2011</w:t>
      </w:r>
      <w:r w:rsidR="00FE349B" w:rsidRPr="00F00867">
        <w:t>) and Thorson</w:t>
      </w:r>
      <w:r w:rsidR="00F00867" w:rsidRPr="00F00867">
        <w:t xml:space="preserve"> et al.</w:t>
      </w:r>
      <w:r w:rsidR="00FE349B" w:rsidRPr="00F00867">
        <w:t xml:space="preserve"> </w:t>
      </w:r>
      <w:r w:rsidR="00F00867" w:rsidRPr="00F00867">
        <w:t>(2017</w:t>
      </w:r>
      <w:r w:rsidR="00FE349B" w:rsidRPr="00F00867">
        <w:t>).</w:t>
      </w:r>
      <w:r w:rsidR="00FE349B">
        <w:t xml:space="preserve"> We </w:t>
      </w:r>
      <w:proofErr w:type="gramStart"/>
      <w:r w:rsidR="00FE349B">
        <w:t>note,</w:t>
      </w:r>
      <w:proofErr w:type="gramEnd"/>
      <w:r w:rsidR="00FE349B">
        <w:t xml:space="preserve"> that while these methods can adjust the relative influence of composition data on SCAA model results, the starting point of ISS matters. In theory one might hypothesize that these methods can overcome misspecification of ISS, however, in practice SCAA model results can be sensitive to the starting values of ISS. This implication points to the importance of using length and age composition ISS that adequately include the sources of uncertainty common to age and length composition data.</w:t>
      </w:r>
    </w:p>
    <w:p w14:paraId="337DCEFE" w14:textId="37FA42F2" w:rsidR="00927AF5" w:rsidRDefault="00B02E4A" w:rsidP="009277A5">
      <w:pPr>
        <w:pStyle w:val="BodyText"/>
        <w:ind w:firstLine="720"/>
      </w:pPr>
      <w:r>
        <w:t xml:space="preserve">A number of operational assessment models </w:t>
      </w:r>
      <w:r w:rsidR="00FE349B">
        <w:t xml:space="preserve">use </w:t>
      </w:r>
      <w:r>
        <w:t>a proxy in some form</w:t>
      </w:r>
      <w:r w:rsidR="00FE349B">
        <w:t xml:space="preserve"> based on the number of sampled hauls or the nominal sample size</w:t>
      </w:r>
      <w:r>
        <w:t xml:space="preserve"> when setting ISS for age and length composition data (e.g., </w:t>
      </w:r>
      <w:proofErr w:type="spellStart"/>
      <w:r>
        <w:t>Hulson</w:t>
      </w:r>
      <w:proofErr w:type="spellEnd"/>
      <w:r>
        <w:t xml:space="preserve"> et al. 2021, </w:t>
      </w:r>
      <w:proofErr w:type="spellStart"/>
      <w:r>
        <w:t>Barbeaux</w:t>
      </w:r>
      <w:proofErr w:type="spellEnd"/>
      <w:r>
        <w:t xml:space="preserve"> et al. 2022). </w:t>
      </w:r>
      <w:r w:rsidR="00FE349B">
        <w:t>Considering the proxy using hauls, t</w:t>
      </w:r>
      <w:r>
        <w:t>his is derived from a result found in Pennington et al. (2000) who investigated length frequency sampling and, based on the level of intra-haul correlation, determined that for the species that were investigated, on average, the ISS was one fish per haul.</w:t>
      </w:r>
      <w:r w:rsidR="00FE349B">
        <w:t xml:space="preserve"> </w:t>
      </w:r>
      <w:proofErr w:type="gramStart"/>
      <w:r w:rsidR="009A3D01">
        <w:t>However, we note that the 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proofErr w:type="gramEnd"/>
      <w:r w:rsidR="009A3D01">
        <w:t xml:space="preserve"> </w:t>
      </w:r>
      <w:r w:rsidR="00FE349B">
        <w:t xml:space="preserve">Alternatively, </w:t>
      </w:r>
      <w:r w:rsidR="009A3D01">
        <w:t xml:space="preserve">considering the proxy </w:t>
      </w:r>
      <w:r w:rsidR="009A3D01">
        <w:lastRenderedPageBreak/>
        <w:t xml:space="preserve">using nominal sample size, </w:t>
      </w:r>
      <w:r w:rsidR="00FE349B">
        <w:t>the results of Stewart and Hamel (2014) have been used to scale nominal sample size to length composition ISS based on the average ISS per sample</w:t>
      </w:r>
      <w:r w:rsidR="009A3D01">
        <w:t xml:space="preserve"> reported in that study (</w:t>
      </w:r>
      <w:r w:rsidR="009A3D01" w:rsidRPr="00F00867">
        <w:rPr>
          <w:highlight w:val="yellow"/>
        </w:rPr>
        <w:t xml:space="preserve">find a NW assessment </w:t>
      </w:r>
      <w:commentRangeStart w:id="12"/>
      <w:r w:rsidR="009A3D01" w:rsidRPr="00F00867">
        <w:rPr>
          <w:highlight w:val="yellow"/>
        </w:rPr>
        <w:t>reference</w:t>
      </w:r>
      <w:commentRangeEnd w:id="12"/>
      <w:r w:rsidR="00F00867">
        <w:rPr>
          <w:rStyle w:val="CommentReference"/>
        </w:rPr>
        <w:commentReference w:id="12"/>
      </w:r>
      <w:r w:rsidR="009A3D01">
        <w:t>). Here we find that the relationship between age composition ISS and either nominal sample size or sampled hauls to be highly variable and statistically insignificant. We recommend that length and age composition ISS be determined from a bootstrap procedure rather than scaling hauls or nom</w:t>
      </w:r>
      <w:bookmarkStart w:id="13" w:name="_GoBack"/>
      <w:bookmarkEnd w:id="13"/>
      <w:r w:rsidR="009A3D01">
        <w:t xml:space="preserve">inal sample size based on the relationship with bootstrap ISS results. We note that the bootstrap procedure presented here is not computationally burdensome and </w:t>
      </w:r>
      <w:proofErr w:type="gramStart"/>
      <w:r w:rsidR="009A3D01">
        <w:t>can be applied</w:t>
      </w:r>
      <w:proofErr w:type="gramEnd"/>
      <w:r w:rsidR="009A3D01">
        <w:t xml:space="preserve"> to specific stocks in a matter of minutes.</w:t>
      </w:r>
      <w:r>
        <w:t xml:space="preserve"> </w:t>
      </w:r>
    </w:p>
    <w:p w14:paraId="7C7AC4C1" w14:textId="406B66BF"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none have applied these additional sources of uncertainty in the context of estimating ISS. As it pertains to ageing error, in many current assessments an ageing error matrix is implemented</w:t>
      </w:r>
      <w:r w:rsidR="009A3D01">
        <w:t xml:space="preserve"> either to be applied to marginal age composition data</w:t>
      </w:r>
      <w:r>
        <w:t xml:space="preserve"> (e.g., Williams et al. 2022)</w:t>
      </w:r>
      <w:r w:rsidR="009A3D01">
        <w:t xml:space="preserve"> or applied to CAAL data (e.g., </w:t>
      </w:r>
      <w:proofErr w:type="spellStart"/>
      <w:r w:rsidR="009A3D01">
        <w:t>Hulson</w:t>
      </w:r>
      <w:proofErr w:type="spellEnd"/>
      <w:r w:rsidR="009A3D01">
        <w:t xml:space="preserve"> et al. 2022)</w:t>
      </w:r>
      <w:r>
        <w:t xml:space="preserve"> in order to account for ageing error that is inherent to the age composition</w:t>
      </w:r>
      <w:r w:rsidR="009A3D01">
        <w:t xml:space="preserve"> and CAAL</w:t>
      </w:r>
      <w:r>
        <w:t xml:space="preserve">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models ‘smudged’ estimates of age composition to the observed age composition. Here, we suggest that unless ageing error is accounted for in the age composition</w:t>
      </w:r>
      <w:r w:rsidR="009A3D01">
        <w:t xml:space="preserve"> or CAAL</w:t>
      </w:r>
      <w:r>
        <w:t xml:space="preserve"> ISS used to fit these data then we are likely ‘over-fitting’ the model estimates to the ‘observed’ age composition and that the use of only an ageing error matrix </w:t>
      </w:r>
      <w:r w:rsidR="009A3D01">
        <w:t xml:space="preserve">only </w:t>
      </w:r>
      <w:r w:rsidR="007209CD">
        <w:t>partially</w:t>
      </w:r>
      <w:r>
        <w:t xml:space="preserve"> accounts for this source of uncertainty in the assessment modeling process. The results from this study suggest that in some cases the addition </w:t>
      </w:r>
      <w:r>
        <w:lastRenderedPageBreak/>
        <w:t>of ageing error to the bootstrap method decreases the age composition ISS to such an extent that an ISS that does not take into account this source of uncertainty can be 125-165% too large.</w:t>
      </w:r>
    </w:p>
    <w:p w14:paraId="0CDB2DB2" w14:textId="2E1FBC68" w:rsidR="00927AF5" w:rsidRDefault="00B02E4A" w:rsidP="009277A5">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w:t>
      </w:r>
      <w:r w:rsidR="009A3D01">
        <w:t xml:space="preserve">In other cases CAAL data is used in conjunction with expanded length composition data so that growth can be estimated internally in an SCAA model (REF####). The CAAL data </w:t>
      </w:r>
      <w:proofErr w:type="gramStart"/>
      <w:r w:rsidR="009A3D01">
        <w:t>is computed</w:t>
      </w:r>
      <w:proofErr w:type="gramEnd"/>
      <w:r w:rsidR="009A3D01">
        <w:t xml:space="preserve"> in a </w:t>
      </w:r>
      <w:r w:rsidR="00070F8F">
        <w:t>similar</w:t>
      </w:r>
      <w:r w:rsidR="009A3D01">
        <w:t xml:space="preserve"> method as expanded age composition, in that the ALK</w:t>
      </w:r>
      <w:r w:rsidR="00070F8F">
        <w:t xml:space="preserve"> that is produced is used directly in the model, rather than expanding by length composition to produce marginal age composition externally to the SCAA model. </w:t>
      </w:r>
      <w:r>
        <w:t xml:space="preserve">However, there have been no previous attempts to include this source of variability when considering the ISS that </w:t>
      </w:r>
      <w:proofErr w:type="gramStart"/>
      <w:r>
        <w:t>is used</w:t>
      </w:r>
      <w:proofErr w:type="gramEnd"/>
      <w:r>
        <w:t xml:space="preserve"> to fit the expanded age composition</w:t>
      </w:r>
      <w:r w:rsidR="00070F8F">
        <w:t xml:space="preserve"> or CAAL</w:t>
      </w:r>
      <w:r>
        <w:t xml:space="preserve"> data. We find that the magnitude of effect on age composition</w:t>
      </w:r>
      <w:r w:rsidR="00070F8F">
        <w:t xml:space="preserve"> and CAAL</w:t>
      </w:r>
      <w:r>
        <w:t xml:space="preserve"> ISS is species type dependent, </w:t>
      </w:r>
      <w:r w:rsidR="00070F8F">
        <w:t>and can have different implications when either using age composition or CAAL data</w:t>
      </w:r>
      <w:r>
        <w:t>. When implementing growth variability there was a 10-50% decrease in the magnitude of bootstrapped age composition</w:t>
      </w:r>
      <w:r w:rsidR="00070F8F">
        <w:t xml:space="preserve"> and CAAL</w:t>
      </w:r>
      <w:r>
        <w:t xml:space="preserve"> ISS, thus, if not taking this source of uncertainty into account the ISS</w:t>
      </w:r>
      <w:r w:rsidR="00070F8F">
        <w:t xml:space="preserve"> for either source of information</w:t>
      </w:r>
      <w:r>
        <w:t xml:space="preserve"> can be up to 200% too large.</w:t>
      </w:r>
    </w:p>
    <w:p w14:paraId="74A69B4A" w14:textId="10A1D532" w:rsidR="009277A5" w:rsidRDefault="00B02E4A" w:rsidP="009277A5">
      <w:pPr>
        <w:pStyle w:val="BodyText"/>
      </w:pPr>
      <w:r>
        <w:t xml:space="preserve">An additional consideration is </w:t>
      </w:r>
      <w:proofErr w:type="gramStart"/>
      <w:r>
        <w:t>understanding</w:t>
      </w:r>
      <w:proofErr w:type="gramEnd"/>
      <w:r>
        <w:t xml:space="preserve"> effects of survey reduction effort, the focus of a number of </w:t>
      </w:r>
      <w:r w:rsidR="007209CD">
        <w:t xml:space="preserve">recent </w:t>
      </w:r>
      <w:r>
        <w:t>studies (ICES 2020, 2023), as survey reductions may be inevitable in many regions due to declining budgets. A recent study investigated the reductions in length frequency and age collection effort, using AFSC bottom trawl survey (</w:t>
      </w:r>
      <w:proofErr w:type="spellStart"/>
      <w:r>
        <w:t>Hulson</w:t>
      </w:r>
      <w:proofErr w:type="spellEnd"/>
      <w:r>
        <w:t xml:space="preserve"> et al. in </w:t>
      </w:r>
      <w:r w:rsidR="009C4793">
        <w:t>press</w:t>
      </w:r>
      <w:r>
        <w:t xml:space="preserve">) found that </w:t>
      </w:r>
      <w:r>
        <w:lastRenderedPageBreak/>
        <w:t xml:space="preserve">reduction in age collections had </w:t>
      </w:r>
      <w:r w:rsidR="007209CD">
        <w:t xml:space="preserve">a </w:t>
      </w:r>
      <w:r>
        <w:t xml:space="preserve">larger effect on age composition uncertainty for flatfish and rockfish as compared to </w:t>
      </w:r>
      <w:proofErr w:type="spellStart"/>
      <w:r>
        <w:t>gadids</w:t>
      </w:r>
      <w:proofErr w:type="spellEnd"/>
      <w:r>
        <w:t xml:space="preserve">. Here we find that including additional sources of uncertainty has </w:t>
      </w:r>
      <w:r w:rsidR="007209CD">
        <w:t xml:space="preserve">a </w:t>
      </w:r>
      <w:proofErr w:type="gramStart"/>
      <w:r w:rsidR="007209CD">
        <w:t xml:space="preserve">greater </w:t>
      </w:r>
      <w:r>
        <w:t xml:space="preserve"> effect</w:t>
      </w:r>
      <w:proofErr w:type="gramEnd"/>
      <w:r>
        <w:t xml:space="preserve"> on </w:t>
      </w:r>
      <w:proofErr w:type="spellStart"/>
      <w:r>
        <w:t>gadids</w:t>
      </w:r>
      <w:proofErr w:type="spellEnd"/>
      <w:r>
        <w:t xml:space="preserve">, and </w:t>
      </w:r>
      <w:r w:rsidR="007209CD">
        <w:t xml:space="preserve">less impact </w:t>
      </w:r>
      <w:r>
        <w:t xml:space="preserve">on rockfish.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r w:rsidR="00070F8F">
        <w:t xml:space="preserve"> when including these additional sources of uncertainty in estimating age composition ISS</w:t>
      </w:r>
      <w:r>
        <w:t>.</w:t>
      </w:r>
    </w:p>
    <w:p w14:paraId="36A06E7A" w14:textId="77777777" w:rsidR="00927AF5" w:rsidRDefault="00B02E4A">
      <w:pPr>
        <w:pStyle w:val="Heading1"/>
      </w:pPr>
      <w:bookmarkStart w:id="14" w:name="conclusions"/>
      <w:bookmarkEnd w:id="11"/>
      <w:r>
        <w:t>5. Conclusions</w:t>
      </w:r>
    </w:p>
    <w:p w14:paraId="43BB1D41" w14:textId="51C0112B" w:rsidR="00927AF5" w:rsidRDefault="00B02E4A" w:rsidP="009277A5">
      <w:pPr>
        <w:pStyle w:val="FirstParagraph"/>
        <w:ind w:firstLine="720"/>
      </w:pPr>
      <w:r>
        <w:t xml:space="preserve">Overall, we find that expanding upon the method introduced by Stewart and </w:t>
      </w:r>
      <w:r w:rsidR="000545AB">
        <w:t xml:space="preserve">Hamel </w:t>
      </w:r>
      <w:r>
        <w:t>(201</w:t>
      </w:r>
      <w:r w:rsidR="000545AB">
        <w:t>4</w:t>
      </w:r>
      <w:r>
        <w:t>)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w:t>
      </w:r>
      <w:r w:rsidR="003F247D">
        <w:t xml:space="preserve"> </w:t>
      </w:r>
      <w:r>
        <w:t>to set age composition ISS</w:t>
      </w:r>
      <w:r w:rsidR="003F247D">
        <w:t xml:space="preserve">, length composition ISS, and </w:t>
      </w:r>
      <w:r w:rsidR="00070F8F">
        <w:t>CAAL</w:t>
      </w:r>
      <w:r w:rsidR="003F247D">
        <w:t xml:space="preserve"> ISS</w:t>
      </w:r>
      <w:r>
        <w:t xml:space="preserve">. With modern computing power, for a single species using the </w:t>
      </w:r>
      <w:r w:rsidR="00B06478">
        <w:t xml:space="preserve">R </w:t>
      </w:r>
      <w:r>
        <w:t>package we built (</w:t>
      </w:r>
      <w:hyperlink r:id="rId13">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w:t>
      </w:r>
      <w:r w:rsidR="003F247D">
        <w:t xml:space="preserve"> and </w:t>
      </w:r>
      <w:r w:rsidR="00070F8F">
        <w:t>CAAL</w:t>
      </w:r>
      <w:r w:rsidR="003F247D">
        <w:t xml:space="preserve"> ISS</w:t>
      </w:r>
      <w:r>
        <w:t xml:space="preserve">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15" w:name="acknowledgements"/>
      <w:bookmarkEnd w:id="14"/>
      <w:r>
        <w:lastRenderedPageBreak/>
        <w:t>Acknowledgements</w:t>
      </w:r>
    </w:p>
    <w:p w14:paraId="09C50A45" w14:textId="057A7099" w:rsidR="00927AF5" w:rsidRDefault="00B02E4A">
      <w:pPr>
        <w:pStyle w:val="FirstParagraph"/>
      </w:pPr>
      <w:r>
        <w:t xml:space="preserve">We thank Dan </w:t>
      </w:r>
      <w:proofErr w:type="spellStart"/>
      <w:r>
        <w:t>Goethel</w:t>
      </w:r>
      <w:proofErr w:type="spellEnd"/>
      <w:r w:rsidR="00070F8F">
        <w:t>,</w:t>
      </w:r>
      <w:r>
        <w:t xml:space="preserve"> Cole </w:t>
      </w:r>
      <w:proofErr w:type="spellStart"/>
      <w:r>
        <w:t>Monnahan</w:t>
      </w:r>
      <w:proofErr w:type="spellEnd"/>
      <w:r w:rsidR="00070F8F">
        <w:t>, and two anonymous reviewers</w:t>
      </w:r>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16" w:name="author-contribution"/>
      <w:bookmarkEnd w:id="15"/>
      <w:r>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17" w:name="citations"/>
      <w:bookmarkEnd w:id="16"/>
      <w:r>
        <w:lastRenderedPageBreak/>
        <w:t>Citations</w:t>
      </w:r>
    </w:p>
    <w:p w14:paraId="7E585CF5" w14:textId="77777777" w:rsidR="00927AF5" w:rsidRDefault="00B02E4A" w:rsidP="009277A5">
      <w:pPr>
        <w:pStyle w:val="Bibliography"/>
        <w:ind w:left="720" w:hanging="720"/>
      </w:pPr>
      <w:bookmarkStart w:id="18" w:name="ref-Ailloud2019"/>
      <w:bookmarkStart w:id="19"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4">
        <w:r>
          <w:rPr>
            <w:rStyle w:val="Hyperlink"/>
          </w:rPr>
          <w:t>10.1093/</w:t>
        </w:r>
        <w:proofErr w:type="spellStart"/>
        <w:r>
          <w:rPr>
            <w:rStyle w:val="Hyperlink"/>
          </w:rPr>
          <w:t>icesjms</w:t>
        </w:r>
        <w:proofErr w:type="spellEnd"/>
        <w:r>
          <w:rPr>
            <w:rStyle w:val="Hyperlink"/>
          </w:rPr>
          <w:t>/fsz072</w:t>
        </w:r>
      </w:hyperlink>
      <w:r>
        <w:t>.</w:t>
      </w:r>
    </w:p>
    <w:p w14:paraId="1EF31067" w14:textId="77777777" w:rsidR="00927AF5" w:rsidRDefault="00B02E4A" w:rsidP="009277A5">
      <w:pPr>
        <w:pStyle w:val="Bibliography"/>
        <w:ind w:left="720" w:hanging="720"/>
      </w:pPr>
      <w:bookmarkStart w:id="20" w:name="ref-Barbeaux2022"/>
      <w:bookmarkEnd w:id="18"/>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DC905EC" w14:textId="4B027B02" w:rsidR="00927AF5" w:rsidRDefault="00B02E4A" w:rsidP="009277A5">
      <w:pPr>
        <w:pStyle w:val="Bibliography"/>
        <w:ind w:left="720" w:hanging="720"/>
      </w:pPr>
      <w:bookmarkStart w:id="21" w:name="ref-Candy2012"/>
      <w:bookmarkEnd w:id="20"/>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5">
        <w:r>
          <w:rPr>
            <w:rStyle w:val="Hyperlink"/>
          </w:rPr>
          <w:t>10.1016/j.fishres.2011.11.005</w:t>
        </w:r>
      </w:hyperlink>
      <w:r>
        <w:t>.</w:t>
      </w:r>
    </w:p>
    <w:p w14:paraId="3935D74A" w14:textId="626602EE" w:rsidR="00F00867" w:rsidRDefault="00F00867" w:rsidP="00F00867">
      <w:pPr>
        <w:pStyle w:val="Bibliography"/>
        <w:ind w:left="720" w:hanging="720"/>
      </w:pPr>
      <w:r>
        <w:t>Francis, R. I. C. 2011</w:t>
      </w:r>
      <w:r>
        <w:t>.</w:t>
      </w:r>
      <w:r>
        <w:t xml:space="preserve"> Data weighting in statistical fisheries stock assessment models.</w:t>
      </w:r>
      <w:r>
        <w:t xml:space="preserve">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w:t>
      </w:r>
      <w:r>
        <w:t>Canadian Journal of Fisheries and Aquatic Sciences 68:1124–1138</w:t>
      </w:r>
      <w:r>
        <w:t xml:space="preserve">. </w:t>
      </w:r>
      <w:proofErr w:type="spellStart"/>
      <w:proofErr w:type="gramStart"/>
      <w:r>
        <w:t>doi</w:t>
      </w:r>
      <w:proofErr w:type="spellEnd"/>
      <w:proofErr w:type="gramEnd"/>
      <w:r>
        <w:t xml:space="preserve">: </w:t>
      </w:r>
      <w:hyperlink r:id="rId16">
        <w:r>
          <w:rPr>
            <w:rStyle w:val="Hyperlink"/>
          </w:rPr>
          <w:t>10.1139/F2011-02</w:t>
        </w:r>
        <w:r>
          <w:rPr>
            <w:rStyle w:val="Hyperlink"/>
          </w:rPr>
          <w:t>5</w:t>
        </w:r>
      </w:hyperlink>
      <w:r>
        <w:t>.</w:t>
      </w:r>
    </w:p>
    <w:p w14:paraId="53F52C03" w14:textId="77777777" w:rsidR="00927AF5" w:rsidRDefault="00B02E4A" w:rsidP="009277A5">
      <w:pPr>
        <w:pStyle w:val="Bibliography"/>
        <w:ind w:left="720" w:hanging="720"/>
      </w:pPr>
      <w:bookmarkStart w:id="22" w:name="ref-Henriquez2016"/>
      <w:bookmarkEnd w:id="21"/>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7">
        <w:r>
          <w:rPr>
            <w:rStyle w:val="Hyperlink"/>
          </w:rPr>
          <w:t>10.1093/</w:t>
        </w:r>
        <w:proofErr w:type="spellStart"/>
        <w:r>
          <w:rPr>
            <w:rStyle w:val="Hyperlink"/>
          </w:rPr>
          <w:t>icesjms</w:t>
        </w:r>
        <w:proofErr w:type="spellEnd"/>
        <w:r>
          <w:rPr>
            <w:rStyle w:val="Hyperlink"/>
          </w:rPr>
          <w:t>/fsv270</w:t>
        </w:r>
      </w:hyperlink>
      <w:r>
        <w:t>.</w:t>
      </w:r>
    </w:p>
    <w:p w14:paraId="7FA663E6" w14:textId="77777777" w:rsidR="00927AF5" w:rsidRDefault="00B02E4A" w:rsidP="009277A5">
      <w:pPr>
        <w:pStyle w:val="Bibliography"/>
        <w:ind w:left="720" w:hanging="720"/>
      </w:pPr>
      <w:bookmarkStart w:id="23" w:name="ref-Hulson2012"/>
      <w:bookmarkEnd w:id="22"/>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8">
        <w:r>
          <w:rPr>
            <w:rStyle w:val="Hyperlink"/>
          </w:rPr>
          <w:t>10.1093/</w:t>
        </w:r>
        <w:proofErr w:type="spellStart"/>
        <w:r>
          <w:rPr>
            <w:rStyle w:val="Hyperlink"/>
          </w:rPr>
          <w:t>icesjms</w:t>
        </w:r>
        <w:proofErr w:type="spellEnd"/>
        <w:r>
          <w:rPr>
            <w:rStyle w:val="Hyperlink"/>
          </w:rPr>
          <w:t>/fsr189</w:t>
        </w:r>
      </w:hyperlink>
      <w:r>
        <w:t>.</w:t>
      </w:r>
    </w:p>
    <w:p w14:paraId="2D537594" w14:textId="77777777" w:rsidR="00927AF5" w:rsidRDefault="00B02E4A" w:rsidP="009277A5">
      <w:pPr>
        <w:pStyle w:val="Bibliography"/>
        <w:ind w:left="720" w:hanging="720"/>
      </w:pPr>
      <w:bookmarkStart w:id="24" w:name="ref-Hulson2023c"/>
      <w:bookmarkEnd w:id="23"/>
      <w:proofErr w:type="spellStart"/>
      <w:r>
        <w:t>Hulson</w:t>
      </w:r>
      <w:proofErr w:type="spellEnd"/>
      <w:r>
        <w:t xml:space="preserve">, P.-J.F., Williams, B., Bryan, M., Conner, J., and </w:t>
      </w:r>
      <w:proofErr w:type="spellStart"/>
      <w:r>
        <w:t>Siskey</w:t>
      </w:r>
      <w:proofErr w:type="spellEnd"/>
      <w:r>
        <w:t>,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25" w:name="ref-Hulson2021"/>
      <w:bookmarkEnd w:id="24"/>
      <w:proofErr w:type="spellStart"/>
      <w:r>
        <w:lastRenderedPageBreak/>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26" w:name="ref-Hulson2023b"/>
      <w:bookmarkEnd w:id="25"/>
      <w:proofErr w:type="spellStart"/>
      <w:r>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27" w:name="ref-ICES2020"/>
      <w:bookmarkEnd w:id="26"/>
      <w:r>
        <w:t xml:space="preserve">ICES. 2020. Workshop on unavoidable survey effort reduction (WKUSER). ICES Scientific Reports. </w:t>
      </w:r>
      <w:proofErr w:type="spellStart"/>
      <w:proofErr w:type="gramStart"/>
      <w:r>
        <w:t>doi</w:t>
      </w:r>
      <w:proofErr w:type="spellEnd"/>
      <w:proofErr w:type="gramEnd"/>
      <w:r>
        <w:t xml:space="preserve">: </w:t>
      </w:r>
      <w:hyperlink r:id="rId19">
        <w:r>
          <w:rPr>
            <w:rStyle w:val="Hyperlink"/>
          </w:rPr>
          <w:t>10.17895/ices.pub.7453</w:t>
        </w:r>
      </w:hyperlink>
      <w:r>
        <w:t>.</w:t>
      </w:r>
    </w:p>
    <w:p w14:paraId="7E0CB7CD" w14:textId="77777777" w:rsidR="00927AF5" w:rsidRDefault="00B02E4A" w:rsidP="009277A5">
      <w:pPr>
        <w:pStyle w:val="Bibliography"/>
        <w:ind w:left="720" w:hanging="720"/>
      </w:pPr>
      <w:bookmarkStart w:id="28" w:name="ref-ICES2023"/>
      <w:bookmarkEnd w:id="27"/>
      <w:r>
        <w:t xml:space="preserve">ICES. 2023. Workshop on unavoidable survey effort reduction 2 (WKUSER). ICES Scientific Reports. </w:t>
      </w:r>
      <w:proofErr w:type="spellStart"/>
      <w:proofErr w:type="gramStart"/>
      <w:r>
        <w:t>doi</w:t>
      </w:r>
      <w:proofErr w:type="spellEnd"/>
      <w:proofErr w:type="gramEnd"/>
      <w:r>
        <w:t xml:space="preserve">: </w:t>
      </w:r>
      <w:hyperlink r:id="rId20">
        <w:r>
          <w:rPr>
            <w:rStyle w:val="Hyperlink"/>
          </w:rPr>
          <w:t>10.17895/ices.pub.22086845.v1</w:t>
        </w:r>
      </w:hyperlink>
      <w:r>
        <w:t>.</w:t>
      </w:r>
    </w:p>
    <w:p w14:paraId="48F4419D" w14:textId="77777777" w:rsidR="00927AF5" w:rsidRDefault="00B02E4A" w:rsidP="009277A5">
      <w:pPr>
        <w:pStyle w:val="Bibliography"/>
        <w:ind w:left="720" w:hanging="720"/>
      </w:pPr>
      <w:bookmarkStart w:id="29" w:name="ref-Kimura1991"/>
      <w:bookmarkEnd w:id="28"/>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30" w:name="ref-Lauth2019"/>
      <w:bookmarkEnd w:id="29"/>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75F6A83D" w14:textId="77777777" w:rsidR="00927AF5" w:rsidRDefault="00B02E4A" w:rsidP="009277A5">
      <w:pPr>
        <w:pStyle w:val="Bibliography"/>
        <w:ind w:left="720" w:hanging="720"/>
      </w:pPr>
      <w:bookmarkStart w:id="31" w:name="ref-Liao2013"/>
      <w:bookmarkEnd w:id="30"/>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21">
        <w:r>
          <w:rPr>
            <w:rStyle w:val="Hyperlink"/>
          </w:rPr>
          <w:t>10.1080/00028487.2012.705255</w:t>
        </w:r>
      </w:hyperlink>
      <w:r>
        <w:t>.</w:t>
      </w:r>
    </w:p>
    <w:p w14:paraId="12A11596" w14:textId="77777777" w:rsidR="00927AF5" w:rsidRDefault="00B02E4A" w:rsidP="009277A5">
      <w:pPr>
        <w:pStyle w:val="Bibliography"/>
        <w:ind w:left="720" w:hanging="720"/>
      </w:pPr>
      <w:bookmarkStart w:id="32" w:name="ref-Mcallister1997"/>
      <w:bookmarkEnd w:id="31"/>
      <w:r>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22">
        <w:r>
          <w:rPr>
            <w:rStyle w:val="Hyperlink"/>
          </w:rPr>
          <w:t>10.1139/f96-285</w:t>
        </w:r>
      </w:hyperlink>
      <w:r>
        <w:t>.</w:t>
      </w:r>
    </w:p>
    <w:p w14:paraId="48C5E4D9" w14:textId="77777777" w:rsidR="00927AF5" w:rsidRDefault="00B02E4A" w:rsidP="009277A5">
      <w:pPr>
        <w:pStyle w:val="Bibliography"/>
        <w:ind w:left="720" w:hanging="720"/>
      </w:pPr>
      <w:bookmarkStart w:id="33" w:name="ref-Miller2006"/>
      <w:bookmarkEnd w:id="32"/>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23">
        <w:r>
          <w:rPr>
            <w:rStyle w:val="Hyperlink"/>
          </w:rPr>
          <w:t>10.1139/f06-022</w:t>
        </w:r>
      </w:hyperlink>
      <w:r>
        <w:t>.</w:t>
      </w:r>
    </w:p>
    <w:p w14:paraId="6AE92C00" w14:textId="77777777" w:rsidR="00927AF5" w:rsidRDefault="00B02E4A" w:rsidP="009277A5">
      <w:pPr>
        <w:pStyle w:val="Bibliography"/>
        <w:ind w:left="720" w:hanging="720"/>
      </w:pPr>
      <w:bookmarkStart w:id="34" w:name="ref-Monnahan2021"/>
      <w:bookmarkEnd w:id="33"/>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w:t>
      </w:r>
      <w:r>
        <w:lastRenderedPageBreak/>
        <w:t xml:space="preserve">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35" w:name="ref-Morison2005"/>
      <w:bookmarkEnd w:id="34"/>
      <w:r>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4">
        <w:r>
          <w:rPr>
            <w:rStyle w:val="Hyperlink"/>
          </w:rPr>
          <w:t>10.1071/MF04217</w:t>
        </w:r>
      </w:hyperlink>
      <w:r>
        <w:t>.</w:t>
      </w:r>
    </w:p>
    <w:p w14:paraId="452F81BA" w14:textId="77777777" w:rsidR="00927AF5" w:rsidRDefault="00B02E4A" w:rsidP="009277A5">
      <w:pPr>
        <w:pStyle w:val="Bibliography"/>
        <w:ind w:left="720" w:hanging="720"/>
      </w:pPr>
      <w:bookmarkStart w:id="36" w:name="ref-Nesslage2022"/>
      <w:bookmarkEnd w:id="35"/>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5">
        <w:r>
          <w:rPr>
            <w:rStyle w:val="Hyperlink"/>
          </w:rPr>
          <w:t>10.1016/j.fishres.2022.106255</w:t>
        </w:r>
      </w:hyperlink>
      <w:r>
        <w:t>.</w:t>
      </w:r>
    </w:p>
    <w:p w14:paraId="4A9096C9" w14:textId="77777777" w:rsidR="00927AF5" w:rsidRDefault="00B02E4A" w:rsidP="009277A5">
      <w:pPr>
        <w:pStyle w:val="Bibliography"/>
        <w:ind w:left="720" w:hanging="720"/>
      </w:pPr>
      <w:bookmarkStart w:id="37" w:name="ref-Pennington2000"/>
      <w:bookmarkEnd w:id="36"/>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38" w:name="ref-Pennington1994"/>
      <w:bookmarkEnd w:id="37"/>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6">
        <w:r>
          <w:rPr>
            <w:rStyle w:val="Hyperlink"/>
          </w:rPr>
          <w:t>10.2307/2532786</w:t>
        </w:r>
      </w:hyperlink>
      <w:r>
        <w:t>.</w:t>
      </w:r>
    </w:p>
    <w:p w14:paraId="0D1D3BC6" w14:textId="77777777" w:rsidR="00927AF5" w:rsidRDefault="00B02E4A" w:rsidP="009277A5">
      <w:pPr>
        <w:pStyle w:val="Bibliography"/>
        <w:ind w:left="720" w:hanging="720"/>
      </w:pPr>
      <w:bookmarkStart w:id="39" w:name="ref-Punt2008"/>
      <w:bookmarkEnd w:id="38"/>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7">
        <w:r>
          <w:rPr>
            <w:rStyle w:val="Hyperlink"/>
          </w:rPr>
          <w:t>10.1139/F08-111</w:t>
        </w:r>
      </w:hyperlink>
      <w:r>
        <w:t>.</w:t>
      </w:r>
    </w:p>
    <w:p w14:paraId="358AC4AA" w14:textId="77777777" w:rsidR="00927AF5" w:rsidRDefault="00B02E4A" w:rsidP="009277A5">
      <w:pPr>
        <w:pStyle w:val="Bibliography"/>
        <w:ind w:left="720" w:hanging="720"/>
      </w:pPr>
      <w:bookmarkStart w:id="40" w:name="ref-Punt2021"/>
      <w:bookmarkEnd w:id="39"/>
      <w:r>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8">
        <w:r>
          <w:rPr>
            <w:rStyle w:val="Hyperlink"/>
          </w:rPr>
          <w:t>10.1016/j.fishres.2021.105904</w:t>
        </w:r>
      </w:hyperlink>
      <w:r>
        <w:t>.</w:t>
      </w:r>
    </w:p>
    <w:p w14:paraId="27A78E44" w14:textId="77777777" w:rsidR="00927AF5" w:rsidRDefault="00B02E4A" w:rsidP="009277A5">
      <w:pPr>
        <w:pStyle w:val="Bibliography"/>
        <w:ind w:left="720" w:hanging="720"/>
      </w:pPr>
      <w:bookmarkStart w:id="41" w:name="ref-QuinnDeriso1999"/>
      <w:bookmarkEnd w:id="40"/>
      <w:r>
        <w:t xml:space="preserve">Quinn, T., and </w:t>
      </w:r>
      <w:proofErr w:type="spellStart"/>
      <w:r>
        <w:t>Deriso</w:t>
      </w:r>
      <w:proofErr w:type="spellEnd"/>
      <w:r>
        <w:t>, R. 1999. Quantitative Fish Dynamics. Oxford University Press, New York, NY.</w:t>
      </w:r>
    </w:p>
    <w:p w14:paraId="62099EBE" w14:textId="77777777" w:rsidR="00927AF5" w:rsidRDefault="00B02E4A" w:rsidP="009277A5">
      <w:pPr>
        <w:pStyle w:val="Bibliography"/>
        <w:ind w:left="720" w:hanging="720"/>
      </w:pPr>
      <w:bookmarkStart w:id="42" w:name="ref-Rcore"/>
      <w:bookmarkEnd w:id="41"/>
      <w:r>
        <w:t xml:space="preserve">R Core Team. 2022. R: A Language and Environment for Statistical Computing. R Foundation for Statistical Computing, Vienna, Austria. Available from </w:t>
      </w:r>
      <w:hyperlink r:id="rId29">
        <w:r>
          <w:rPr>
            <w:rStyle w:val="Hyperlink"/>
          </w:rPr>
          <w:t>https://www.R-project.org/</w:t>
        </w:r>
      </w:hyperlink>
      <w:r>
        <w:t>.</w:t>
      </w:r>
    </w:p>
    <w:p w14:paraId="261BC946" w14:textId="77777777" w:rsidR="00927AF5" w:rsidRDefault="00B02E4A" w:rsidP="009277A5">
      <w:pPr>
        <w:pStyle w:val="Bibliography"/>
        <w:ind w:left="720" w:hanging="720"/>
      </w:pPr>
      <w:bookmarkStart w:id="43" w:name="ref-Siskey2023"/>
      <w:bookmarkEnd w:id="42"/>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w:t>
      </w:r>
      <w:r>
        <w:lastRenderedPageBreak/>
        <w:t xml:space="preserve">assessment inputs, outputs, and catch advice. Canadian Journal of Fisheries and Aquatic Sciences 80(1): 115–131. </w:t>
      </w:r>
      <w:proofErr w:type="spellStart"/>
      <w:proofErr w:type="gramStart"/>
      <w:r>
        <w:t>doi</w:t>
      </w:r>
      <w:proofErr w:type="spellEnd"/>
      <w:proofErr w:type="gramEnd"/>
      <w:r>
        <w:t xml:space="preserve">: </w:t>
      </w:r>
      <w:hyperlink r:id="rId30">
        <w:r>
          <w:rPr>
            <w:rStyle w:val="Hyperlink"/>
          </w:rPr>
          <w:t>10.1139/cjfas-2022-0050</w:t>
        </w:r>
      </w:hyperlink>
      <w:r>
        <w:t>.</w:t>
      </w:r>
    </w:p>
    <w:p w14:paraId="13054BA3" w14:textId="77777777" w:rsidR="00927AF5" w:rsidRDefault="00B02E4A" w:rsidP="009277A5">
      <w:pPr>
        <w:pStyle w:val="Bibliography"/>
        <w:ind w:left="720" w:hanging="720"/>
      </w:pPr>
      <w:bookmarkStart w:id="44" w:name="ref-Spencer2022"/>
      <w:bookmarkEnd w:id="43"/>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4D337173" w14:textId="77777777" w:rsidR="00927AF5" w:rsidRDefault="00B02E4A" w:rsidP="009277A5">
      <w:pPr>
        <w:pStyle w:val="Bibliography"/>
        <w:ind w:left="720" w:hanging="720"/>
      </w:pPr>
      <w:bookmarkStart w:id="45" w:name="ref-Stewart2014"/>
      <w:bookmarkEnd w:id="44"/>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31">
        <w:r>
          <w:rPr>
            <w:rStyle w:val="Hyperlink"/>
          </w:rPr>
          <w:t>10.1139/cjfas-2013-0289</w:t>
        </w:r>
      </w:hyperlink>
      <w:r>
        <w:t>.</w:t>
      </w:r>
    </w:p>
    <w:p w14:paraId="49941C52" w14:textId="77777777" w:rsidR="00927AF5" w:rsidRDefault="00B02E4A" w:rsidP="009277A5">
      <w:pPr>
        <w:pStyle w:val="Bibliography"/>
        <w:ind w:left="720" w:hanging="720"/>
      </w:pPr>
      <w:bookmarkStart w:id="46" w:name="ref-Stewart2017"/>
      <w:bookmarkEnd w:id="45"/>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32">
        <w:r>
          <w:rPr>
            <w:rStyle w:val="Hyperlink"/>
          </w:rPr>
          <w:t>10.1016/j.fishres.2016.06.018</w:t>
        </w:r>
      </w:hyperlink>
      <w:r>
        <w:t>.</w:t>
      </w:r>
    </w:p>
    <w:p w14:paraId="520F63EF" w14:textId="4326F2B1" w:rsidR="00927AF5" w:rsidRDefault="00B02E4A" w:rsidP="009277A5">
      <w:pPr>
        <w:pStyle w:val="Bibliography"/>
        <w:ind w:left="720" w:hanging="720"/>
      </w:pPr>
      <w:bookmarkStart w:id="47" w:name="ref-Taylor2013"/>
      <w:bookmarkEnd w:id="46"/>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33">
        <w:r>
          <w:rPr>
            <w:rStyle w:val="Hyperlink"/>
          </w:rPr>
          <w:t>10.1016/j.fishres.2012.08.021</w:t>
        </w:r>
      </w:hyperlink>
      <w:r>
        <w:t>.</w:t>
      </w:r>
    </w:p>
    <w:p w14:paraId="4839360F" w14:textId="17E43A6E" w:rsidR="00F00867" w:rsidRDefault="00F00867" w:rsidP="00F00867">
      <w:pPr>
        <w:pStyle w:val="Bibliography"/>
        <w:ind w:left="720" w:hanging="720"/>
      </w:pPr>
      <w:r>
        <w:t>Thorson, J.T</w:t>
      </w:r>
      <w:r>
        <w:t xml:space="preserve">., K. F. Johnson, K. F., </w:t>
      </w:r>
      <w:proofErr w:type="spellStart"/>
      <w:r>
        <w:t>Methot</w:t>
      </w:r>
      <w:proofErr w:type="spellEnd"/>
      <w:r>
        <w:t>, R. D., and I. G. Taylor, I. G. 2017</w:t>
      </w:r>
      <w:r>
        <w:t>.</w:t>
      </w:r>
      <w:r>
        <w:t xml:space="preserve"> Model-based estimates of effective sample size in stock assessment models using the </w:t>
      </w:r>
      <w:proofErr w:type="spellStart"/>
      <w:r>
        <w:t>Dirichlet</w:t>
      </w:r>
      <w:proofErr w:type="spellEnd"/>
      <w:r>
        <w:t>-multinomial distribution.</w:t>
      </w:r>
      <w:r>
        <w:t xml:space="preserve"> </w:t>
      </w:r>
      <w:r>
        <w:t>Fisheries Research 192:84–93.</w:t>
      </w:r>
      <w:r>
        <w:t xml:space="preserve"> </w:t>
      </w:r>
      <w:proofErr w:type="spellStart"/>
      <w:proofErr w:type="gramStart"/>
      <w:r>
        <w:t>doi</w:t>
      </w:r>
      <w:proofErr w:type="spellEnd"/>
      <w:proofErr w:type="gramEnd"/>
      <w:r>
        <w:t xml:space="preserve">: </w:t>
      </w:r>
      <w:hyperlink r:id="rId34">
        <w:r>
          <w:rPr>
            <w:rStyle w:val="Hyperlink"/>
          </w:rPr>
          <w:t>10.1016</w:t>
        </w:r>
        <w:r>
          <w:rPr>
            <w:rStyle w:val="Hyperlink"/>
          </w:rPr>
          <w:t>/</w:t>
        </w:r>
      </w:hyperlink>
      <w:r>
        <w:rPr>
          <w:rStyle w:val="Hyperlink"/>
        </w:rPr>
        <w:t>j.fishres.2016.06.005</w:t>
      </w:r>
      <w:r>
        <w:t>.</w:t>
      </w:r>
    </w:p>
    <w:p w14:paraId="3379A21D" w14:textId="77777777" w:rsidR="00927AF5" w:rsidRDefault="00B02E4A" w:rsidP="009277A5">
      <w:pPr>
        <w:pStyle w:val="Bibliography"/>
        <w:ind w:left="720" w:hanging="720"/>
      </w:pPr>
      <w:bookmarkStart w:id="48" w:name="ref-Thorson2019"/>
      <w:bookmarkEnd w:id="47"/>
      <w:r>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5">
        <w:r>
          <w:rPr>
            <w:rStyle w:val="Hyperlink"/>
          </w:rPr>
          <w:t>10.1139/cjfas-2018-0015</w:t>
        </w:r>
      </w:hyperlink>
      <w:r>
        <w:t>.</w:t>
      </w:r>
    </w:p>
    <w:p w14:paraId="5C4D07A7" w14:textId="77777777" w:rsidR="00927AF5" w:rsidRDefault="00B02E4A" w:rsidP="009277A5">
      <w:pPr>
        <w:pStyle w:val="Bibliography"/>
        <w:ind w:left="720" w:hanging="720"/>
      </w:pPr>
      <w:bookmarkStart w:id="49" w:name="ref-Thorson2023"/>
      <w:bookmarkEnd w:id="48"/>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14:paraId="122B78B3" w14:textId="77777777" w:rsidR="00927AF5" w:rsidRDefault="00B02E4A" w:rsidP="009277A5">
      <w:pPr>
        <w:pStyle w:val="Bibliography"/>
        <w:ind w:left="720" w:hanging="720"/>
      </w:pPr>
      <w:bookmarkStart w:id="50" w:name="ref-vonSzalay2018"/>
      <w:bookmarkEnd w:id="49"/>
      <w:proofErr w:type="gramStart"/>
      <w:r>
        <w:lastRenderedPageBreak/>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51" w:name="ref-vonSzalay2017"/>
      <w:bookmarkEnd w:id="50"/>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52" w:name="ref-Williams2022"/>
      <w:bookmarkEnd w:id="51"/>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53" w:name="ref-Xu2020"/>
      <w:bookmarkEnd w:id="52"/>
      <w:r>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6">
        <w:r>
          <w:rPr>
            <w:rStyle w:val="Hyperlink"/>
          </w:rPr>
          <w:t>10.1139/cjfas-2019-0107</w:t>
        </w:r>
      </w:hyperlink>
      <w:r>
        <w:t>.</w:t>
      </w:r>
    </w:p>
    <w:bookmarkEnd w:id="19"/>
    <w:bookmarkEnd w:id="53"/>
    <w:p w14:paraId="5DDC72C6" w14:textId="77777777" w:rsidR="00927AF5" w:rsidRDefault="00B02E4A">
      <w:r>
        <w:br w:type="page"/>
      </w:r>
    </w:p>
    <w:p w14:paraId="22B33643" w14:textId="77777777" w:rsidR="006C22B7" w:rsidRDefault="006C22B7" w:rsidP="006C22B7">
      <w:pPr>
        <w:pStyle w:val="Heading1"/>
      </w:pPr>
      <w:bookmarkStart w:id="54" w:name="tables"/>
      <w:bookmarkEnd w:id="17"/>
      <w:r>
        <w:lastRenderedPageBreak/>
        <w:t>Tables</w:t>
      </w:r>
    </w:p>
    <w:p w14:paraId="50355CDD" w14:textId="77777777" w:rsidR="006C22B7" w:rsidRPr="009277A5" w:rsidRDefault="006C22B7" w:rsidP="006C22B7">
      <w:pPr>
        <w:pStyle w:val="TableCaption"/>
        <w:rPr>
          <w:i w:val="0"/>
        </w:rPr>
      </w:pPr>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trPr>
        <w:tc>
          <w:tcPr>
            <w:tcW w:w="0" w:type="auto"/>
            <w:tcBorders>
              <w:bottom w:val="single" w:sz="4" w:space="0" w:color="auto"/>
            </w:tcBorders>
          </w:tcPr>
          <w:p w14:paraId="2A3870CA" w14:textId="77777777" w:rsidR="006C22B7" w:rsidRDefault="006C22B7" w:rsidP="002D489A">
            <w:pPr>
              <w:pStyle w:val="Compact"/>
            </w:pPr>
            <w:r>
              <w:t>Stock (species type)</w:t>
            </w:r>
          </w:p>
        </w:tc>
        <w:tc>
          <w:tcPr>
            <w:tcW w:w="0" w:type="auto"/>
            <w:tcBorders>
              <w:bottom w:val="single" w:sz="4" w:space="0" w:color="auto"/>
            </w:tcBorders>
          </w:tcPr>
          <w:p w14:paraId="524BBB71" w14:textId="77777777" w:rsidR="006C22B7" w:rsidRDefault="006C22B7" w:rsidP="002D489A">
            <w:pPr>
              <w:pStyle w:val="Compact"/>
            </w:pPr>
            <w:r>
              <w:t>Scientific name</w:t>
            </w:r>
          </w:p>
        </w:tc>
        <w:tc>
          <w:tcPr>
            <w:tcW w:w="0" w:type="auto"/>
            <w:tcBorders>
              <w:bottom w:val="single" w:sz="4" w:space="0" w:color="auto"/>
            </w:tcBorders>
          </w:tcPr>
          <w:p w14:paraId="3E62B185" w14:textId="77777777" w:rsidR="006C22B7" w:rsidRDefault="006C22B7" w:rsidP="002D489A">
            <w:pPr>
              <w:pStyle w:val="Compact"/>
              <w:jc w:val="center"/>
            </w:pPr>
            <w:r>
              <w:t>AI</w:t>
            </w:r>
          </w:p>
        </w:tc>
        <w:tc>
          <w:tcPr>
            <w:tcW w:w="0" w:type="auto"/>
            <w:tcBorders>
              <w:bottom w:val="single" w:sz="4" w:space="0" w:color="auto"/>
            </w:tcBorders>
          </w:tcPr>
          <w:p w14:paraId="6B41227E" w14:textId="77777777" w:rsidR="006C22B7" w:rsidRDefault="006C22B7" w:rsidP="002D489A">
            <w:pPr>
              <w:pStyle w:val="Compact"/>
              <w:jc w:val="center"/>
            </w:pPr>
            <w:r>
              <w:t>EBS</w:t>
            </w:r>
          </w:p>
        </w:tc>
        <w:tc>
          <w:tcPr>
            <w:tcW w:w="0" w:type="auto"/>
            <w:tcBorders>
              <w:bottom w:val="single" w:sz="4" w:space="0" w:color="auto"/>
            </w:tcBorders>
          </w:tcPr>
          <w:p w14:paraId="3CD51A2F" w14:textId="77777777" w:rsidR="006C22B7" w:rsidRDefault="006C22B7" w:rsidP="002D489A">
            <w:pPr>
              <w:pStyle w:val="Compact"/>
              <w:jc w:val="center"/>
            </w:pPr>
            <w:r>
              <w:t>GOA</w:t>
            </w:r>
          </w:p>
        </w:tc>
        <w:tc>
          <w:tcPr>
            <w:tcW w:w="0" w:type="auto"/>
            <w:tcBorders>
              <w:bottom w:val="single" w:sz="4" w:space="0" w:color="auto"/>
            </w:tcBorders>
          </w:tcPr>
          <w:p w14:paraId="565A51D1" w14:textId="77777777" w:rsidR="006C22B7" w:rsidRDefault="006C22B7" w:rsidP="002D489A">
            <w:pPr>
              <w:pStyle w:val="Compact"/>
              <w:jc w:val="center"/>
            </w:pPr>
            <w:r>
              <w:t>R-T</w:t>
            </w:r>
          </w:p>
        </w:tc>
      </w:tr>
      <w:tr w:rsidR="006C22B7" w14:paraId="676AA744" w14:textId="77777777" w:rsidTr="002D489A">
        <w:tc>
          <w:tcPr>
            <w:tcW w:w="0" w:type="auto"/>
            <w:tcBorders>
              <w:top w:val="single" w:sz="4" w:space="0" w:color="auto"/>
            </w:tcBorders>
          </w:tcPr>
          <w:p w14:paraId="74CF6C08" w14:textId="77777777" w:rsidR="006C22B7" w:rsidRDefault="006C22B7" w:rsidP="002D489A">
            <w:pPr>
              <w:pStyle w:val="Compact"/>
            </w:pPr>
            <w:proofErr w:type="spellStart"/>
            <w:r>
              <w:t>arrowtooth</w:t>
            </w:r>
            <w:proofErr w:type="spellEnd"/>
            <w:r>
              <w:t xml:space="preserve"> flounder (flatfish)</w:t>
            </w:r>
          </w:p>
        </w:tc>
        <w:tc>
          <w:tcPr>
            <w:tcW w:w="0" w:type="auto"/>
            <w:tcBorders>
              <w:top w:val="single" w:sz="4" w:space="0" w:color="auto"/>
            </w:tcBorders>
          </w:tcPr>
          <w:p w14:paraId="54707062" w14:textId="77777777" w:rsidR="006C22B7" w:rsidRPr="009277A5" w:rsidRDefault="006C22B7" w:rsidP="002D489A">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789434A4" w14:textId="77777777" w:rsidR="006C22B7" w:rsidRDefault="006C22B7" w:rsidP="002D489A">
            <w:pPr>
              <w:pStyle w:val="Compact"/>
              <w:jc w:val="center"/>
            </w:pPr>
            <w:r>
              <w:t>450</w:t>
            </w:r>
          </w:p>
        </w:tc>
        <w:tc>
          <w:tcPr>
            <w:tcW w:w="0" w:type="auto"/>
            <w:tcBorders>
              <w:top w:val="single" w:sz="4" w:space="0" w:color="auto"/>
            </w:tcBorders>
          </w:tcPr>
          <w:p w14:paraId="68B47DFF" w14:textId="77777777" w:rsidR="006C22B7" w:rsidRDefault="006C22B7" w:rsidP="002D489A">
            <w:pPr>
              <w:pStyle w:val="Compact"/>
              <w:jc w:val="center"/>
            </w:pPr>
            <w:r>
              <w:t>480</w:t>
            </w:r>
          </w:p>
        </w:tc>
        <w:tc>
          <w:tcPr>
            <w:tcW w:w="0" w:type="auto"/>
            <w:tcBorders>
              <w:top w:val="single" w:sz="4" w:space="0" w:color="auto"/>
            </w:tcBorders>
          </w:tcPr>
          <w:p w14:paraId="6F529ABE" w14:textId="77777777" w:rsidR="006C22B7" w:rsidRDefault="006C22B7" w:rsidP="002D489A">
            <w:pPr>
              <w:pStyle w:val="Compact"/>
              <w:jc w:val="center"/>
            </w:pPr>
            <w:r>
              <w:t>850</w:t>
            </w:r>
          </w:p>
        </w:tc>
        <w:tc>
          <w:tcPr>
            <w:tcW w:w="0" w:type="auto"/>
            <w:tcBorders>
              <w:top w:val="single" w:sz="4" w:space="0" w:color="auto"/>
            </w:tcBorders>
          </w:tcPr>
          <w:p w14:paraId="4F075592" w14:textId="77777777" w:rsidR="006C22B7" w:rsidRDefault="006C22B7" w:rsidP="002D489A">
            <w:pPr>
              <w:pStyle w:val="Compact"/>
              <w:jc w:val="center"/>
            </w:pPr>
            <w:r>
              <w:t>6,100</w:t>
            </w:r>
          </w:p>
        </w:tc>
      </w:tr>
      <w:tr w:rsidR="006C22B7" w14:paraId="3F340159" w14:textId="77777777" w:rsidTr="002D489A">
        <w:tc>
          <w:tcPr>
            <w:tcW w:w="0" w:type="auto"/>
          </w:tcPr>
          <w:p w14:paraId="019FC4C2" w14:textId="77777777" w:rsidR="006C22B7" w:rsidRDefault="006C22B7" w:rsidP="002D489A">
            <w:pPr>
              <w:pStyle w:val="Compact"/>
            </w:pPr>
            <w:r>
              <w:t>flathead sole (flatfish)</w:t>
            </w:r>
          </w:p>
        </w:tc>
        <w:tc>
          <w:tcPr>
            <w:tcW w:w="0" w:type="auto"/>
          </w:tcPr>
          <w:p w14:paraId="694BECEA" w14:textId="77777777" w:rsidR="006C22B7" w:rsidRPr="009277A5" w:rsidRDefault="006C22B7" w:rsidP="002D489A">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20CCADD2" w14:textId="77777777" w:rsidR="006C22B7" w:rsidRDefault="006C22B7" w:rsidP="002D489A">
            <w:pPr>
              <w:pStyle w:val="Compact"/>
              <w:jc w:val="center"/>
            </w:pPr>
            <w:r>
              <w:t>–</w:t>
            </w:r>
          </w:p>
        </w:tc>
        <w:tc>
          <w:tcPr>
            <w:tcW w:w="0" w:type="auto"/>
          </w:tcPr>
          <w:p w14:paraId="673503F0" w14:textId="77777777" w:rsidR="006C22B7" w:rsidRDefault="006C22B7" w:rsidP="002D489A">
            <w:pPr>
              <w:pStyle w:val="Compact"/>
              <w:jc w:val="center"/>
            </w:pPr>
            <w:r>
              <w:t>560</w:t>
            </w:r>
          </w:p>
        </w:tc>
        <w:tc>
          <w:tcPr>
            <w:tcW w:w="0" w:type="auto"/>
          </w:tcPr>
          <w:p w14:paraId="77E5064B" w14:textId="77777777" w:rsidR="006C22B7" w:rsidRDefault="006C22B7" w:rsidP="002D489A">
            <w:pPr>
              <w:pStyle w:val="Compact"/>
              <w:jc w:val="center"/>
            </w:pPr>
            <w:r>
              <w:t>520</w:t>
            </w:r>
          </w:p>
        </w:tc>
        <w:tc>
          <w:tcPr>
            <w:tcW w:w="0" w:type="auto"/>
          </w:tcPr>
          <w:p w14:paraId="282F71F8" w14:textId="77777777" w:rsidR="006C22B7" w:rsidRDefault="006C22B7" w:rsidP="002D489A">
            <w:pPr>
              <w:pStyle w:val="Compact"/>
              <w:jc w:val="center"/>
            </w:pPr>
            <w:r>
              <w:t>9,400</w:t>
            </w:r>
          </w:p>
        </w:tc>
      </w:tr>
      <w:tr w:rsidR="006C22B7" w14:paraId="5C32D214" w14:textId="77777777" w:rsidTr="002D489A">
        <w:tc>
          <w:tcPr>
            <w:tcW w:w="0" w:type="auto"/>
          </w:tcPr>
          <w:p w14:paraId="49248D65" w14:textId="77777777" w:rsidR="006C22B7" w:rsidRDefault="006C22B7" w:rsidP="002D489A">
            <w:pPr>
              <w:pStyle w:val="Compact"/>
            </w:pPr>
            <w:r>
              <w:t>northern rock sole (flatfish)</w:t>
            </w:r>
          </w:p>
        </w:tc>
        <w:tc>
          <w:tcPr>
            <w:tcW w:w="0" w:type="auto"/>
          </w:tcPr>
          <w:p w14:paraId="1A514245" w14:textId="77777777" w:rsidR="006C22B7" w:rsidRPr="009277A5" w:rsidRDefault="006C22B7" w:rsidP="002D489A">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3A681E18" w14:textId="77777777" w:rsidR="006C22B7" w:rsidRDefault="006C22B7" w:rsidP="002D489A">
            <w:pPr>
              <w:pStyle w:val="Compact"/>
              <w:jc w:val="center"/>
            </w:pPr>
            <w:r>
              <w:t>–</w:t>
            </w:r>
          </w:p>
        </w:tc>
        <w:tc>
          <w:tcPr>
            <w:tcW w:w="0" w:type="auto"/>
          </w:tcPr>
          <w:p w14:paraId="47574E11" w14:textId="77777777" w:rsidR="006C22B7" w:rsidRDefault="006C22B7" w:rsidP="002D489A">
            <w:pPr>
              <w:pStyle w:val="Compact"/>
              <w:jc w:val="center"/>
            </w:pPr>
            <w:r>
              <w:t>460</w:t>
            </w:r>
          </w:p>
        </w:tc>
        <w:tc>
          <w:tcPr>
            <w:tcW w:w="0" w:type="auto"/>
          </w:tcPr>
          <w:p w14:paraId="7B5AC9B9" w14:textId="77777777" w:rsidR="006C22B7" w:rsidRDefault="006C22B7" w:rsidP="002D489A">
            <w:pPr>
              <w:pStyle w:val="Compact"/>
              <w:jc w:val="center"/>
            </w:pPr>
            <w:r>
              <w:t>450</w:t>
            </w:r>
          </w:p>
        </w:tc>
        <w:tc>
          <w:tcPr>
            <w:tcW w:w="0" w:type="auto"/>
          </w:tcPr>
          <w:p w14:paraId="64F9BF75" w14:textId="77777777" w:rsidR="006C22B7" w:rsidRDefault="006C22B7" w:rsidP="002D489A">
            <w:pPr>
              <w:pStyle w:val="Compact"/>
              <w:jc w:val="center"/>
            </w:pPr>
            <w:r>
              <w:t>8,900</w:t>
            </w:r>
          </w:p>
        </w:tc>
      </w:tr>
      <w:tr w:rsidR="006C22B7" w14:paraId="31695A8E" w14:textId="77777777" w:rsidTr="002D489A">
        <w:tc>
          <w:tcPr>
            <w:tcW w:w="0" w:type="auto"/>
          </w:tcPr>
          <w:p w14:paraId="24B23CA8" w14:textId="77777777" w:rsidR="006C22B7" w:rsidRDefault="006C22B7" w:rsidP="002D489A">
            <w:pPr>
              <w:pStyle w:val="Compact"/>
            </w:pPr>
            <w:r>
              <w:t>northern rockfish (rockfish)</w:t>
            </w:r>
          </w:p>
        </w:tc>
        <w:tc>
          <w:tcPr>
            <w:tcW w:w="0" w:type="auto"/>
          </w:tcPr>
          <w:p w14:paraId="64CDC861" w14:textId="77777777" w:rsidR="006C22B7" w:rsidRPr="009277A5" w:rsidRDefault="006C22B7" w:rsidP="002D489A">
            <w:pPr>
              <w:pStyle w:val="Compact"/>
              <w:rPr>
                <w:i/>
              </w:rPr>
            </w:pPr>
            <w:r w:rsidRPr="009277A5">
              <w:rPr>
                <w:i/>
              </w:rPr>
              <w:t xml:space="preserve">Sebastes </w:t>
            </w:r>
            <w:proofErr w:type="spellStart"/>
            <w:r w:rsidRPr="009277A5">
              <w:rPr>
                <w:i/>
              </w:rPr>
              <w:t>polyspinis</w:t>
            </w:r>
            <w:proofErr w:type="spellEnd"/>
          </w:p>
        </w:tc>
        <w:tc>
          <w:tcPr>
            <w:tcW w:w="0" w:type="auto"/>
          </w:tcPr>
          <w:p w14:paraId="458D18CA" w14:textId="77777777" w:rsidR="006C22B7" w:rsidRDefault="006C22B7" w:rsidP="002D489A">
            <w:pPr>
              <w:pStyle w:val="Compact"/>
              <w:jc w:val="center"/>
            </w:pPr>
            <w:r>
              <w:t>570</w:t>
            </w:r>
          </w:p>
        </w:tc>
        <w:tc>
          <w:tcPr>
            <w:tcW w:w="0" w:type="auto"/>
          </w:tcPr>
          <w:p w14:paraId="50FCD845" w14:textId="77777777" w:rsidR="006C22B7" w:rsidRDefault="006C22B7" w:rsidP="002D489A">
            <w:pPr>
              <w:pStyle w:val="Compact"/>
              <w:jc w:val="center"/>
            </w:pPr>
            <w:r>
              <w:t>–</w:t>
            </w:r>
          </w:p>
        </w:tc>
        <w:tc>
          <w:tcPr>
            <w:tcW w:w="0" w:type="auto"/>
          </w:tcPr>
          <w:p w14:paraId="0F01B592" w14:textId="77777777" w:rsidR="006C22B7" w:rsidRDefault="006C22B7" w:rsidP="002D489A">
            <w:pPr>
              <w:pStyle w:val="Compact"/>
              <w:jc w:val="center"/>
            </w:pPr>
            <w:r>
              <w:t>450</w:t>
            </w:r>
          </w:p>
        </w:tc>
        <w:tc>
          <w:tcPr>
            <w:tcW w:w="0" w:type="auto"/>
          </w:tcPr>
          <w:p w14:paraId="4F9F6819" w14:textId="77777777" w:rsidR="006C22B7" w:rsidRDefault="006C22B7" w:rsidP="002D489A">
            <w:pPr>
              <w:pStyle w:val="Compact"/>
              <w:jc w:val="center"/>
            </w:pPr>
            <w:r>
              <w:t>6,400</w:t>
            </w:r>
          </w:p>
        </w:tc>
      </w:tr>
      <w:tr w:rsidR="006C22B7" w14:paraId="1ED65E16" w14:textId="77777777" w:rsidTr="002D489A">
        <w:tc>
          <w:tcPr>
            <w:tcW w:w="0" w:type="auto"/>
          </w:tcPr>
          <w:p w14:paraId="31C3BA66" w14:textId="77777777" w:rsidR="006C22B7" w:rsidRDefault="006C22B7" w:rsidP="002D489A">
            <w:pPr>
              <w:pStyle w:val="Compact"/>
            </w:pPr>
            <w:r>
              <w:t>Pacific cod (</w:t>
            </w:r>
            <w:proofErr w:type="spellStart"/>
            <w:r>
              <w:t>gadid</w:t>
            </w:r>
            <w:proofErr w:type="spellEnd"/>
            <w:r>
              <w:t>)</w:t>
            </w:r>
          </w:p>
        </w:tc>
        <w:tc>
          <w:tcPr>
            <w:tcW w:w="0" w:type="auto"/>
          </w:tcPr>
          <w:p w14:paraId="3CD2B977"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7B21DEF9" w14:textId="77777777" w:rsidR="006C22B7" w:rsidRDefault="006C22B7" w:rsidP="002D489A">
            <w:pPr>
              <w:pStyle w:val="Compact"/>
              <w:jc w:val="center"/>
            </w:pPr>
            <w:r>
              <w:t>800</w:t>
            </w:r>
          </w:p>
        </w:tc>
        <w:tc>
          <w:tcPr>
            <w:tcW w:w="0" w:type="auto"/>
          </w:tcPr>
          <w:p w14:paraId="5D73E101" w14:textId="77777777" w:rsidR="006C22B7" w:rsidRDefault="006C22B7" w:rsidP="002D489A">
            <w:pPr>
              <w:pStyle w:val="Compact"/>
              <w:jc w:val="center"/>
            </w:pPr>
            <w:r>
              <w:t>1070</w:t>
            </w:r>
          </w:p>
        </w:tc>
        <w:tc>
          <w:tcPr>
            <w:tcW w:w="0" w:type="auto"/>
          </w:tcPr>
          <w:p w14:paraId="418BC897" w14:textId="77777777" w:rsidR="006C22B7" w:rsidRDefault="006C22B7" w:rsidP="002D489A">
            <w:pPr>
              <w:pStyle w:val="Compact"/>
              <w:jc w:val="center"/>
            </w:pPr>
            <w:r>
              <w:t>650</w:t>
            </w:r>
          </w:p>
        </w:tc>
        <w:tc>
          <w:tcPr>
            <w:tcW w:w="0" w:type="auto"/>
          </w:tcPr>
          <w:p w14:paraId="2A9B31E8" w14:textId="77777777" w:rsidR="006C22B7" w:rsidRDefault="006C22B7" w:rsidP="002D489A">
            <w:pPr>
              <w:pStyle w:val="Compact"/>
              <w:jc w:val="center"/>
            </w:pPr>
            <w:r>
              <w:t>21,200</w:t>
            </w:r>
          </w:p>
        </w:tc>
      </w:tr>
      <w:tr w:rsidR="006C22B7" w14:paraId="034FE980" w14:textId="77777777" w:rsidTr="002D489A">
        <w:tc>
          <w:tcPr>
            <w:tcW w:w="0" w:type="auto"/>
          </w:tcPr>
          <w:p w14:paraId="20E42C70" w14:textId="77777777" w:rsidR="006C22B7" w:rsidRDefault="006C22B7" w:rsidP="002D489A">
            <w:pPr>
              <w:pStyle w:val="Compact"/>
            </w:pPr>
            <w:r>
              <w:t>Pacific ocean perch (rockfish)</w:t>
            </w:r>
          </w:p>
        </w:tc>
        <w:tc>
          <w:tcPr>
            <w:tcW w:w="0" w:type="auto"/>
          </w:tcPr>
          <w:p w14:paraId="6C89923C" w14:textId="77777777" w:rsidR="006C22B7" w:rsidRPr="009277A5" w:rsidRDefault="006C22B7" w:rsidP="002D489A">
            <w:pPr>
              <w:pStyle w:val="Compact"/>
              <w:rPr>
                <w:i/>
              </w:rPr>
            </w:pPr>
            <w:r w:rsidRPr="009277A5">
              <w:rPr>
                <w:i/>
              </w:rPr>
              <w:t xml:space="preserve">Sebastes </w:t>
            </w:r>
            <w:proofErr w:type="spellStart"/>
            <w:r w:rsidRPr="009277A5">
              <w:rPr>
                <w:i/>
              </w:rPr>
              <w:t>alutus</w:t>
            </w:r>
            <w:proofErr w:type="spellEnd"/>
          </w:p>
        </w:tc>
        <w:tc>
          <w:tcPr>
            <w:tcW w:w="0" w:type="auto"/>
          </w:tcPr>
          <w:p w14:paraId="74BC07EC" w14:textId="77777777" w:rsidR="006C22B7" w:rsidRDefault="006C22B7" w:rsidP="002D489A">
            <w:pPr>
              <w:pStyle w:val="Compact"/>
              <w:jc w:val="center"/>
            </w:pPr>
            <w:r>
              <w:t>940</w:t>
            </w:r>
          </w:p>
        </w:tc>
        <w:tc>
          <w:tcPr>
            <w:tcW w:w="0" w:type="auto"/>
          </w:tcPr>
          <w:p w14:paraId="6C88D9F3" w14:textId="77777777" w:rsidR="006C22B7" w:rsidRDefault="006C22B7" w:rsidP="002D489A">
            <w:pPr>
              <w:pStyle w:val="Compact"/>
              <w:jc w:val="center"/>
            </w:pPr>
            <w:r>
              <w:t>–</w:t>
            </w:r>
          </w:p>
        </w:tc>
        <w:tc>
          <w:tcPr>
            <w:tcW w:w="0" w:type="auto"/>
          </w:tcPr>
          <w:p w14:paraId="591E2ACC" w14:textId="77777777" w:rsidR="006C22B7" w:rsidRDefault="006C22B7" w:rsidP="002D489A">
            <w:pPr>
              <w:pStyle w:val="Compact"/>
              <w:jc w:val="center"/>
            </w:pPr>
            <w:r>
              <w:t>1030</w:t>
            </w:r>
          </w:p>
        </w:tc>
        <w:tc>
          <w:tcPr>
            <w:tcW w:w="0" w:type="auto"/>
          </w:tcPr>
          <w:p w14:paraId="755CC71F" w14:textId="77777777" w:rsidR="006C22B7" w:rsidRDefault="006C22B7" w:rsidP="002D489A">
            <w:pPr>
              <w:pStyle w:val="Compact"/>
              <w:jc w:val="center"/>
            </w:pPr>
            <w:r>
              <w:t>13,500</w:t>
            </w:r>
          </w:p>
        </w:tc>
      </w:tr>
      <w:tr w:rsidR="006C22B7" w14:paraId="398D94E9" w14:textId="77777777" w:rsidTr="002D489A">
        <w:tc>
          <w:tcPr>
            <w:tcW w:w="0" w:type="auto"/>
          </w:tcPr>
          <w:p w14:paraId="2BBD8315" w14:textId="77777777" w:rsidR="006C22B7" w:rsidRDefault="006C22B7" w:rsidP="002D489A">
            <w:pPr>
              <w:pStyle w:val="Compact"/>
            </w:pPr>
            <w:r>
              <w:t xml:space="preserve">walleye </w:t>
            </w:r>
            <w:proofErr w:type="spellStart"/>
            <w:r>
              <w:t>pollock</w:t>
            </w:r>
            <w:proofErr w:type="spellEnd"/>
            <w:r>
              <w:t xml:space="preserve"> (</w:t>
            </w:r>
            <w:proofErr w:type="spellStart"/>
            <w:r>
              <w:t>gadid</w:t>
            </w:r>
            <w:proofErr w:type="spellEnd"/>
            <w:r>
              <w:t>)</w:t>
            </w:r>
          </w:p>
        </w:tc>
        <w:tc>
          <w:tcPr>
            <w:tcW w:w="0" w:type="auto"/>
          </w:tcPr>
          <w:p w14:paraId="205A7D39"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4A82ADDA" w14:textId="77777777" w:rsidR="006C22B7" w:rsidRDefault="006C22B7" w:rsidP="002D489A">
            <w:pPr>
              <w:pStyle w:val="Compact"/>
              <w:jc w:val="center"/>
            </w:pPr>
            <w:r>
              <w:t>790</w:t>
            </w:r>
          </w:p>
        </w:tc>
        <w:tc>
          <w:tcPr>
            <w:tcW w:w="0" w:type="auto"/>
          </w:tcPr>
          <w:p w14:paraId="12545C3D" w14:textId="77777777" w:rsidR="006C22B7" w:rsidRDefault="006C22B7" w:rsidP="002D489A">
            <w:pPr>
              <w:pStyle w:val="Compact"/>
              <w:jc w:val="center"/>
            </w:pPr>
            <w:r>
              <w:t>1500</w:t>
            </w:r>
          </w:p>
        </w:tc>
        <w:tc>
          <w:tcPr>
            <w:tcW w:w="0" w:type="auto"/>
          </w:tcPr>
          <w:p w14:paraId="4963540C" w14:textId="77777777" w:rsidR="006C22B7" w:rsidRDefault="006C22B7" w:rsidP="002D489A">
            <w:pPr>
              <w:pStyle w:val="Compact"/>
              <w:jc w:val="center"/>
            </w:pPr>
            <w:r>
              <w:t>1300</w:t>
            </w:r>
          </w:p>
        </w:tc>
        <w:tc>
          <w:tcPr>
            <w:tcW w:w="0" w:type="auto"/>
          </w:tcPr>
          <w:p w14:paraId="029C1992" w14:textId="77777777" w:rsidR="006C22B7" w:rsidRDefault="006C22B7" w:rsidP="002D489A">
            <w:pPr>
              <w:pStyle w:val="Compact"/>
              <w:jc w:val="center"/>
            </w:pPr>
            <w:r>
              <w:t>84,400</w:t>
            </w:r>
          </w:p>
        </w:tc>
      </w:tr>
      <w:tr w:rsidR="006C22B7" w14:paraId="641CC3F4" w14:textId="77777777" w:rsidTr="002D489A">
        <w:tc>
          <w:tcPr>
            <w:tcW w:w="0" w:type="auto"/>
            <w:tcBorders>
              <w:bottom w:val="single" w:sz="4" w:space="0" w:color="auto"/>
            </w:tcBorders>
          </w:tcPr>
          <w:p w14:paraId="07968232" w14:textId="77777777" w:rsidR="006C22B7" w:rsidRDefault="006C22B7" w:rsidP="002D489A">
            <w:pPr>
              <w:pStyle w:val="Compact"/>
            </w:pPr>
            <w:r>
              <w:t>yellowfin sole (flatfish)</w:t>
            </w:r>
          </w:p>
        </w:tc>
        <w:tc>
          <w:tcPr>
            <w:tcW w:w="0" w:type="auto"/>
            <w:tcBorders>
              <w:bottom w:val="single" w:sz="4" w:space="0" w:color="auto"/>
            </w:tcBorders>
          </w:tcPr>
          <w:p w14:paraId="340D7096" w14:textId="77777777" w:rsidR="006C22B7" w:rsidRPr="009277A5" w:rsidRDefault="006C22B7" w:rsidP="002D489A">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02A4FBB8" w14:textId="77777777" w:rsidR="006C22B7" w:rsidRDefault="006C22B7" w:rsidP="002D489A">
            <w:pPr>
              <w:pStyle w:val="Compact"/>
              <w:jc w:val="center"/>
            </w:pPr>
            <w:r>
              <w:t>–</w:t>
            </w:r>
          </w:p>
        </w:tc>
        <w:tc>
          <w:tcPr>
            <w:tcW w:w="0" w:type="auto"/>
            <w:tcBorders>
              <w:bottom w:val="single" w:sz="4" w:space="0" w:color="auto"/>
            </w:tcBorders>
          </w:tcPr>
          <w:p w14:paraId="0E59716D" w14:textId="77777777" w:rsidR="006C22B7" w:rsidRDefault="006C22B7" w:rsidP="002D489A">
            <w:pPr>
              <w:pStyle w:val="Compact"/>
              <w:jc w:val="center"/>
            </w:pPr>
            <w:r>
              <w:t>750</w:t>
            </w:r>
          </w:p>
        </w:tc>
        <w:tc>
          <w:tcPr>
            <w:tcW w:w="0" w:type="auto"/>
            <w:tcBorders>
              <w:bottom w:val="single" w:sz="4" w:space="0" w:color="auto"/>
            </w:tcBorders>
          </w:tcPr>
          <w:p w14:paraId="18612331" w14:textId="77777777" w:rsidR="006C22B7" w:rsidRDefault="006C22B7" w:rsidP="002D489A">
            <w:pPr>
              <w:pStyle w:val="Compact"/>
              <w:jc w:val="center"/>
            </w:pPr>
            <w:r>
              <w:t>–</w:t>
            </w:r>
          </w:p>
        </w:tc>
        <w:tc>
          <w:tcPr>
            <w:tcW w:w="0" w:type="auto"/>
            <w:tcBorders>
              <w:bottom w:val="single" w:sz="4" w:space="0" w:color="auto"/>
            </w:tcBorders>
          </w:tcPr>
          <w:p w14:paraId="618FC8F2" w14:textId="77777777" w:rsidR="006C22B7" w:rsidRDefault="006C22B7" w:rsidP="002D489A">
            <w:pPr>
              <w:pStyle w:val="Compact"/>
              <w:jc w:val="center"/>
            </w:pPr>
            <w:r>
              <w:t>10,300</w:t>
            </w:r>
          </w:p>
        </w:tc>
      </w:tr>
    </w:tbl>
    <w:p w14:paraId="3E9651E4" w14:textId="77777777" w:rsidR="006C22B7" w:rsidRDefault="006C22B7" w:rsidP="006C22B7"/>
    <w:p w14:paraId="27D06109" w14:textId="77777777" w:rsidR="006C22B7" w:rsidRDefault="006C22B7" w:rsidP="006C22B7">
      <w:pPr>
        <w:spacing w:before="0" w:after="160" w:line="259" w:lineRule="auto"/>
      </w:pPr>
      <w:r>
        <w:br w:type="page"/>
      </w:r>
    </w:p>
    <w:p w14:paraId="00275B82" w14:textId="77777777" w:rsidR="006C22B7" w:rsidRDefault="006C22B7" w:rsidP="006C22B7">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bCs w:val="0"/>
                <w:color w:val="000000"/>
              </w:rPr>
            </w:pPr>
            <w:r>
              <w:rPr>
                <w:color w:val="000000"/>
              </w:rPr>
              <w:t>Uncertainty scenarios</w:t>
            </w:r>
          </w:p>
        </w:tc>
      </w:tr>
      <w:tr w:rsidR="006C22B7" w14:paraId="233CB4F7"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color w:val="000000"/>
              </w:rPr>
            </w:pPr>
            <w:r>
              <w:rPr>
                <w:color w:val="000000"/>
              </w:rPr>
              <w:t>Standard bootstrap-simulation (omitting steps 5 and 6 that include ageing error and growth variability in the Bootstrap-Simulation framework)</w:t>
            </w:r>
          </w:p>
        </w:tc>
      </w:tr>
      <w:tr w:rsidR="006C22B7" w14:paraId="178722E1"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color w:val="000000"/>
              </w:rPr>
            </w:pPr>
            <w:r>
              <w:rPr>
                <w:color w:val="000000"/>
              </w:rPr>
              <w:t>Bootstrap-simulation including ageing error only</w:t>
            </w:r>
          </w:p>
        </w:tc>
      </w:tr>
      <w:tr w:rsidR="006C22B7" w14:paraId="2E8FB456"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color w:val="000000"/>
              </w:rPr>
            </w:pPr>
            <w:r>
              <w:rPr>
                <w:color w:val="000000"/>
              </w:rPr>
              <w:t>Bootstrap-simulation including growth variability only</w:t>
            </w:r>
          </w:p>
        </w:tc>
      </w:tr>
      <w:tr w:rsidR="006C22B7" w14:paraId="24A2EB6E" w14:textId="77777777" w:rsidTr="002D489A">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color w:val="000000"/>
              </w:rPr>
            </w:pPr>
            <w:r>
              <w:rPr>
                <w:color w:val="000000"/>
              </w:rPr>
              <w:t>Bootstrap-simulation including both ageing error and growth variability</w:t>
            </w:r>
          </w:p>
        </w:tc>
      </w:tr>
      <w:tr w:rsidR="006C22B7" w14:paraId="2A630D21" w14:textId="77777777" w:rsidTr="002D489A">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color w:val="000000"/>
              </w:rPr>
            </w:pPr>
            <w:r>
              <w:rPr>
                <w:color w:val="000000"/>
              </w:rPr>
              <w:t>Treatments</w:t>
            </w:r>
          </w:p>
        </w:tc>
      </w:tr>
      <w:tr w:rsidR="006C22B7" w14:paraId="165AB05D"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6AA9AF86" w:rsidR="006C22B7" w:rsidRDefault="006C22B7" w:rsidP="00C4369F">
            <w:pPr>
              <w:rPr>
                <w:color w:val="000000"/>
              </w:rPr>
            </w:pPr>
            <w:r>
              <w:rPr>
                <w:color w:val="000000"/>
              </w:rPr>
              <w:t xml:space="preserve">Growth </w:t>
            </w:r>
            <w:r w:rsidR="00C4369F">
              <w:rPr>
                <w:color w:val="000000"/>
              </w:rPr>
              <w:t>data</w:t>
            </w:r>
            <w:r>
              <w:rPr>
                <w:color w:val="000000"/>
              </w:rPr>
              <w:t xml:space="preserve">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color w:val="000000"/>
              </w:rPr>
            </w:pPr>
            <w:r>
              <w:rPr>
                <w:color w:val="000000"/>
              </w:rPr>
              <w:t>Resample lengths for a given age after pooling age-length data across survey years ('Pooled') or using annual age-length data ('Annual')</w:t>
            </w:r>
          </w:p>
        </w:tc>
      </w:tr>
      <w:tr w:rsidR="006C22B7" w14:paraId="453E4FAC"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color w:val="000000"/>
              </w:rPr>
            </w:pPr>
            <w:r>
              <w:rPr>
                <w:color w:val="000000"/>
              </w:rPr>
              <w:t>Implement 1 cm, 2 cm, and 5 cm length bins in the length data</w:t>
            </w:r>
          </w:p>
        </w:tc>
      </w:tr>
      <w:tr w:rsidR="006C22B7" w14:paraId="5873B7EE" w14:textId="77777777" w:rsidTr="002D489A">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color w:val="000000"/>
              </w:rPr>
            </w:pPr>
            <w:r>
              <w:rPr>
                <w:color w:val="000000"/>
              </w:rPr>
              <w:t>Aggregate length and age data before  ('Pre-expansion') or after ('Post-expansion') length and age expansion</w:t>
            </w:r>
          </w:p>
        </w:tc>
      </w:tr>
    </w:tbl>
    <w:p w14:paraId="6A640177" w14:textId="77777777" w:rsidR="006C22B7" w:rsidRDefault="006C22B7" w:rsidP="006C22B7">
      <w:r>
        <w:t xml:space="preserve"> </w:t>
      </w:r>
      <w:r>
        <w:br w:type="page"/>
      </w:r>
    </w:p>
    <w:p w14:paraId="19992CE4" w14:textId="77777777" w:rsidR="006C22B7" w:rsidRDefault="006C22B7" w:rsidP="006C22B7">
      <w:pPr>
        <w:pStyle w:val="Heading1"/>
      </w:pPr>
      <w:r>
        <w:lastRenderedPageBreak/>
        <w:t>Figures</w:t>
      </w:r>
    </w:p>
    <w:p w14:paraId="245BE791" w14:textId="77777777" w:rsidR="006C22B7" w:rsidRDefault="006C22B7" w:rsidP="006C22B7">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7"/>
                    <a:stretch>
                      <a:fillRect/>
                    </a:stretch>
                  </pic:blipFill>
                  <pic:spPr bwMode="auto">
                    <a:xfrm>
                      <a:off x="0" y="0"/>
                      <a:ext cx="5084064" cy="5216652"/>
                    </a:xfrm>
                    <a:prstGeom prst="rect">
                      <a:avLst/>
                    </a:prstGeom>
                    <a:noFill/>
                    <a:ln w="9525">
                      <a:noFill/>
                      <a:headEnd/>
                      <a:tailEnd/>
                    </a:ln>
                  </pic:spPr>
                </pic:pic>
              </a:graphicData>
            </a:graphic>
          </wp:inline>
        </w:drawing>
      </w:r>
    </w:p>
    <w:p w14:paraId="74CF7D1D" w14:textId="77777777" w:rsidR="006C22B7" w:rsidRDefault="006C22B7" w:rsidP="006C22B7">
      <w:pPr>
        <w:pStyle w:val="ImageCaption"/>
      </w:pPr>
      <w:r>
        <w:t>Figure 1: Bootstrap-simulation flow chart, the steps refer to the order of operations.</w:t>
      </w:r>
    </w:p>
    <w:p w14:paraId="56FFC0C3" w14:textId="77777777" w:rsidR="006C22B7" w:rsidRDefault="006C22B7" w:rsidP="006C22B7">
      <w:r w:rsidRPr="00A96580">
        <w:rPr>
          <w:noProof/>
        </w:rPr>
        <w:lastRenderedPageBreak/>
        <w:drawing>
          <wp:inline distT="0" distB="0" distL="0" distR="0" wp14:anchorId="238CA1FF" wp14:editId="652F89A7">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2C92E32A" w14:textId="77777777" w:rsidR="006C22B7" w:rsidRDefault="006C22B7" w:rsidP="006C22B7">
      <w:pPr>
        <w:pStyle w:val="ImageCaption"/>
      </w:pPr>
      <w:r>
        <w:t xml:space="preserve">Figure 2: Boxplot of annual age composition input sample size (top row) and relative age composition input sample size (bottom row) aggregated by species type across uncertainty scenarios within each sex category (for 1 cm length bins and pooled growth data). </w:t>
      </w:r>
      <w:commentRangeStart w:id="55"/>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5"/>
      <w:r>
        <w:rPr>
          <w:rStyle w:val="CommentReference"/>
          <w:iCs w:val="0"/>
        </w:rPr>
        <w:commentReference w:id="55"/>
      </w:r>
      <w:r>
        <w:t>The boxplots shows the median (solid line), 25% - 75% percentile range (box limits, also called the inter-quartile range), and 1.5 times the inter-quartile range (whiskers).</w:t>
      </w:r>
    </w:p>
    <w:p w14:paraId="1A21926F" w14:textId="69C079D5" w:rsidR="006C22B7" w:rsidRDefault="00C4369F" w:rsidP="006C22B7">
      <w:r w:rsidRPr="00C4369F">
        <w:rPr>
          <w:noProof/>
        </w:rPr>
        <w:lastRenderedPageBreak/>
        <w:drawing>
          <wp:inline distT="0" distB="0" distL="0" distR="0" wp14:anchorId="4792B93F" wp14:editId="301D7592">
            <wp:extent cx="5943600" cy="4572000"/>
            <wp:effectExtent l="0" t="0" r="0" b="0"/>
            <wp:docPr id="2" name="Picture 2"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grwth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4FB6D71" w14:textId="140E1CED" w:rsidR="006C22B7" w:rsidRDefault="006C22B7" w:rsidP="006C22B7">
      <w:pPr>
        <w:pStyle w:val="ImageCaption"/>
      </w:pPr>
      <w:r>
        <w:t xml:space="preserve">Figure 3: Boxplot of annual age composition input sample size (top row) and relative age composition input sample size (bottom row) aggregated by species type across uncertainty scenarios within each growth </w:t>
      </w:r>
      <w:r w:rsidR="00C4369F">
        <w:t>data</w:t>
      </w:r>
      <w:r>
        <w:t xml:space="preserve"> treatment (</w:t>
      </w:r>
      <w:r w:rsidR="00C4318E">
        <w:t>shown for total age composition expanded with 1 cm length bins</w:t>
      </w:r>
      <w:r>
        <w:t xml:space="preserve">). </w:t>
      </w:r>
      <w:commentRangeStart w:id="56"/>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6"/>
      <w:r>
        <w:rPr>
          <w:rStyle w:val="CommentReference"/>
          <w:iCs w:val="0"/>
        </w:rPr>
        <w:commentReference w:id="56"/>
      </w:r>
      <w:r>
        <w:t>The boxplots shows the median (solid line), 25% - 75% percentile range (box limits, also called the inter-quartile range), and 1.5 times the inter-quartile range (whiskers).</w:t>
      </w:r>
    </w:p>
    <w:p w14:paraId="0CA2359C" w14:textId="03A7FF93" w:rsidR="006C22B7" w:rsidRDefault="00C4318E" w:rsidP="006C22B7">
      <w:pPr>
        <w:pStyle w:val="ImageCaption"/>
      </w:pPr>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45EF65EE" w14:textId="7712E487" w:rsidR="006C22B7" w:rsidRDefault="006C22B7" w:rsidP="006C22B7">
      <w:pPr>
        <w:pStyle w:val="ImageCaption"/>
      </w:pPr>
      <w:r>
        <w:t>Figure 4: Boxplot of annual age composition input sample size (top row) and relative age composition input sample size (bottom row) aggregated by species type across uncertainty scenarios within each length bin treatment (</w:t>
      </w:r>
      <w:r w:rsidR="00C4318E">
        <w:t>shown for total age composition expanded using annual growth data</w:t>
      </w:r>
      <w:r>
        <w:t xml:space="preserve">). </w:t>
      </w:r>
      <w:commentRangeStart w:id="57"/>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7"/>
      <w:r>
        <w:rPr>
          <w:rStyle w:val="CommentReference"/>
          <w:iCs w:val="0"/>
        </w:rPr>
        <w:commentReference w:id="57"/>
      </w:r>
      <w:r>
        <w:t>The boxplots shows the median (solid line), 25% - 75% percentile range (box limits, also called the inter-quartile range), and 1.5 times the inter-quartile range (whiskers).</w:t>
      </w:r>
    </w:p>
    <w:p w14:paraId="0C264783" w14:textId="77777777" w:rsidR="006C22B7" w:rsidRDefault="006C22B7" w:rsidP="006C22B7">
      <w:pPr>
        <w:pStyle w:val="ImageCaption"/>
      </w:pPr>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3921D38" w14:textId="7AE7BFF5" w:rsidR="006C22B7" w:rsidRDefault="006C22B7" w:rsidP="006C22B7">
      <w:pPr>
        <w:pStyle w:val="ImageCaption"/>
      </w:pPr>
      <w:r>
        <w:t>Figure 5: Boxplot of annual age composition input sample size (top row) and relative age composition input sample size (bottom row) for the selected example species type stocks across uncertainty scenarios within each aggregation treatment (</w:t>
      </w:r>
      <w:r w:rsidR="00C4318E">
        <w:t>shown for total age composition expanded using annual growth data and 1 cm length bins</w:t>
      </w:r>
      <w:r>
        <w:t xml:space="preserve">). </w:t>
      </w:r>
      <w:commentRangeStart w:id="58"/>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8"/>
      <w:r>
        <w:rPr>
          <w:rStyle w:val="CommentReference"/>
          <w:iCs w:val="0"/>
        </w:rPr>
        <w:commentReference w:id="58"/>
      </w:r>
      <w:r>
        <w:t>The boxplots shows the median (solid line), 25% - 75% percentile range (box limits, also called the inter-quartile range), and 1.5 times the inter-quartile range (whiskers).</w:t>
      </w:r>
    </w:p>
    <w:p w14:paraId="4637FB3D" w14:textId="77777777" w:rsidR="00AB6B9B" w:rsidRDefault="00AB6B9B" w:rsidP="00AB6B9B">
      <w:pPr>
        <w:pStyle w:val="ImageCaption"/>
      </w:pPr>
      <w:r w:rsidRPr="00382586">
        <w:rPr>
          <w:noProof/>
        </w:rPr>
        <w:lastRenderedPageBreak/>
        <w:drawing>
          <wp:inline distT="0" distB="0" distL="0" distR="0" wp14:anchorId="6E9FC616" wp14:editId="027F3135">
            <wp:extent cx="5943600" cy="7308173"/>
            <wp:effectExtent l="0" t="0" r="0" b="7620"/>
            <wp:docPr id="14" name="Picture 14"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A - PH Stuff\Pubs\iss_error\figs\caal_is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7308173"/>
                    </a:xfrm>
                    <a:prstGeom prst="rect">
                      <a:avLst/>
                    </a:prstGeom>
                    <a:noFill/>
                    <a:ln>
                      <a:noFill/>
                    </a:ln>
                  </pic:spPr>
                </pic:pic>
              </a:graphicData>
            </a:graphic>
          </wp:inline>
        </w:drawing>
      </w:r>
    </w:p>
    <w:p w14:paraId="6CAE1D1D" w14:textId="77777777" w:rsidR="00AB6B9B" w:rsidRDefault="00AB6B9B" w:rsidP="00AB6B9B">
      <w:pPr>
        <w:pStyle w:val="ImageCaption"/>
      </w:pPr>
      <w:r>
        <w:t xml:space="preserve">Figure 6: Boxplot of annual age composition and conditional age-at-length input sample size (top two rows) and relative age composition and conditional age-at-length input sample size (bottom two rows) for the selected example species type stocks across uncertainty scenarios within sex </w:t>
      </w:r>
      <w:r>
        <w:lastRenderedPageBreak/>
        <w:t xml:space="preserve">category (using annual growth data and 1 cm length bins). </w:t>
      </w:r>
      <w:commentRangeStart w:id="59"/>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9"/>
      <w:r>
        <w:rPr>
          <w:rStyle w:val="CommentReference"/>
          <w:iCs w:val="0"/>
        </w:rPr>
        <w:commentReference w:id="59"/>
      </w:r>
      <w:r>
        <w:t>The boxplots shows the median (solid line), 25% - 75% percentile range (box limits, also called the inter-quartile range), and 1.5 times the inter-quartile range (whiskers).</w:t>
      </w:r>
    </w:p>
    <w:p w14:paraId="3DC43C3A" w14:textId="77777777" w:rsidR="006C22B7" w:rsidRDefault="006C22B7" w:rsidP="006C22B7">
      <w:pPr>
        <w:pStyle w:val="ImageCaption"/>
      </w:pPr>
    </w:p>
    <w:p w14:paraId="2C475B8E" w14:textId="77777777" w:rsidR="006C22B7" w:rsidRDefault="006C22B7" w:rsidP="006C22B7">
      <w:pPr>
        <w:pStyle w:val="ImageCaption"/>
      </w:pPr>
    </w:p>
    <w:p w14:paraId="4890324C" w14:textId="77777777" w:rsidR="006C22B7" w:rsidRDefault="006C22B7" w:rsidP="006C22B7">
      <w:r w:rsidRPr="002640B0">
        <w:rPr>
          <w:noProof/>
        </w:rPr>
        <w:lastRenderedPageBreak/>
        <w:drawing>
          <wp:inline distT="0" distB="0" distL="0" distR="0" wp14:anchorId="7D749D4E" wp14:editId="7DC3BE68">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p>
    <w:p w14:paraId="5EE67409" w14:textId="2A331E80" w:rsidR="006C22B7" w:rsidRDefault="006C22B7" w:rsidP="006C22B7">
      <w:pPr>
        <w:pStyle w:val="ImageCaption"/>
      </w:pPr>
      <w:r>
        <w:t xml:space="preserve">Figure 7: Age composition input sample size per age sample compared to the number of ages sampled (top panels) and across </w:t>
      </w:r>
      <w:proofErr w:type="gramStart"/>
      <w:r>
        <w:t>uncertainty</w:t>
      </w:r>
      <w:proofErr w:type="gramEnd"/>
      <w:r>
        <w:t xml:space="preserve"> scenarios (bottom panels) aggregated by species types. </w:t>
      </w:r>
      <w:commentRangeStart w:id="60"/>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60"/>
      <w:r>
        <w:rPr>
          <w:rStyle w:val="CommentReference"/>
          <w:iCs w:val="0"/>
        </w:rPr>
        <w:commentReference w:id="60"/>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in the bottom panels shows the median (solid line), 25% - 75% percentile range (box limits, also called the inter-quartile range), and 1.5 times the inter-quartile range (whiskers).</w:t>
      </w:r>
    </w:p>
    <w:p w14:paraId="265DDC77" w14:textId="77777777" w:rsidR="001004FF" w:rsidRDefault="001004FF" w:rsidP="001004FF">
      <w:pPr>
        <w:pStyle w:val="ImageCaption"/>
      </w:pPr>
      <w:r w:rsidRPr="00D95A66">
        <w:rPr>
          <w:noProof/>
        </w:rPr>
        <w:drawing>
          <wp:inline distT="0" distB="0" distL="0" distR="0" wp14:anchorId="0F58D53A" wp14:editId="5DF8CED6">
            <wp:extent cx="5943600" cy="6400800"/>
            <wp:effectExtent l="0" t="0" r="0" b="0"/>
            <wp:docPr id="3" name="Picture 3"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iss_vs_nss_hl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79DF875C" w14:textId="0A741F73" w:rsidR="001004FF" w:rsidRDefault="001004FF" w:rsidP="001004FF">
      <w:pPr>
        <w:pStyle w:val="ImageCaption"/>
      </w:pPr>
      <w:r>
        <w:t xml:space="preserve">Figure 8: Age composition input sample size per sampled haul compared to the number of age samples per sampled haul (top panels) and across </w:t>
      </w:r>
      <w:proofErr w:type="gramStart"/>
      <w:r>
        <w:t>uncertainty</w:t>
      </w:r>
      <w:proofErr w:type="gramEnd"/>
      <w:r>
        <w:t xml:space="preserve"> scenarios (bottom panels) aggregated by species types. </w:t>
      </w:r>
      <w:commentRangeStart w:id="61"/>
      <w:r>
        <w:t xml:space="preserve">‘Base’ refers to the case that includes no additional sources of uncertainty, ‘AE’ is the case when ageing error is included, ‘GV’ is the case when growth </w:t>
      </w:r>
      <w:r>
        <w:lastRenderedPageBreak/>
        <w:t xml:space="preserve">variability is included, and ‘AE &amp; GV’ is the case when both ageing error and growth variability is included. </w:t>
      </w:r>
      <w:commentRangeEnd w:id="61"/>
      <w:r>
        <w:rPr>
          <w:rStyle w:val="CommentReference"/>
          <w:iCs w:val="0"/>
        </w:rPr>
        <w:commentReference w:id="61"/>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00861794">
        <w:t xml:space="preserve"> (and a dashed 1-1 line is shown for reference)</w:t>
      </w:r>
      <w:r>
        <w:t>.</w:t>
      </w:r>
      <w:r w:rsidRPr="002640B0">
        <w:t xml:space="preserve"> </w:t>
      </w:r>
      <w:r>
        <w:t>The boxplots in the bottom panels shows the median (solid line), 25% - 75% percentile range (box limits, also called the inter-quartile range), and 1.5 times the inter-quartile range (whiskers).</w:t>
      </w:r>
    </w:p>
    <w:p w14:paraId="3F1E2ACC" w14:textId="4EE9BE2D" w:rsidR="006C22B7" w:rsidRDefault="008C5491" w:rsidP="006C22B7">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035CBAEA" w14:textId="76D6C799" w:rsidR="006C22B7" w:rsidRDefault="001004FF" w:rsidP="006C22B7">
      <w:pPr>
        <w:pStyle w:val="ImageCaption"/>
      </w:pPr>
      <w:r>
        <w:t>Figure 9</w:t>
      </w:r>
      <w:r w:rsidR="006C22B7">
        <w:t xml:space="preserve">: Relative age composition input sample size when including ageing error (‘AE’) or growth variability (‘GV’) compared to </w:t>
      </w:r>
      <w:r w:rsidR="008C5491">
        <w:t xml:space="preserve">longevity (as indicated by </w:t>
      </w:r>
      <w:r w:rsidR="006C22B7">
        <w:t>age range</w:t>
      </w:r>
      <w:r w:rsidR="008C5491">
        <w:t>)</w:t>
      </w:r>
      <w:r w:rsidR="006C22B7">
        <w:t xml:space="preserve"> and </w:t>
      </w:r>
      <w:r w:rsidR="008C5491">
        <w:t xml:space="preserve">growth (as indicated by length range, </w:t>
      </w:r>
      <w:r w:rsidR="006C22B7">
        <w:t>top panels) and when including both ageing error and growth variability (‘AE &amp; GV’</w:t>
      </w:r>
      <w:r w:rsidR="00B80F91">
        <w:t xml:space="preserve">, bottom panel, with the whiskers indicating the 95% confidence </w:t>
      </w:r>
      <w:r w:rsidR="00B80F91">
        <w:lastRenderedPageBreak/>
        <w:t>intervals</w:t>
      </w:r>
      <w:r w:rsidR="006C22B7">
        <w:t>) acr</w:t>
      </w:r>
      <w:r w:rsidR="00B80F91">
        <w:t xml:space="preserve">oss the species types evaluated. </w:t>
      </w:r>
      <w:r w:rsidR="006C22B7">
        <w:t>For illustration</w:t>
      </w:r>
      <w:r w:rsidR="00B80F91">
        <w:t xml:space="preserve"> of trends</w:t>
      </w:r>
      <w:r w:rsidR="006C22B7">
        <w:t xml:space="preserve">, linear relationships for each species type </w:t>
      </w:r>
      <w:proofErr w:type="gramStart"/>
      <w:r w:rsidR="006C22B7">
        <w:t>are shown</w:t>
      </w:r>
      <w:proofErr w:type="gramEnd"/>
      <w:r w:rsidR="006C22B7">
        <w:t xml:space="preserve"> in the top panels.</w:t>
      </w:r>
    </w:p>
    <w:p w14:paraId="66284BB3" w14:textId="0C89006E" w:rsidR="00927AF5" w:rsidRDefault="00927AF5" w:rsidP="006C22B7">
      <w:pPr>
        <w:pStyle w:val="Heading1"/>
      </w:pPr>
      <w:bookmarkStart w:id="62" w:name="tab:species-samples"/>
      <w:bookmarkStart w:id="63" w:name="fig:bs-flows"/>
      <w:bookmarkStart w:id="64" w:name="fig:iss-plot"/>
      <w:bookmarkStart w:id="65" w:name="fig:prop-iss"/>
      <w:bookmarkStart w:id="66" w:name="fig:iss-nss-hls"/>
      <w:bookmarkStart w:id="67" w:name="fig:ae-gv-stats"/>
      <w:bookmarkEnd w:id="54"/>
      <w:bookmarkEnd w:id="62"/>
      <w:bookmarkEnd w:id="63"/>
      <w:bookmarkEnd w:id="64"/>
      <w:bookmarkEnd w:id="65"/>
      <w:bookmarkEnd w:id="66"/>
      <w:bookmarkEnd w:id="67"/>
    </w:p>
    <w:sectPr w:rsidR="00927AF5" w:rsidSect="008E67EC">
      <w:footerReference w:type="default" r:id="rId4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Pete.Hulson" w:date="2023-09-19T12:44:00Z" w:initials="P">
    <w:p w14:paraId="2E5858F6" w14:textId="33128E25" w:rsidR="009C107F" w:rsidRDefault="009C107F">
      <w:pPr>
        <w:pStyle w:val="CommentText"/>
      </w:pPr>
      <w:r>
        <w:rPr>
          <w:rStyle w:val="CommentReference"/>
        </w:rPr>
        <w:annotationRef/>
      </w:r>
      <w:r>
        <w:t>Ben – you think this would suffice, or should we adjust fig 1 to include CAAL?</w:t>
      </w:r>
    </w:p>
  </w:comment>
  <w:comment w:id="12" w:author="Pete.Hulson" w:date="2023-09-21T06:26:00Z" w:initials="P">
    <w:p w14:paraId="64867A4D" w14:textId="546181C0" w:rsidR="00F00867" w:rsidRDefault="00F00867">
      <w:pPr>
        <w:pStyle w:val="CommentText"/>
      </w:pPr>
      <w:r>
        <w:rPr>
          <w:rStyle w:val="CommentReference"/>
        </w:rPr>
        <w:annotationRef/>
      </w:r>
      <w:r>
        <w:t>Insert ref</w:t>
      </w:r>
    </w:p>
  </w:comment>
  <w:comment w:id="55" w:author="Pete.Hulson" w:date="2023-09-19T13:25:00Z" w:initials="P">
    <w:p w14:paraId="6F14E858" w14:textId="77777777" w:rsidR="009C107F" w:rsidRDefault="009C107F" w:rsidP="006C22B7">
      <w:pPr>
        <w:pStyle w:val="CommentText"/>
      </w:pPr>
      <w:r>
        <w:rPr>
          <w:rStyle w:val="CommentReference"/>
        </w:rPr>
        <w:annotationRef/>
      </w:r>
      <w:r>
        <w:t>With the addition of table 2, do we need this?</w:t>
      </w:r>
    </w:p>
  </w:comment>
  <w:comment w:id="56" w:author="Pete.Hulson" w:date="2023-09-19T13:25:00Z" w:initials="P">
    <w:p w14:paraId="1022673E" w14:textId="77777777" w:rsidR="009C107F" w:rsidRDefault="009C107F" w:rsidP="006C22B7">
      <w:pPr>
        <w:pStyle w:val="CommentText"/>
      </w:pPr>
      <w:r>
        <w:rPr>
          <w:rStyle w:val="CommentReference"/>
        </w:rPr>
        <w:annotationRef/>
      </w:r>
      <w:r>
        <w:t>With the addition of table 2, do we need this?</w:t>
      </w:r>
    </w:p>
  </w:comment>
  <w:comment w:id="57" w:author="Pete.Hulson" w:date="2023-09-19T13:25:00Z" w:initials="P">
    <w:p w14:paraId="12DF5EF6" w14:textId="77777777" w:rsidR="009C107F" w:rsidRDefault="009C107F" w:rsidP="006C22B7">
      <w:pPr>
        <w:pStyle w:val="CommentText"/>
      </w:pPr>
      <w:r>
        <w:rPr>
          <w:rStyle w:val="CommentReference"/>
        </w:rPr>
        <w:annotationRef/>
      </w:r>
      <w:r>
        <w:t>With the addition of table 2, do we need this?</w:t>
      </w:r>
    </w:p>
  </w:comment>
  <w:comment w:id="58" w:author="Pete.Hulson" w:date="2023-09-19T13:25:00Z" w:initials="P">
    <w:p w14:paraId="1E4AC801" w14:textId="77777777" w:rsidR="009C107F" w:rsidRDefault="009C107F" w:rsidP="006C22B7">
      <w:pPr>
        <w:pStyle w:val="CommentText"/>
      </w:pPr>
      <w:r>
        <w:rPr>
          <w:rStyle w:val="CommentReference"/>
        </w:rPr>
        <w:annotationRef/>
      </w:r>
      <w:r>
        <w:t>With the addition of table 2, do we need this?</w:t>
      </w:r>
    </w:p>
  </w:comment>
  <w:comment w:id="59" w:author="Pete.Hulson" w:date="2023-09-19T13:25:00Z" w:initials="P">
    <w:p w14:paraId="648F716E" w14:textId="77777777" w:rsidR="009C107F" w:rsidRDefault="009C107F" w:rsidP="00AB6B9B">
      <w:pPr>
        <w:pStyle w:val="CommentText"/>
      </w:pPr>
      <w:r>
        <w:rPr>
          <w:rStyle w:val="CommentReference"/>
        </w:rPr>
        <w:annotationRef/>
      </w:r>
      <w:r>
        <w:t>With the addition of table 2, do we need this?</w:t>
      </w:r>
    </w:p>
  </w:comment>
  <w:comment w:id="60" w:author="Pete.Hulson" w:date="2023-09-19T13:25:00Z" w:initials="P">
    <w:p w14:paraId="0FA04D6F" w14:textId="77777777" w:rsidR="009C107F" w:rsidRDefault="009C107F" w:rsidP="006C22B7">
      <w:pPr>
        <w:pStyle w:val="CommentText"/>
      </w:pPr>
      <w:r>
        <w:rPr>
          <w:rStyle w:val="CommentReference"/>
        </w:rPr>
        <w:annotationRef/>
      </w:r>
      <w:r>
        <w:t>With the addition of table 2, do we need this?</w:t>
      </w:r>
    </w:p>
  </w:comment>
  <w:comment w:id="61" w:author="Pete.Hulson" w:date="2023-09-19T13:25:00Z" w:initials="P">
    <w:p w14:paraId="2D23CD7F" w14:textId="77777777" w:rsidR="009C107F" w:rsidRDefault="009C107F" w:rsidP="001004FF">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5858F6" w15:done="0"/>
  <w15:commentEx w15:paraId="64867A4D" w15:done="0"/>
  <w15:commentEx w15:paraId="6F14E858" w15:done="0"/>
  <w15:commentEx w15:paraId="1022673E" w15:done="0"/>
  <w15:commentEx w15:paraId="12DF5EF6" w15:done="0"/>
  <w15:commentEx w15:paraId="1E4AC801" w15:done="0"/>
  <w15:commentEx w15:paraId="648F716E" w15:done="0"/>
  <w15:commentEx w15:paraId="0FA04D6F" w15:done="0"/>
  <w15:commentEx w15:paraId="2D23CD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87E03" w14:textId="77777777" w:rsidR="00471918" w:rsidRDefault="00471918">
      <w:pPr>
        <w:spacing w:before="0" w:line="240" w:lineRule="auto"/>
      </w:pPr>
      <w:r>
        <w:separator/>
      </w:r>
    </w:p>
  </w:endnote>
  <w:endnote w:type="continuationSeparator" w:id="0">
    <w:p w14:paraId="11160E6A" w14:textId="77777777" w:rsidR="00471918" w:rsidRDefault="004719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625A0B7E" w:rsidR="009C107F" w:rsidRDefault="009C107F">
        <w:pPr>
          <w:pStyle w:val="Footer"/>
          <w:jc w:val="center"/>
        </w:pPr>
        <w:r>
          <w:fldChar w:fldCharType="begin"/>
        </w:r>
        <w:r>
          <w:instrText xml:space="preserve"> PAGE   \* MERGEFORMAT </w:instrText>
        </w:r>
        <w:r>
          <w:fldChar w:fldCharType="separate"/>
        </w:r>
        <w:r w:rsidR="00F00867">
          <w:rPr>
            <w:noProof/>
          </w:rPr>
          <w:t>21</w:t>
        </w:r>
        <w:r>
          <w:rPr>
            <w:noProof/>
          </w:rPr>
          <w:fldChar w:fldCharType="end"/>
        </w:r>
      </w:p>
    </w:sdtContent>
  </w:sdt>
  <w:p w14:paraId="65615651" w14:textId="77777777" w:rsidR="009C107F" w:rsidRDefault="009C1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DAE88" w14:textId="77777777" w:rsidR="00471918" w:rsidRDefault="00471918">
      <w:r>
        <w:separator/>
      </w:r>
    </w:p>
  </w:footnote>
  <w:footnote w:type="continuationSeparator" w:id="0">
    <w:p w14:paraId="159A8693" w14:textId="77777777" w:rsidR="00471918" w:rsidRDefault="00471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608F4"/>
    <w:multiLevelType w:val="hybridMultilevel"/>
    <w:tmpl w:val="4FD0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17E17"/>
    <w:multiLevelType w:val="hybridMultilevel"/>
    <w:tmpl w:val="22D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20"/>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545AB"/>
    <w:rsid w:val="00070F8F"/>
    <w:rsid w:val="000D4CFB"/>
    <w:rsid w:val="000E6F4E"/>
    <w:rsid w:val="000F4BCD"/>
    <w:rsid w:val="000F56CD"/>
    <w:rsid w:val="001004FF"/>
    <w:rsid w:val="001628EB"/>
    <w:rsid w:val="00173BC5"/>
    <w:rsid w:val="001C6D67"/>
    <w:rsid w:val="0020681D"/>
    <w:rsid w:val="00250FB6"/>
    <w:rsid w:val="002679E1"/>
    <w:rsid w:val="00283A1F"/>
    <w:rsid w:val="002C556E"/>
    <w:rsid w:val="002D489A"/>
    <w:rsid w:val="00357E1D"/>
    <w:rsid w:val="00386489"/>
    <w:rsid w:val="003A601A"/>
    <w:rsid w:val="003F07B4"/>
    <w:rsid w:val="003F247D"/>
    <w:rsid w:val="00451619"/>
    <w:rsid w:val="00471918"/>
    <w:rsid w:val="004905D0"/>
    <w:rsid w:val="004E53EE"/>
    <w:rsid w:val="00527E80"/>
    <w:rsid w:val="00593BE1"/>
    <w:rsid w:val="006207AE"/>
    <w:rsid w:val="00647040"/>
    <w:rsid w:val="006A07DE"/>
    <w:rsid w:val="006B20CD"/>
    <w:rsid w:val="006C22B7"/>
    <w:rsid w:val="00715DC0"/>
    <w:rsid w:val="007209CD"/>
    <w:rsid w:val="00721E3E"/>
    <w:rsid w:val="0073674A"/>
    <w:rsid w:val="00752474"/>
    <w:rsid w:val="0079087B"/>
    <w:rsid w:val="007B7A8D"/>
    <w:rsid w:val="007F309C"/>
    <w:rsid w:val="00830249"/>
    <w:rsid w:val="00834223"/>
    <w:rsid w:val="00861794"/>
    <w:rsid w:val="00870307"/>
    <w:rsid w:val="00872D81"/>
    <w:rsid w:val="00873AB6"/>
    <w:rsid w:val="00876914"/>
    <w:rsid w:val="008C5491"/>
    <w:rsid w:val="008E64DF"/>
    <w:rsid w:val="008E67EC"/>
    <w:rsid w:val="009277A5"/>
    <w:rsid w:val="00927AF5"/>
    <w:rsid w:val="00927E8C"/>
    <w:rsid w:val="009A3D01"/>
    <w:rsid w:val="009C107F"/>
    <w:rsid w:val="009C4793"/>
    <w:rsid w:val="009E5B43"/>
    <w:rsid w:val="00A7460C"/>
    <w:rsid w:val="00AB6B9B"/>
    <w:rsid w:val="00AD4F54"/>
    <w:rsid w:val="00B02E4A"/>
    <w:rsid w:val="00B06478"/>
    <w:rsid w:val="00B62957"/>
    <w:rsid w:val="00B80F91"/>
    <w:rsid w:val="00B833FB"/>
    <w:rsid w:val="00C23582"/>
    <w:rsid w:val="00C33DB3"/>
    <w:rsid w:val="00C4318E"/>
    <w:rsid w:val="00C4369F"/>
    <w:rsid w:val="00C47561"/>
    <w:rsid w:val="00C56A70"/>
    <w:rsid w:val="00CB5EA5"/>
    <w:rsid w:val="00CD766E"/>
    <w:rsid w:val="00D06D97"/>
    <w:rsid w:val="00D815DB"/>
    <w:rsid w:val="00DE3955"/>
    <w:rsid w:val="00E14C5A"/>
    <w:rsid w:val="00E56554"/>
    <w:rsid w:val="00EF4572"/>
    <w:rsid w:val="00F00867"/>
    <w:rsid w:val="00F3011B"/>
    <w:rsid w:val="00F675FF"/>
    <w:rsid w:val="00FA13BF"/>
    <w:rsid w:val="00FE3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nWilliams-NOAA/surveyISS" TargetMode="External"/><Relationship Id="rId18" Type="http://schemas.openxmlformats.org/officeDocument/2006/relationships/hyperlink" Target="https://doi.org/10.1093/icesjms/fsr189" TargetMode="External"/><Relationship Id="rId26" Type="http://schemas.openxmlformats.org/officeDocument/2006/relationships/hyperlink" Target="https://doi.org/10.2307/2532786" TargetMode="External"/><Relationship Id="rId39" Type="http://schemas.openxmlformats.org/officeDocument/2006/relationships/image" Target="media/image3.png"/><Relationship Id="rId21" Type="http://schemas.openxmlformats.org/officeDocument/2006/relationships/hyperlink" Target="https://doi.org/10.1080/00028487.2012.705255" TargetMode="External"/><Relationship Id="rId34" Type="http://schemas.openxmlformats.org/officeDocument/2006/relationships/hyperlink" Target="https://doi.org/10.1139/cjfas-2018-0015"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fishres.2011.11.005" TargetMode="External"/><Relationship Id="rId29" Type="http://schemas.openxmlformats.org/officeDocument/2006/relationships/hyperlink" Target="https://www.R-project.org/" TargetMode="External"/><Relationship Id="rId11" Type="http://schemas.microsoft.com/office/2011/relationships/commentsExtended" Target="commentsExtended.xml"/><Relationship Id="rId24" Type="http://schemas.openxmlformats.org/officeDocument/2006/relationships/hyperlink" Target="https://doi.org/10.1071/MF04217" TargetMode="External"/><Relationship Id="rId32" Type="http://schemas.openxmlformats.org/officeDocument/2006/relationships/hyperlink" Target="https://doi.org/10.1016/j.fishres.2016.06.018"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i.org/10.1016/j.fishres.2011.11.005" TargetMode="External"/><Relationship Id="rId23" Type="http://schemas.openxmlformats.org/officeDocument/2006/relationships/hyperlink" Target="https://doi.org/10.1139/f06-022" TargetMode="External"/><Relationship Id="rId28" Type="http://schemas.openxmlformats.org/officeDocument/2006/relationships/hyperlink" Target="https://doi.org/10.1016/j.fishres.2021.105904" TargetMode="External"/><Relationship Id="rId36" Type="http://schemas.openxmlformats.org/officeDocument/2006/relationships/hyperlink" Target="https://doi.org/10.1139/cjfas-2019-0107"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7895/ices.pub.7453" TargetMode="External"/><Relationship Id="rId31" Type="http://schemas.openxmlformats.org/officeDocument/2006/relationships/hyperlink" Target="https://doi.org/10.1139/cjfas-2013-0289"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93/icesjms/fsz072" TargetMode="External"/><Relationship Id="rId22" Type="http://schemas.openxmlformats.org/officeDocument/2006/relationships/hyperlink" Target="https://doi.org/10.1139/f96-285" TargetMode="External"/><Relationship Id="rId27" Type="http://schemas.openxmlformats.org/officeDocument/2006/relationships/hyperlink" Target="https://doi.org/10.1139/F08-111" TargetMode="External"/><Relationship Id="rId30" Type="http://schemas.openxmlformats.org/officeDocument/2006/relationships/hyperlink" Target="https://doi.org/10.1139/cjfas-2022-0050" TargetMode="External"/><Relationship Id="rId35" Type="http://schemas.openxmlformats.org/officeDocument/2006/relationships/hyperlink" Target="https://doi.org/10.1139/cjfas-2018-0015" TargetMode="External"/><Relationship Id="rId43" Type="http://schemas.openxmlformats.org/officeDocument/2006/relationships/image" Target="media/image7.png"/><Relationship Id="rId48" Type="http://schemas.microsoft.com/office/2011/relationships/people" Target="people.xml"/><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github.com/BenWilliams-NOAA/surveyISS" TargetMode="External"/><Relationship Id="rId17" Type="http://schemas.openxmlformats.org/officeDocument/2006/relationships/hyperlink" Target="https://doi.org/10.1093/icesjms/fsv270" TargetMode="External"/><Relationship Id="rId25" Type="http://schemas.openxmlformats.org/officeDocument/2006/relationships/hyperlink" Target="https://doi.org/10.1016/j.fishres.2022.106255" TargetMode="External"/><Relationship Id="rId33" Type="http://schemas.openxmlformats.org/officeDocument/2006/relationships/hyperlink" Target="https://doi.org/10.1016/j.fishres.2012.08.021" TargetMode="External"/><Relationship Id="rId38" Type="http://schemas.openxmlformats.org/officeDocument/2006/relationships/image" Target="media/image2.png"/><Relationship Id="rId46" Type="http://schemas.openxmlformats.org/officeDocument/2006/relationships/footer" Target="footer1.xml"/><Relationship Id="rId20" Type="http://schemas.openxmlformats.org/officeDocument/2006/relationships/hyperlink" Target="https://doi.org/10.17895/ices.pub.22086845.v1"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C1FDB-83DB-41F4-8EC4-7B4D438E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48</Pages>
  <Words>10708</Words>
  <Characters>61038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71603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3</cp:revision>
  <dcterms:created xsi:type="dcterms:W3CDTF">2023-09-21T14:13:00Z</dcterms:created>
  <dcterms:modified xsi:type="dcterms:W3CDTF">2023-09-21T14:26:00Z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