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450DCA" w14:textId="77777777" w:rsidR="00E53A3A" w:rsidRDefault="00E53A3A" w:rsidP="00E53A3A">
      <w:pPr>
        <w:pStyle w:val="Heading1"/>
      </w:pPr>
      <w:bookmarkStart w:id="0" w:name="tables"/>
      <w:r>
        <w:t>Tables</w:t>
      </w:r>
    </w:p>
    <w:p w14:paraId="662ECBEE" w14:textId="77777777" w:rsidR="00E53A3A" w:rsidRPr="009277A5" w:rsidRDefault="00E53A3A" w:rsidP="00E53A3A">
      <w:pPr>
        <w:pStyle w:val="TableCaption"/>
        <w:rPr>
          <w:i w:val="0"/>
        </w:rPr>
      </w:pPr>
      <w:bookmarkStart w:id="1" w:name="tab:species-samples"/>
      <w:bookmarkEnd w:id="1"/>
      <w:r w:rsidRPr="009277A5">
        <w:rPr>
          <w:i w:val="0"/>
        </w:rPr>
        <w:t>Table 1: Average annual age samples from the AFSC bottom trawl surveys by region (rounded to the nearest 10), and total reader-tester age pairs (rounded to</w:t>
      </w:r>
      <w:r w:rsidR="002925B9">
        <w:rPr>
          <w:i w:val="0"/>
        </w:rPr>
        <w:t xml:space="preserve"> the nearest 100) for the stock</w:t>
      </w:r>
      <w:bookmarkStart w:id="2" w:name="_GoBack"/>
      <w:bookmarkEnd w:id="2"/>
      <w:r w:rsidRPr="009277A5">
        <w:rPr>
          <w:i w:val="0"/>
        </w:rPr>
        <w:t>s evaluated in the bootstrap-simulation.</w:t>
      </w:r>
    </w:p>
    <w:tbl>
      <w:tblPr>
        <w:tblW w:w="5000" w:type="pct"/>
        <w:tblLook w:val="0020" w:firstRow="1" w:lastRow="0" w:firstColumn="0" w:lastColumn="0" w:noHBand="0" w:noVBand="0"/>
        <w:tblCaption w:val="Table 1: Average annual age samples from the AFSC bottom trawl surveys by region (rounded to the nearest 10), and total reader-tester age pairs (rounded to the nearest 100) for the species evaluated in the bootstrap-simulation."/>
      </w:tblPr>
      <w:tblGrid>
        <w:gridCol w:w="3291"/>
        <w:gridCol w:w="3010"/>
        <w:gridCol w:w="611"/>
        <w:gridCol w:w="738"/>
        <w:gridCol w:w="781"/>
        <w:gridCol w:w="929"/>
      </w:tblGrid>
      <w:tr w:rsidR="002925B9" w14:paraId="57F6B9C4" w14:textId="77777777" w:rsidTr="0024231F">
        <w:trPr>
          <w:tblHeader/>
        </w:trPr>
        <w:tc>
          <w:tcPr>
            <w:tcW w:w="0" w:type="auto"/>
            <w:tcBorders>
              <w:bottom w:val="single" w:sz="4" w:space="0" w:color="auto"/>
            </w:tcBorders>
          </w:tcPr>
          <w:p w14:paraId="2C526997" w14:textId="77777777" w:rsidR="00E53A3A" w:rsidRDefault="00E53A3A" w:rsidP="002925B9">
            <w:pPr>
              <w:pStyle w:val="Compact"/>
            </w:pPr>
            <w:r>
              <w:t>Stock</w:t>
            </w:r>
            <w:r w:rsidR="002925B9">
              <w:t xml:space="preserve"> (species type)</w:t>
            </w:r>
          </w:p>
        </w:tc>
        <w:tc>
          <w:tcPr>
            <w:tcW w:w="0" w:type="auto"/>
            <w:tcBorders>
              <w:bottom w:val="single" w:sz="4" w:space="0" w:color="auto"/>
            </w:tcBorders>
          </w:tcPr>
          <w:p w14:paraId="70A9908E" w14:textId="77777777" w:rsidR="00E53A3A" w:rsidRDefault="00E53A3A" w:rsidP="0024231F">
            <w:pPr>
              <w:pStyle w:val="Compact"/>
            </w:pPr>
            <w:r>
              <w:t>Scientific name</w:t>
            </w:r>
          </w:p>
        </w:tc>
        <w:tc>
          <w:tcPr>
            <w:tcW w:w="0" w:type="auto"/>
            <w:tcBorders>
              <w:bottom w:val="single" w:sz="4" w:space="0" w:color="auto"/>
            </w:tcBorders>
          </w:tcPr>
          <w:p w14:paraId="341B9B76" w14:textId="77777777" w:rsidR="00E53A3A" w:rsidRDefault="00E53A3A" w:rsidP="0024231F">
            <w:pPr>
              <w:pStyle w:val="Compact"/>
              <w:jc w:val="center"/>
            </w:pPr>
            <w:r>
              <w:t>AI</w:t>
            </w:r>
          </w:p>
        </w:tc>
        <w:tc>
          <w:tcPr>
            <w:tcW w:w="0" w:type="auto"/>
            <w:tcBorders>
              <w:bottom w:val="single" w:sz="4" w:space="0" w:color="auto"/>
            </w:tcBorders>
          </w:tcPr>
          <w:p w14:paraId="2227CBB8" w14:textId="77777777" w:rsidR="00E53A3A" w:rsidRDefault="00E53A3A" w:rsidP="0024231F">
            <w:pPr>
              <w:pStyle w:val="Compact"/>
              <w:jc w:val="center"/>
            </w:pPr>
            <w:r>
              <w:t>EBS</w:t>
            </w:r>
          </w:p>
        </w:tc>
        <w:tc>
          <w:tcPr>
            <w:tcW w:w="0" w:type="auto"/>
            <w:tcBorders>
              <w:bottom w:val="single" w:sz="4" w:space="0" w:color="auto"/>
            </w:tcBorders>
          </w:tcPr>
          <w:p w14:paraId="6BBF211E" w14:textId="77777777" w:rsidR="00E53A3A" w:rsidRDefault="00E53A3A" w:rsidP="0024231F">
            <w:pPr>
              <w:pStyle w:val="Compact"/>
              <w:jc w:val="center"/>
            </w:pPr>
            <w:r>
              <w:t>GOA</w:t>
            </w:r>
          </w:p>
        </w:tc>
        <w:tc>
          <w:tcPr>
            <w:tcW w:w="0" w:type="auto"/>
            <w:tcBorders>
              <w:bottom w:val="single" w:sz="4" w:space="0" w:color="auto"/>
            </w:tcBorders>
          </w:tcPr>
          <w:p w14:paraId="1E665C7C" w14:textId="77777777" w:rsidR="00E53A3A" w:rsidRDefault="00E53A3A" w:rsidP="0024231F">
            <w:pPr>
              <w:pStyle w:val="Compact"/>
              <w:jc w:val="center"/>
            </w:pPr>
            <w:r>
              <w:t>R-T</w:t>
            </w:r>
          </w:p>
        </w:tc>
      </w:tr>
      <w:tr w:rsidR="002925B9" w14:paraId="78C43F7E" w14:textId="77777777" w:rsidTr="0024231F">
        <w:tc>
          <w:tcPr>
            <w:tcW w:w="0" w:type="auto"/>
            <w:tcBorders>
              <w:top w:val="single" w:sz="4" w:space="0" w:color="auto"/>
            </w:tcBorders>
          </w:tcPr>
          <w:p w14:paraId="2F41814D" w14:textId="77777777" w:rsidR="00E53A3A" w:rsidRDefault="00E53A3A" w:rsidP="0024231F">
            <w:pPr>
              <w:pStyle w:val="Compact"/>
            </w:pPr>
            <w:r>
              <w:t>arrowtooth flounder</w:t>
            </w:r>
            <w:r w:rsidR="002925B9">
              <w:t xml:space="preserve"> (flatfish)</w:t>
            </w:r>
          </w:p>
        </w:tc>
        <w:tc>
          <w:tcPr>
            <w:tcW w:w="0" w:type="auto"/>
            <w:tcBorders>
              <w:top w:val="single" w:sz="4" w:space="0" w:color="auto"/>
            </w:tcBorders>
          </w:tcPr>
          <w:p w14:paraId="7F0A2C6D" w14:textId="77777777" w:rsidR="00E53A3A" w:rsidRPr="009277A5" w:rsidRDefault="00E53A3A" w:rsidP="0024231F">
            <w:pPr>
              <w:pStyle w:val="Compact"/>
              <w:rPr>
                <w:i/>
              </w:rPr>
            </w:pPr>
            <w:r w:rsidRPr="009277A5">
              <w:rPr>
                <w:i/>
              </w:rPr>
              <w:t>Atheresthes stomias</w:t>
            </w:r>
          </w:p>
        </w:tc>
        <w:tc>
          <w:tcPr>
            <w:tcW w:w="0" w:type="auto"/>
            <w:tcBorders>
              <w:top w:val="single" w:sz="4" w:space="0" w:color="auto"/>
            </w:tcBorders>
          </w:tcPr>
          <w:p w14:paraId="44576069" w14:textId="77777777" w:rsidR="00E53A3A" w:rsidRDefault="00E53A3A" w:rsidP="0024231F">
            <w:pPr>
              <w:pStyle w:val="Compact"/>
              <w:jc w:val="center"/>
            </w:pPr>
            <w:r>
              <w:t>450</w:t>
            </w:r>
          </w:p>
        </w:tc>
        <w:tc>
          <w:tcPr>
            <w:tcW w:w="0" w:type="auto"/>
            <w:tcBorders>
              <w:top w:val="single" w:sz="4" w:space="0" w:color="auto"/>
            </w:tcBorders>
          </w:tcPr>
          <w:p w14:paraId="671A7E13" w14:textId="77777777" w:rsidR="00E53A3A" w:rsidRDefault="00E53A3A" w:rsidP="0024231F">
            <w:pPr>
              <w:pStyle w:val="Compact"/>
              <w:jc w:val="center"/>
            </w:pPr>
            <w:r>
              <w:t>480</w:t>
            </w:r>
          </w:p>
        </w:tc>
        <w:tc>
          <w:tcPr>
            <w:tcW w:w="0" w:type="auto"/>
            <w:tcBorders>
              <w:top w:val="single" w:sz="4" w:space="0" w:color="auto"/>
            </w:tcBorders>
          </w:tcPr>
          <w:p w14:paraId="7E63883F" w14:textId="77777777" w:rsidR="00E53A3A" w:rsidRDefault="00E53A3A" w:rsidP="0024231F">
            <w:pPr>
              <w:pStyle w:val="Compact"/>
              <w:jc w:val="center"/>
            </w:pPr>
            <w:r>
              <w:t>850</w:t>
            </w:r>
          </w:p>
        </w:tc>
        <w:tc>
          <w:tcPr>
            <w:tcW w:w="0" w:type="auto"/>
            <w:tcBorders>
              <w:top w:val="single" w:sz="4" w:space="0" w:color="auto"/>
            </w:tcBorders>
          </w:tcPr>
          <w:p w14:paraId="4B6EE7ED" w14:textId="77777777" w:rsidR="00E53A3A" w:rsidRDefault="00E53A3A" w:rsidP="0024231F">
            <w:pPr>
              <w:pStyle w:val="Compact"/>
              <w:jc w:val="center"/>
            </w:pPr>
            <w:r>
              <w:t>6,100</w:t>
            </w:r>
          </w:p>
        </w:tc>
      </w:tr>
      <w:tr w:rsidR="002925B9" w14:paraId="4AD51CC8" w14:textId="77777777" w:rsidTr="0024231F">
        <w:tc>
          <w:tcPr>
            <w:tcW w:w="0" w:type="auto"/>
          </w:tcPr>
          <w:p w14:paraId="1BC4C128" w14:textId="77777777" w:rsidR="00E53A3A" w:rsidRDefault="00E53A3A" w:rsidP="0024231F">
            <w:pPr>
              <w:pStyle w:val="Compact"/>
            </w:pPr>
            <w:r>
              <w:t>flathead sole</w:t>
            </w:r>
            <w:r w:rsidR="002925B9">
              <w:t xml:space="preserve"> (flatfish)</w:t>
            </w:r>
          </w:p>
        </w:tc>
        <w:tc>
          <w:tcPr>
            <w:tcW w:w="0" w:type="auto"/>
          </w:tcPr>
          <w:p w14:paraId="6632E316" w14:textId="77777777" w:rsidR="00E53A3A" w:rsidRPr="009277A5" w:rsidRDefault="00E53A3A" w:rsidP="0024231F">
            <w:pPr>
              <w:pStyle w:val="Compact"/>
              <w:rPr>
                <w:i/>
              </w:rPr>
            </w:pPr>
            <w:r w:rsidRPr="009277A5">
              <w:rPr>
                <w:i/>
              </w:rPr>
              <w:t>Hippoglossoides elassodon</w:t>
            </w:r>
          </w:p>
        </w:tc>
        <w:tc>
          <w:tcPr>
            <w:tcW w:w="0" w:type="auto"/>
          </w:tcPr>
          <w:p w14:paraId="493EAEBD" w14:textId="77777777" w:rsidR="00E53A3A" w:rsidRDefault="00E53A3A" w:rsidP="0024231F">
            <w:pPr>
              <w:pStyle w:val="Compact"/>
              <w:jc w:val="center"/>
            </w:pPr>
            <w:r>
              <w:t>–</w:t>
            </w:r>
          </w:p>
        </w:tc>
        <w:tc>
          <w:tcPr>
            <w:tcW w:w="0" w:type="auto"/>
          </w:tcPr>
          <w:p w14:paraId="04C26A25" w14:textId="77777777" w:rsidR="00E53A3A" w:rsidRDefault="00E53A3A" w:rsidP="0024231F">
            <w:pPr>
              <w:pStyle w:val="Compact"/>
              <w:jc w:val="center"/>
            </w:pPr>
            <w:r>
              <w:t>560</w:t>
            </w:r>
          </w:p>
        </w:tc>
        <w:tc>
          <w:tcPr>
            <w:tcW w:w="0" w:type="auto"/>
          </w:tcPr>
          <w:p w14:paraId="316ECCFB" w14:textId="77777777" w:rsidR="00E53A3A" w:rsidRDefault="00E53A3A" w:rsidP="0024231F">
            <w:pPr>
              <w:pStyle w:val="Compact"/>
              <w:jc w:val="center"/>
            </w:pPr>
            <w:r>
              <w:t>520</w:t>
            </w:r>
          </w:p>
        </w:tc>
        <w:tc>
          <w:tcPr>
            <w:tcW w:w="0" w:type="auto"/>
          </w:tcPr>
          <w:p w14:paraId="02BA943A" w14:textId="77777777" w:rsidR="00E53A3A" w:rsidRDefault="00E53A3A" w:rsidP="0024231F">
            <w:pPr>
              <w:pStyle w:val="Compact"/>
              <w:jc w:val="center"/>
            </w:pPr>
            <w:r>
              <w:t>9,400</w:t>
            </w:r>
          </w:p>
        </w:tc>
      </w:tr>
      <w:tr w:rsidR="002925B9" w14:paraId="4795BB9C" w14:textId="77777777" w:rsidTr="0024231F">
        <w:tc>
          <w:tcPr>
            <w:tcW w:w="0" w:type="auto"/>
          </w:tcPr>
          <w:p w14:paraId="6CBE08D6" w14:textId="77777777" w:rsidR="00E53A3A" w:rsidRDefault="00E53A3A" w:rsidP="0024231F">
            <w:pPr>
              <w:pStyle w:val="Compact"/>
            </w:pPr>
            <w:r>
              <w:t>northern rock sole</w:t>
            </w:r>
            <w:r w:rsidR="002925B9">
              <w:t xml:space="preserve"> (flatfish)</w:t>
            </w:r>
          </w:p>
        </w:tc>
        <w:tc>
          <w:tcPr>
            <w:tcW w:w="0" w:type="auto"/>
          </w:tcPr>
          <w:p w14:paraId="5165E4F7" w14:textId="77777777" w:rsidR="00E53A3A" w:rsidRPr="009277A5" w:rsidRDefault="00E53A3A" w:rsidP="0024231F">
            <w:pPr>
              <w:pStyle w:val="Compact"/>
              <w:rPr>
                <w:i/>
              </w:rPr>
            </w:pPr>
            <w:r w:rsidRPr="009277A5">
              <w:rPr>
                <w:i/>
              </w:rPr>
              <w:t>Lepidopsetta polyxystra</w:t>
            </w:r>
          </w:p>
        </w:tc>
        <w:tc>
          <w:tcPr>
            <w:tcW w:w="0" w:type="auto"/>
          </w:tcPr>
          <w:p w14:paraId="4D0DAEDF" w14:textId="77777777" w:rsidR="00E53A3A" w:rsidRDefault="00E53A3A" w:rsidP="0024231F">
            <w:pPr>
              <w:pStyle w:val="Compact"/>
              <w:jc w:val="center"/>
            </w:pPr>
            <w:r>
              <w:t>–</w:t>
            </w:r>
          </w:p>
        </w:tc>
        <w:tc>
          <w:tcPr>
            <w:tcW w:w="0" w:type="auto"/>
          </w:tcPr>
          <w:p w14:paraId="20FA845E" w14:textId="77777777" w:rsidR="00E53A3A" w:rsidRDefault="00E53A3A" w:rsidP="0024231F">
            <w:pPr>
              <w:pStyle w:val="Compact"/>
              <w:jc w:val="center"/>
            </w:pPr>
            <w:r>
              <w:t>460</w:t>
            </w:r>
          </w:p>
        </w:tc>
        <w:tc>
          <w:tcPr>
            <w:tcW w:w="0" w:type="auto"/>
          </w:tcPr>
          <w:p w14:paraId="45B4DE71" w14:textId="77777777" w:rsidR="00E53A3A" w:rsidRDefault="00E53A3A" w:rsidP="0024231F">
            <w:pPr>
              <w:pStyle w:val="Compact"/>
              <w:jc w:val="center"/>
            </w:pPr>
            <w:r>
              <w:t>450</w:t>
            </w:r>
          </w:p>
        </w:tc>
        <w:tc>
          <w:tcPr>
            <w:tcW w:w="0" w:type="auto"/>
          </w:tcPr>
          <w:p w14:paraId="46C67C27" w14:textId="77777777" w:rsidR="00E53A3A" w:rsidRDefault="00E53A3A" w:rsidP="0024231F">
            <w:pPr>
              <w:pStyle w:val="Compact"/>
              <w:jc w:val="center"/>
            </w:pPr>
            <w:r>
              <w:t>8,900</w:t>
            </w:r>
          </w:p>
        </w:tc>
      </w:tr>
      <w:tr w:rsidR="002925B9" w14:paraId="635B1C32" w14:textId="77777777" w:rsidTr="0024231F">
        <w:tc>
          <w:tcPr>
            <w:tcW w:w="0" w:type="auto"/>
          </w:tcPr>
          <w:p w14:paraId="564B2889" w14:textId="77777777" w:rsidR="00E53A3A" w:rsidRDefault="00E53A3A" w:rsidP="0024231F">
            <w:pPr>
              <w:pStyle w:val="Compact"/>
            </w:pPr>
            <w:r>
              <w:t>northern rockfish</w:t>
            </w:r>
            <w:r w:rsidR="002925B9">
              <w:t xml:space="preserve"> (rockfish)</w:t>
            </w:r>
          </w:p>
        </w:tc>
        <w:tc>
          <w:tcPr>
            <w:tcW w:w="0" w:type="auto"/>
          </w:tcPr>
          <w:p w14:paraId="1C5EF9F2" w14:textId="77777777" w:rsidR="00E53A3A" w:rsidRPr="009277A5" w:rsidRDefault="00E53A3A" w:rsidP="0024231F">
            <w:pPr>
              <w:pStyle w:val="Compact"/>
              <w:rPr>
                <w:i/>
              </w:rPr>
            </w:pPr>
            <w:r w:rsidRPr="009277A5">
              <w:rPr>
                <w:i/>
              </w:rPr>
              <w:t>Sebastes polyspinis</w:t>
            </w:r>
          </w:p>
        </w:tc>
        <w:tc>
          <w:tcPr>
            <w:tcW w:w="0" w:type="auto"/>
          </w:tcPr>
          <w:p w14:paraId="02A77B28" w14:textId="77777777" w:rsidR="00E53A3A" w:rsidRDefault="00E53A3A" w:rsidP="0024231F">
            <w:pPr>
              <w:pStyle w:val="Compact"/>
              <w:jc w:val="center"/>
            </w:pPr>
            <w:r>
              <w:t>570</w:t>
            </w:r>
          </w:p>
        </w:tc>
        <w:tc>
          <w:tcPr>
            <w:tcW w:w="0" w:type="auto"/>
          </w:tcPr>
          <w:p w14:paraId="6E2C5085" w14:textId="77777777" w:rsidR="00E53A3A" w:rsidRDefault="00E53A3A" w:rsidP="0024231F">
            <w:pPr>
              <w:pStyle w:val="Compact"/>
              <w:jc w:val="center"/>
            </w:pPr>
            <w:r>
              <w:t>–</w:t>
            </w:r>
          </w:p>
        </w:tc>
        <w:tc>
          <w:tcPr>
            <w:tcW w:w="0" w:type="auto"/>
          </w:tcPr>
          <w:p w14:paraId="3519F7DA" w14:textId="77777777" w:rsidR="00E53A3A" w:rsidRDefault="00E53A3A" w:rsidP="0024231F">
            <w:pPr>
              <w:pStyle w:val="Compact"/>
              <w:jc w:val="center"/>
            </w:pPr>
            <w:r>
              <w:t>450</w:t>
            </w:r>
          </w:p>
        </w:tc>
        <w:tc>
          <w:tcPr>
            <w:tcW w:w="0" w:type="auto"/>
          </w:tcPr>
          <w:p w14:paraId="40464894" w14:textId="77777777" w:rsidR="00E53A3A" w:rsidRDefault="00E53A3A" w:rsidP="0024231F">
            <w:pPr>
              <w:pStyle w:val="Compact"/>
              <w:jc w:val="center"/>
            </w:pPr>
            <w:r>
              <w:t>6,400</w:t>
            </w:r>
          </w:p>
        </w:tc>
      </w:tr>
      <w:tr w:rsidR="002925B9" w14:paraId="53C00E0A" w14:textId="77777777" w:rsidTr="0024231F">
        <w:tc>
          <w:tcPr>
            <w:tcW w:w="0" w:type="auto"/>
          </w:tcPr>
          <w:p w14:paraId="3955A07A" w14:textId="77777777" w:rsidR="00E53A3A" w:rsidRDefault="00E53A3A" w:rsidP="0024231F">
            <w:pPr>
              <w:pStyle w:val="Compact"/>
            </w:pPr>
            <w:r>
              <w:t>Pacific cod</w:t>
            </w:r>
            <w:r w:rsidR="002925B9">
              <w:t xml:space="preserve"> (gadid)</w:t>
            </w:r>
          </w:p>
        </w:tc>
        <w:tc>
          <w:tcPr>
            <w:tcW w:w="0" w:type="auto"/>
          </w:tcPr>
          <w:p w14:paraId="24FA3AE5" w14:textId="77777777" w:rsidR="00E53A3A" w:rsidRPr="009277A5" w:rsidRDefault="00E53A3A" w:rsidP="0024231F">
            <w:pPr>
              <w:pStyle w:val="Compact"/>
              <w:rPr>
                <w:i/>
              </w:rPr>
            </w:pPr>
            <w:r w:rsidRPr="009277A5">
              <w:rPr>
                <w:i/>
              </w:rPr>
              <w:t>Gadus macrocephalus</w:t>
            </w:r>
          </w:p>
        </w:tc>
        <w:tc>
          <w:tcPr>
            <w:tcW w:w="0" w:type="auto"/>
          </w:tcPr>
          <w:p w14:paraId="2EB21D1D" w14:textId="77777777" w:rsidR="00E53A3A" w:rsidRDefault="00E53A3A" w:rsidP="0024231F">
            <w:pPr>
              <w:pStyle w:val="Compact"/>
              <w:jc w:val="center"/>
            </w:pPr>
            <w:r>
              <w:t>800</w:t>
            </w:r>
          </w:p>
        </w:tc>
        <w:tc>
          <w:tcPr>
            <w:tcW w:w="0" w:type="auto"/>
          </w:tcPr>
          <w:p w14:paraId="0213A4AD" w14:textId="77777777" w:rsidR="00E53A3A" w:rsidRDefault="00E53A3A" w:rsidP="0024231F">
            <w:pPr>
              <w:pStyle w:val="Compact"/>
              <w:jc w:val="center"/>
            </w:pPr>
            <w:r>
              <w:t>1070</w:t>
            </w:r>
          </w:p>
        </w:tc>
        <w:tc>
          <w:tcPr>
            <w:tcW w:w="0" w:type="auto"/>
          </w:tcPr>
          <w:p w14:paraId="46A12ABC" w14:textId="77777777" w:rsidR="00E53A3A" w:rsidRDefault="00E53A3A" w:rsidP="0024231F">
            <w:pPr>
              <w:pStyle w:val="Compact"/>
              <w:jc w:val="center"/>
            </w:pPr>
            <w:r>
              <w:t>650</w:t>
            </w:r>
          </w:p>
        </w:tc>
        <w:tc>
          <w:tcPr>
            <w:tcW w:w="0" w:type="auto"/>
          </w:tcPr>
          <w:p w14:paraId="2FF13662" w14:textId="77777777" w:rsidR="00E53A3A" w:rsidRDefault="00E53A3A" w:rsidP="0024231F">
            <w:pPr>
              <w:pStyle w:val="Compact"/>
              <w:jc w:val="center"/>
            </w:pPr>
            <w:r>
              <w:t>21,200</w:t>
            </w:r>
          </w:p>
        </w:tc>
      </w:tr>
      <w:tr w:rsidR="002925B9" w14:paraId="709D4BBE" w14:textId="77777777" w:rsidTr="0024231F">
        <w:tc>
          <w:tcPr>
            <w:tcW w:w="0" w:type="auto"/>
          </w:tcPr>
          <w:p w14:paraId="09E77791" w14:textId="77777777" w:rsidR="00E53A3A" w:rsidRDefault="00E53A3A" w:rsidP="0024231F">
            <w:pPr>
              <w:pStyle w:val="Compact"/>
            </w:pPr>
            <w:r>
              <w:t>Pacific ocean perch</w:t>
            </w:r>
            <w:r w:rsidR="002925B9">
              <w:t xml:space="preserve"> (rockfish)</w:t>
            </w:r>
          </w:p>
        </w:tc>
        <w:tc>
          <w:tcPr>
            <w:tcW w:w="0" w:type="auto"/>
          </w:tcPr>
          <w:p w14:paraId="0FE2B8AA" w14:textId="77777777" w:rsidR="00E53A3A" w:rsidRPr="009277A5" w:rsidRDefault="00E53A3A" w:rsidP="0024231F">
            <w:pPr>
              <w:pStyle w:val="Compact"/>
              <w:rPr>
                <w:i/>
              </w:rPr>
            </w:pPr>
            <w:r w:rsidRPr="009277A5">
              <w:rPr>
                <w:i/>
              </w:rPr>
              <w:t>Sebastes alutus</w:t>
            </w:r>
          </w:p>
        </w:tc>
        <w:tc>
          <w:tcPr>
            <w:tcW w:w="0" w:type="auto"/>
          </w:tcPr>
          <w:p w14:paraId="07D31413" w14:textId="77777777" w:rsidR="00E53A3A" w:rsidRDefault="00E53A3A" w:rsidP="0024231F">
            <w:pPr>
              <w:pStyle w:val="Compact"/>
              <w:jc w:val="center"/>
            </w:pPr>
            <w:r>
              <w:t>940</w:t>
            </w:r>
          </w:p>
        </w:tc>
        <w:tc>
          <w:tcPr>
            <w:tcW w:w="0" w:type="auto"/>
          </w:tcPr>
          <w:p w14:paraId="47B5C6DD" w14:textId="77777777" w:rsidR="00E53A3A" w:rsidRDefault="00E53A3A" w:rsidP="0024231F">
            <w:pPr>
              <w:pStyle w:val="Compact"/>
              <w:jc w:val="center"/>
            </w:pPr>
            <w:r>
              <w:t>–</w:t>
            </w:r>
          </w:p>
        </w:tc>
        <w:tc>
          <w:tcPr>
            <w:tcW w:w="0" w:type="auto"/>
          </w:tcPr>
          <w:p w14:paraId="239ADB56" w14:textId="77777777" w:rsidR="00E53A3A" w:rsidRDefault="00E53A3A" w:rsidP="0024231F">
            <w:pPr>
              <w:pStyle w:val="Compact"/>
              <w:jc w:val="center"/>
            </w:pPr>
            <w:r>
              <w:t>1030</w:t>
            </w:r>
          </w:p>
        </w:tc>
        <w:tc>
          <w:tcPr>
            <w:tcW w:w="0" w:type="auto"/>
          </w:tcPr>
          <w:p w14:paraId="06DD3DEC" w14:textId="77777777" w:rsidR="00E53A3A" w:rsidRDefault="00E53A3A" w:rsidP="0024231F">
            <w:pPr>
              <w:pStyle w:val="Compact"/>
              <w:jc w:val="center"/>
            </w:pPr>
            <w:r>
              <w:t>13,500</w:t>
            </w:r>
          </w:p>
        </w:tc>
      </w:tr>
      <w:tr w:rsidR="002925B9" w14:paraId="7920ADD7" w14:textId="77777777" w:rsidTr="0024231F">
        <w:tc>
          <w:tcPr>
            <w:tcW w:w="0" w:type="auto"/>
          </w:tcPr>
          <w:p w14:paraId="5D6F9D06" w14:textId="77777777" w:rsidR="00E53A3A" w:rsidRDefault="00E53A3A" w:rsidP="0024231F">
            <w:pPr>
              <w:pStyle w:val="Compact"/>
            </w:pPr>
            <w:r>
              <w:t xml:space="preserve">walleye </w:t>
            </w:r>
            <w:r w:rsidR="002925B9">
              <w:t>pollock (gadid)</w:t>
            </w:r>
          </w:p>
        </w:tc>
        <w:tc>
          <w:tcPr>
            <w:tcW w:w="0" w:type="auto"/>
          </w:tcPr>
          <w:p w14:paraId="1DE7E9B1" w14:textId="77777777" w:rsidR="00E53A3A" w:rsidRPr="009277A5" w:rsidRDefault="00E53A3A" w:rsidP="0024231F">
            <w:pPr>
              <w:pStyle w:val="Compact"/>
              <w:rPr>
                <w:i/>
              </w:rPr>
            </w:pPr>
            <w:r w:rsidRPr="009277A5">
              <w:rPr>
                <w:i/>
              </w:rPr>
              <w:t>Gadus chalcogrammus</w:t>
            </w:r>
          </w:p>
        </w:tc>
        <w:tc>
          <w:tcPr>
            <w:tcW w:w="0" w:type="auto"/>
          </w:tcPr>
          <w:p w14:paraId="64FCDE1A" w14:textId="77777777" w:rsidR="00E53A3A" w:rsidRDefault="00E53A3A" w:rsidP="0024231F">
            <w:pPr>
              <w:pStyle w:val="Compact"/>
              <w:jc w:val="center"/>
            </w:pPr>
            <w:r>
              <w:t>790</w:t>
            </w:r>
          </w:p>
        </w:tc>
        <w:tc>
          <w:tcPr>
            <w:tcW w:w="0" w:type="auto"/>
          </w:tcPr>
          <w:p w14:paraId="53E16B21" w14:textId="77777777" w:rsidR="00E53A3A" w:rsidRDefault="00E53A3A" w:rsidP="0024231F">
            <w:pPr>
              <w:pStyle w:val="Compact"/>
              <w:jc w:val="center"/>
            </w:pPr>
            <w:r>
              <w:t>1500</w:t>
            </w:r>
          </w:p>
        </w:tc>
        <w:tc>
          <w:tcPr>
            <w:tcW w:w="0" w:type="auto"/>
          </w:tcPr>
          <w:p w14:paraId="09D7A91C" w14:textId="77777777" w:rsidR="00E53A3A" w:rsidRDefault="00E53A3A" w:rsidP="0024231F">
            <w:pPr>
              <w:pStyle w:val="Compact"/>
              <w:jc w:val="center"/>
            </w:pPr>
            <w:r>
              <w:t>1300</w:t>
            </w:r>
          </w:p>
        </w:tc>
        <w:tc>
          <w:tcPr>
            <w:tcW w:w="0" w:type="auto"/>
          </w:tcPr>
          <w:p w14:paraId="317F3BAA" w14:textId="77777777" w:rsidR="00E53A3A" w:rsidRDefault="00E53A3A" w:rsidP="0024231F">
            <w:pPr>
              <w:pStyle w:val="Compact"/>
              <w:jc w:val="center"/>
            </w:pPr>
            <w:r>
              <w:t>84,400</w:t>
            </w:r>
          </w:p>
        </w:tc>
      </w:tr>
      <w:tr w:rsidR="002925B9" w14:paraId="4D8AA9BC" w14:textId="77777777" w:rsidTr="0024231F">
        <w:tc>
          <w:tcPr>
            <w:tcW w:w="0" w:type="auto"/>
            <w:tcBorders>
              <w:bottom w:val="single" w:sz="4" w:space="0" w:color="auto"/>
            </w:tcBorders>
          </w:tcPr>
          <w:p w14:paraId="75B9FD13" w14:textId="77777777" w:rsidR="00E53A3A" w:rsidRDefault="00E53A3A" w:rsidP="0024231F">
            <w:pPr>
              <w:pStyle w:val="Compact"/>
            </w:pPr>
            <w:r>
              <w:t>yellowfin sole</w:t>
            </w:r>
            <w:r w:rsidR="002925B9">
              <w:t xml:space="preserve"> (flatfish)</w:t>
            </w:r>
          </w:p>
        </w:tc>
        <w:tc>
          <w:tcPr>
            <w:tcW w:w="0" w:type="auto"/>
            <w:tcBorders>
              <w:bottom w:val="single" w:sz="4" w:space="0" w:color="auto"/>
            </w:tcBorders>
          </w:tcPr>
          <w:p w14:paraId="7B2EB85C" w14:textId="77777777" w:rsidR="00E53A3A" w:rsidRPr="009277A5" w:rsidRDefault="00E53A3A" w:rsidP="0024231F">
            <w:pPr>
              <w:pStyle w:val="Compact"/>
              <w:rPr>
                <w:i/>
              </w:rPr>
            </w:pPr>
            <w:r w:rsidRPr="009277A5">
              <w:rPr>
                <w:i/>
              </w:rPr>
              <w:t>Limanda aspera</w:t>
            </w:r>
          </w:p>
        </w:tc>
        <w:tc>
          <w:tcPr>
            <w:tcW w:w="0" w:type="auto"/>
            <w:tcBorders>
              <w:bottom w:val="single" w:sz="4" w:space="0" w:color="auto"/>
            </w:tcBorders>
          </w:tcPr>
          <w:p w14:paraId="4A63A85E" w14:textId="77777777" w:rsidR="00E53A3A" w:rsidRDefault="00E53A3A" w:rsidP="0024231F">
            <w:pPr>
              <w:pStyle w:val="Compact"/>
              <w:jc w:val="center"/>
            </w:pPr>
            <w:r>
              <w:t>–</w:t>
            </w:r>
          </w:p>
        </w:tc>
        <w:tc>
          <w:tcPr>
            <w:tcW w:w="0" w:type="auto"/>
            <w:tcBorders>
              <w:bottom w:val="single" w:sz="4" w:space="0" w:color="auto"/>
            </w:tcBorders>
          </w:tcPr>
          <w:p w14:paraId="6C3EFD3B" w14:textId="77777777" w:rsidR="00E53A3A" w:rsidRDefault="00E53A3A" w:rsidP="0024231F">
            <w:pPr>
              <w:pStyle w:val="Compact"/>
              <w:jc w:val="center"/>
            </w:pPr>
            <w:r>
              <w:t>750</w:t>
            </w:r>
          </w:p>
        </w:tc>
        <w:tc>
          <w:tcPr>
            <w:tcW w:w="0" w:type="auto"/>
            <w:tcBorders>
              <w:bottom w:val="single" w:sz="4" w:space="0" w:color="auto"/>
            </w:tcBorders>
          </w:tcPr>
          <w:p w14:paraId="4785AD87" w14:textId="77777777" w:rsidR="00E53A3A" w:rsidRDefault="00E53A3A" w:rsidP="0024231F">
            <w:pPr>
              <w:pStyle w:val="Compact"/>
              <w:jc w:val="center"/>
            </w:pPr>
            <w:r>
              <w:t>–</w:t>
            </w:r>
          </w:p>
        </w:tc>
        <w:tc>
          <w:tcPr>
            <w:tcW w:w="0" w:type="auto"/>
            <w:tcBorders>
              <w:bottom w:val="single" w:sz="4" w:space="0" w:color="auto"/>
            </w:tcBorders>
          </w:tcPr>
          <w:p w14:paraId="6E5EFFDD" w14:textId="77777777" w:rsidR="00E53A3A" w:rsidRDefault="00E53A3A" w:rsidP="0024231F">
            <w:pPr>
              <w:pStyle w:val="Compact"/>
              <w:jc w:val="center"/>
            </w:pPr>
            <w:r>
              <w:t>10,300</w:t>
            </w:r>
          </w:p>
        </w:tc>
      </w:tr>
    </w:tbl>
    <w:p w14:paraId="5B9E733A" w14:textId="77777777" w:rsidR="00E53A3A" w:rsidRDefault="00E53A3A" w:rsidP="00E53A3A">
      <w:r>
        <w:br w:type="page"/>
      </w:r>
    </w:p>
    <w:p w14:paraId="68B7616B" w14:textId="77777777" w:rsidR="00E53A3A" w:rsidRDefault="00E53A3A" w:rsidP="00E53A3A">
      <w:pPr>
        <w:pStyle w:val="Heading1"/>
      </w:pPr>
      <w:bookmarkStart w:id="3" w:name="figures"/>
      <w:bookmarkEnd w:id="0"/>
      <w:r>
        <w:lastRenderedPageBreak/>
        <w:t>Figures</w:t>
      </w:r>
    </w:p>
    <w:p w14:paraId="5E212E8B" w14:textId="77777777" w:rsidR="00E53A3A" w:rsidRDefault="00E53A3A" w:rsidP="00E53A3A">
      <w:r>
        <w:rPr>
          <w:noProof/>
        </w:rPr>
        <w:drawing>
          <wp:inline distT="0" distB="0" distL="0" distR="0" wp14:anchorId="2524E166" wp14:editId="12E7C54C">
            <wp:extent cx="5084064" cy="5216652"/>
            <wp:effectExtent l="0" t="0" r="0" b="0"/>
            <wp:docPr id="97" name="Picture" descr="Figure 1: Bootstrap-simulation flow chart, the steps refer to the order of operations."/>
            <wp:cNvGraphicFramePr/>
            <a:graphic xmlns:a="http://schemas.openxmlformats.org/drawingml/2006/main">
              <a:graphicData uri="http://schemas.openxmlformats.org/drawingml/2006/picture">
                <pic:pic xmlns:pic="http://schemas.openxmlformats.org/drawingml/2006/picture">
                  <pic:nvPicPr>
                    <pic:cNvPr id="98" name="Picture" descr="../figs/age_flowchart.png"/>
                    <pic:cNvPicPr>
                      <a:picLocks noChangeAspect="1" noChangeArrowheads="1"/>
                    </pic:cNvPicPr>
                  </pic:nvPicPr>
                  <pic:blipFill>
                    <a:blip r:embed="rId4"/>
                    <a:stretch>
                      <a:fillRect/>
                    </a:stretch>
                  </pic:blipFill>
                  <pic:spPr bwMode="auto">
                    <a:xfrm>
                      <a:off x="0" y="0"/>
                      <a:ext cx="5084064" cy="5216652"/>
                    </a:xfrm>
                    <a:prstGeom prst="rect">
                      <a:avLst/>
                    </a:prstGeom>
                    <a:noFill/>
                    <a:ln w="9525">
                      <a:noFill/>
                      <a:headEnd/>
                      <a:tailEnd/>
                    </a:ln>
                  </pic:spPr>
                </pic:pic>
              </a:graphicData>
            </a:graphic>
          </wp:inline>
        </w:drawing>
      </w:r>
    </w:p>
    <w:p w14:paraId="3A03812F" w14:textId="77777777" w:rsidR="00E53A3A" w:rsidRDefault="00E53A3A" w:rsidP="00E53A3A">
      <w:pPr>
        <w:pStyle w:val="ImageCaption"/>
      </w:pPr>
      <w:bookmarkStart w:id="4" w:name="fig:bs-flows"/>
      <w:bookmarkEnd w:id="4"/>
      <w:r>
        <w:t>Figure 1: Bootstrap-simulation flow chart, the steps refer to the order of operations.</w:t>
      </w:r>
    </w:p>
    <w:p w14:paraId="337FB720" w14:textId="77777777" w:rsidR="00E53A3A" w:rsidRDefault="00E53A3A" w:rsidP="00E53A3A">
      <w:r>
        <w:rPr>
          <w:noProof/>
        </w:rPr>
        <w:lastRenderedPageBreak/>
        <w:drawing>
          <wp:inline distT="0" distB="0" distL="0" distR="0" wp14:anchorId="6088B3C6" wp14:editId="7765917C">
            <wp:extent cx="5943600" cy="7315200"/>
            <wp:effectExtent l="0" t="0" r="0" b="0"/>
            <wp:docPr id="101" name="Picture" descr="Figure 2: Boxplot of annual age composition input sample size for the stocks and regions evaluated across uncertainty scenarios. ‘Base’ refers to the case that includes no additional sources of uncertainty, ‘AE’ is the case when ageing error is included, ‘GV’ is the case when growth variability is included, and ‘AE &amp; GV’ is the case when both ageing error and growth variability is included."/>
            <wp:cNvGraphicFramePr/>
            <a:graphic xmlns:a="http://schemas.openxmlformats.org/drawingml/2006/main">
              <a:graphicData uri="http://schemas.openxmlformats.org/drawingml/2006/picture">
                <pic:pic xmlns:pic="http://schemas.openxmlformats.org/drawingml/2006/picture">
                  <pic:nvPicPr>
                    <pic:cNvPr id="102" name="Picture" descr="../figs/alt_iss.png"/>
                    <pic:cNvPicPr>
                      <a:picLocks noChangeAspect="1" noChangeArrowheads="1"/>
                    </pic:cNvPicPr>
                  </pic:nvPicPr>
                  <pic:blipFill>
                    <a:blip r:embed="rId5"/>
                    <a:stretch>
                      <a:fillRect/>
                    </a:stretch>
                  </pic:blipFill>
                  <pic:spPr bwMode="auto">
                    <a:xfrm>
                      <a:off x="0" y="0"/>
                      <a:ext cx="5943600" cy="7315200"/>
                    </a:xfrm>
                    <a:prstGeom prst="rect">
                      <a:avLst/>
                    </a:prstGeom>
                    <a:noFill/>
                    <a:ln w="9525">
                      <a:noFill/>
                      <a:headEnd/>
                      <a:tailEnd/>
                    </a:ln>
                  </pic:spPr>
                </pic:pic>
              </a:graphicData>
            </a:graphic>
          </wp:inline>
        </w:drawing>
      </w:r>
    </w:p>
    <w:p w14:paraId="45A1124D" w14:textId="77777777" w:rsidR="00E53A3A" w:rsidRDefault="00E53A3A" w:rsidP="00E53A3A">
      <w:pPr>
        <w:pStyle w:val="ImageCaption"/>
      </w:pPr>
      <w:bookmarkStart w:id="5" w:name="fig:iss-plot"/>
      <w:bookmarkEnd w:id="5"/>
      <w:commentRangeStart w:id="6"/>
      <w:r>
        <w:t>Figure</w:t>
      </w:r>
      <w:commentRangeEnd w:id="6"/>
      <w:r>
        <w:rPr>
          <w:rStyle w:val="CommentReference"/>
          <w:iCs w:val="0"/>
        </w:rPr>
        <w:commentReference w:id="6"/>
      </w:r>
      <w:r>
        <w:t xml:space="preserve"> 2: Boxplot of annual age composition input sample size for the stocks and regions evaluated across uncertainty scenarios. ‘Base’ refers to the case that includes no additional sources of uncertainty, ‘AE’ is the case when ageing error is included, ‘GV’ is the case when </w:t>
      </w:r>
      <w:r>
        <w:lastRenderedPageBreak/>
        <w:t>growth variability is included, and ‘AE &amp; GV’ is the case when both ageing error and growth variability is included. The boxplots shows the median, 1</w:t>
      </w:r>
      <w:r w:rsidRPr="0024231F">
        <w:rPr>
          <w:vertAlign w:val="superscript"/>
        </w:rPr>
        <w:t>st</w:t>
      </w:r>
      <w:r>
        <w:t xml:space="preserve"> and 3</w:t>
      </w:r>
      <w:r w:rsidRPr="0024231F">
        <w:rPr>
          <w:vertAlign w:val="superscript"/>
        </w:rPr>
        <w:t>rd</w:t>
      </w:r>
      <w:r>
        <w:t xml:space="preserve"> quartiles, and 1.5 times the inter-quartile range.</w:t>
      </w:r>
    </w:p>
    <w:p w14:paraId="4F47FF58" w14:textId="77777777" w:rsidR="00E53A3A" w:rsidRDefault="00E53A3A" w:rsidP="00E53A3A">
      <w:r>
        <w:rPr>
          <w:noProof/>
        </w:rPr>
        <w:drawing>
          <wp:inline distT="0" distB="0" distL="0" distR="0" wp14:anchorId="0E8B4B18" wp14:editId="10CC93BD">
            <wp:extent cx="5943600" cy="4572000"/>
            <wp:effectExtent l="0" t="0" r="0" b="0"/>
            <wp:docPr id="105" name="Picture" descr="Figure 3: Boxplot of annual age composition relative input sample size by species type across sex categories and uncertainty scenarios. ‘Base’ refers to the case that includes no additional sources of uncertainty, ‘AE’ is the case when ageing error is included, ‘GV’ is the case when growth variability is included, and ‘AE &amp; GV’ is the case when both ageing error and growth variability is included. Note that there are no rockfish found on the Eastern Bering Sea Shelf."/>
            <wp:cNvGraphicFramePr/>
            <a:graphic xmlns:a="http://schemas.openxmlformats.org/drawingml/2006/main">
              <a:graphicData uri="http://schemas.openxmlformats.org/drawingml/2006/picture">
                <pic:pic xmlns:pic="http://schemas.openxmlformats.org/drawingml/2006/picture">
                  <pic:nvPicPr>
                    <pic:cNvPr id="106" name="Picture" descr="../figs/alt_prop-iss.png"/>
                    <pic:cNvPicPr>
                      <a:picLocks noChangeAspect="1" noChangeArrowheads="1"/>
                    </pic:cNvPicPr>
                  </pic:nvPicPr>
                  <pic:blipFill>
                    <a:blip r:embed="rId8"/>
                    <a:stretch>
                      <a:fillRect/>
                    </a:stretch>
                  </pic:blipFill>
                  <pic:spPr bwMode="auto">
                    <a:xfrm>
                      <a:off x="0" y="0"/>
                      <a:ext cx="5943600" cy="4572000"/>
                    </a:xfrm>
                    <a:prstGeom prst="rect">
                      <a:avLst/>
                    </a:prstGeom>
                    <a:noFill/>
                    <a:ln w="9525">
                      <a:noFill/>
                      <a:headEnd/>
                      <a:tailEnd/>
                    </a:ln>
                  </pic:spPr>
                </pic:pic>
              </a:graphicData>
            </a:graphic>
          </wp:inline>
        </w:drawing>
      </w:r>
    </w:p>
    <w:p w14:paraId="181BB7FA" w14:textId="77777777" w:rsidR="00E53A3A" w:rsidRDefault="00E53A3A" w:rsidP="00E53A3A">
      <w:pPr>
        <w:pStyle w:val="ImageCaption"/>
      </w:pPr>
      <w:bookmarkStart w:id="7" w:name="fig:prop-iss"/>
      <w:bookmarkEnd w:id="7"/>
      <w:r>
        <w:t>Figure 3: Boxplot of annual age composition relative input sample size by species type across sex categories and uncertainty scenarios. ‘Base’ refers to the case that includes no additional sources of uncertainty, ‘AE’ is the case when ageing error is included, ‘GV’ is the case when growth variability is included, and ‘AE &amp; GV’ is the case when both ageing error and growth variability is included. Note that there are no rockfish found on the Eastern Bering Sea Shelf. The boxplots shows the median, 1</w:t>
      </w:r>
      <w:r w:rsidRPr="00BE6C42">
        <w:rPr>
          <w:vertAlign w:val="superscript"/>
        </w:rPr>
        <w:t>st</w:t>
      </w:r>
      <w:r>
        <w:t xml:space="preserve"> and 3</w:t>
      </w:r>
      <w:r w:rsidRPr="00BE6C42">
        <w:rPr>
          <w:vertAlign w:val="superscript"/>
        </w:rPr>
        <w:t>rd</w:t>
      </w:r>
      <w:r>
        <w:t xml:space="preserve"> quartiles, and 1.5 times the inter-quartile range.</w:t>
      </w:r>
    </w:p>
    <w:p w14:paraId="7A6D9F99" w14:textId="77777777" w:rsidR="00E53A3A" w:rsidRDefault="00E53A3A" w:rsidP="00E53A3A">
      <w:pPr>
        <w:pStyle w:val="ImageCaption"/>
      </w:pPr>
    </w:p>
    <w:p w14:paraId="5A90B01C" w14:textId="77777777" w:rsidR="00E53A3A" w:rsidRDefault="00E53A3A" w:rsidP="00E53A3A">
      <w:r>
        <w:rPr>
          <w:noProof/>
        </w:rPr>
        <w:lastRenderedPageBreak/>
        <w:drawing>
          <wp:inline distT="0" distB="0" distL="0" distR="0" wp14:anchorId="134C8019" wp14:editId="78DAE8AA">
            <wp:extent cx="5943600" cy="5943600"/>
            <wp:effectExtent l="0" t="0" r="0" b="0"/>
            <wp:docPr id="109" name="Picture" descr="Figure 4: Age composition input sample size per sampled haul compared to number ages sampled within a haul (top panel) across uncertainty scenarios and species types (bottom panel). ‘Base’ refers to the case that includes no additional sources of uncertainty, ‘AE’ is the case when ageing error is included, ‘GV’ is the case when growth variability is included, and ‘AE &amp; GV’ is the case when both ageing error and growth variability is included. The dashed line in the top panel plts shows a 1:1 relationship and elipses are plotted for reference."/>
            <wp:cNvGraphicFramePr/>
            <a:graphic xmlns:a="http://schemas.openxmlformats.org/drawingml/2006/main">
              <a:graphicData uri="http://schemas.openxmlformats.org/drawingml/2006/picture">
                <pic:pic xmlns:pic="http://schemas.openxmlformats.org/drawingml/2006/picture">
                  <pic:nvPicPr>
                    <pic:cNvPr id="110" name="Picture" descr="../figs/alt_hls-iss-nss.png"/>
                    <pic:cNvPicPr>
                      <a:picLocks noChangeAspect="1" noChangeArrowheads="1"/>
                    </pic:cNvPicPr>
                  </pic:nvPicPr>
                  <pic:blipFill>
                    <a:blip r:embed="rId9"/>
                    <a:stretch>
                      <a:fillRect/>
                    </a:stretch>
                  </pic:blipFill>
                  <pic:spPr bwMode="auto">
                    <a:xfrm>
                      <a:off x="0" y="0"/>
                      <a:ext cx="5943600" cy="5943600"/>
                    </a:xfrm>
                    <a:prstGeom prst="rect">
                      <a:avLst/>
                    </a:prstGeom>
                    <a:noFill/>
                    <a:ln w="9525">
                      <a:noFill/>
                      <a:headEnd/>
                      <a:tailEnd/>
                    </a:ln>
                  </pic:spPr>
                </pic:pic>
              </a:graphicData>
            </a:graphic>
          </wp:inline>
        </w:drawing>
      </w:r>
    </w:p>
    <w:p w14:paraId="7BC10200" w14:textId="77777777" w:rsidR="00E53A3A" w:rsidRDefault="00E53A3A" w:rsidP="00E53A3A">
      <w:pPr>
        <w:pStyle w:val="ImageCaption"/>
      </w:pPr>
      <w:bookmarkStart w:id="8" w:name="fig:iss-nss-hls"/>
      <w:bookmarkEnd w:id="8"/>
      <w:r>
        <w:t>Figure 4: Age composition input sample size per sampled haul compared to number of ages sampled within a haul (top panel) across uncertainty scenarios and species types (bottom panel). ‘Base’ refers to the case that includes no additional sources of uncertainty, ‘AE’ is the case when ageing error is included, ‘GV’ is the case when growth variability is included, and ‘AE &amp; GV’ is the case when both ageing error and growth variability is included. The dashed line in the top panel plots shows a 1:1 relationship and ellipses are plotted for reference. The boxplots shows the median, 1</w:t>
      </w:r>
      <w:r w:rsidRPr="00BE6C42">
        <w:rPr>
          <w:vertAlign w:val="superscript"/>
        </w:rPr>
        <w:t>st</w:t>
      </w:r>
      <w:r>
        <w:t xml:space="preserve"> and 3</w:t>
      </w:r>
      <w:r w:rsidRPr="00BE6C42">
        <w:rPr>
          <w:vertAlign w:val="superscript"/>
        </w:rPr>
        <w:t>rd</w:t>
      </w:r>
      <w:r>
        <w:t xml:space="preserve"> quartiles, and 1.5 times the inter-quartile range.</w:t>
      </w:r>
    </w:p>
    <w:p w14:paraId="3676C66B" w14:textId="77777777" w:rsidR="00E53A3A" w:rsidRDefault="00E53A3A" w:rsidP="00E53A3A">
      <w:pPr>
        <w:pStyle w:val="ImageCaption"/>
      </w:pPr>
    </w:p>
    <w:p w14:paraId="05A6B9A3" w14:textId="77777777" w:rsidR="00E53A3A" w:rsidRDefault="00E53A3A" w:rsidP="00E53A3A">
      <w:r>
        <w:rPr>
          <w:noProof/>
        </w:rPr>
        <w:lastRenderedPageBreak/>
        <w:drawing>
          <wp:inline distT="0" distB="0" distL="0" distR="0" wp14:anchorId="011CBAB2" wp14:editId="4632F8BC">
            <wp:extent cx="5943600" cy="5943600"/>
            <wp:effectExtent l="0" t="0" r="0" b="0"/>
            <wp:docPr id="113" name="Picture" descr="Figure 5: Relative age composition input sample size when including ageing error (‘AE’) or growth variability (‘GV’) compared to age and growth statistics (top panel) and when including both ageing error and growth variability (‘AE &amp; GV’) across the stocks evaluated (bottom panel)."/>
            <wp:cNvGraphicFramePr/>
            <a:graphic xmlns:a="http://schemas.openxmlformats.org/drawingml/2006/main">
              <a:graphicData uri="http://schemas.openxmlformats.org/drawingml/2006/picture">
                <pic:pic xmlns:pic="http://schemas.openxmlformats.org/drawingml/2006/picture">
                  <pic:nvPicPr>
                    <pic:cNvPr id="114" name="Picture" descr="../figs/alt_ae-gv-stats.png"/>
                    <pic:cNvPicPr>
                      <a:picLocks noChangeAspect="1" noChangeArrowheads="1"/>
                    </pic:cNvPicPr>
                  </pic:nvPicPr>
                  <pic:blipFill>
                    <a:blip r:embed="rId10"/>
                    <a:stretch>
                      <a:fillRect/>
                    </a:stretch>
                  </pic:blipFill>
                  <pic:spPr bwMode="auto">
                    <a:xfrm>
                      <a:off x="0" y="0"/>
                      <a:ext cx="5943600" cy="5943600"/>
                    </a:xfrm>
                    <a:prstGeom prst="rect">
                      <a:avLst/>
                    </a:prstGeom>
                    <a:noFill/>
                    <a:ln w="9525">
                      <a:noFill/>
                      <a:headEnd/>
                      <a:tailEnd/>
                    </a:ln>
                  </pic:spPr>
                </pic:pic>
              </a:graphicData>
            </a:graphic>
          </wp:inline>
        </w:drawing>
      </w:r>
    </w:p>
    <w:p w14:paraId="682C4F9F" w14:textId="77777777" w:rsidR="00E53A3A" w:rsidRDefault="00E53A3A" w:rsidP="00E53A3A">
      <w:pPr>
        <w:pStyle w:val="ImageCaption"/>
      </w:pPr>
      <w:bookmarkStart w:id="9" w:name="fig:ae-gv-stats"/>
      <w:bookmarkEnd w:id="9"/>
      <w:r>
        <w:t>Figure 5: Relative age composition input sample size when including ageing error (‘AE’) or growth variability (‘GV’) compared to age and growth statistics (top panel) and when including both ageing error and growth variability (‘AE &amp; GV’) across the stocks evaluated (bottom panel).</w:t>
      </w:r>
      <w:bookmarkEnd w:id="3"/>
    </w:p>
    <w:p w14:paraId="06F76374" w14:textId="77777777" w:rsidR="00E16F58" w:rsidRDefault="00692B46"/>
    <w:sectPr w:rsidR="00E16F58" w:rsidSect="008E67EC">
      <w:footerReference w:type="default" r:id="rId11"/>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Pete.Hulson" w:date="2023-09-14T11:11:00Z" w:initials="P">
    <w:p w14:paraId="2C7D155F" w14:textId="77777777" w:rsidR="00E53A3A" w:rsidRDefault="00E53A3A" w:rsidP="00E53A3A">
      <w:pPr>
        <w:pStyle w:val="CommentText"/>
      </w:pPr>
      <w:r>
        <w:rPr>
          <w:rStyle w:val="CommentReference"/>
        </w:rPr>
        <w:annotationRef/>
      </w:r>
      <w:r>
        <w:t>Move to sup mat?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C7D155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4655536"/>
      <w:docPartObj>
        <w:docPartGallery w:val="Page Numbers (Bottom of Page)"/>
        <w:docPartUnique/>
      </w:docPartObj>
    </w:sdtPr>
    <w:sdtEndPr>
      <w:rPr>
        <w:noProof/>
      </w:rPr>
    </w:sdtEndPr>
    <w:sdtContent>
      <w:p w14:paraId="69F7745C" w14:textId="77777777" w:rsidR="008E67EC" w:rsidRDefault="00692B46">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5537CBD5" w14:textId="77777777" w:rsidR="008E67EC" w:rsidRDefault="00692B46">
    <w:pPr>
      <w:pStyle w:val="Footer"/>
    </w:pPr>
  </w:p>
</w:ftr>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ete.Hulson">
    <w15:presenceInfo w15:providerId="None" w15:userId="Pete.Hul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A3A"/>
    <w:rsid w:val="002925B9"/>
    <w:rsid w:val="00561387"/>
    <w:rsid w:val="00627396"/>
    <w:rsid w:val="00692B46"/>
    <w:rsid w:val="00E53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CB737"/>
  <w15:chartTrackingRefBased/>
  <w15:docId w15:val="{455F1DCE-705B-409C-97A3-00018B53C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3A3A"/>
    <w:pPr>
      <w:spacing w:before="120" w:after="0" w:line="360" w:lineRule="auto"/>
    </w:pPr>
    <w:rPr>
      <w:rFonts w:ascii="Times New Roman" w:hAnsi="Times New Roman"/>
      <w:bCs/>
      <w:sz w:val="24"/>
    </w:rPr>
  </w:style>
  <w:style w:type="paragraph" w:styleId="Heading1">
    <w:name w:val="heading 1"/>
    <w:basedOn w:val="Subtitle"/>
    <w:next w:val="BodyText"/>
    <w:link w:val="Heading1Char"/>
    <w:autoRedefine/>
    <w:uiPriority w:val="9"/>
    <w:qFormat/>
    <w:rsid w:val="00E53A3A"/>
    <w:pPr>
      <w:keepNext/>
      <w:keepLines/>
      <w:numPr>
        <w:ilvl w:val="0"/>
      </w:numPr>
      <w:spacing w:before="0" w:after="0" w:line="480" w:lineRule="auto"/>
      <w:jc w:val="center"/>
      <w:outlineLvl w:val="0"/>
    </w:pPr>
    <w:rPr>
      <w:rFonts w:ascii="Times New Roman" w:eastAsia="Calibri" w:hAnsi="Times New Roman" w:cstheme="majorBidi"/>
      <w:b/>
      <w:bCs w:val="0"/>
      <w:color w:val="auto"/>
      <w:spacing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A3A"/>
    <w:rPr>
      <w:rFonts w:ascii="Times New Roman" w:eastAsia="Calibri" w:hAnsi="Times New Roman" w:cstheme="majorBidi"/>
      <w:b/>
      <w:sz w:val="24"/>
      <w:szCs w:val="24"/>
    </w:rPr>
  </w:style>
  <w:style w:type="paragraph" w:customStyle="1" w:styleId="Compact">
    <w:name w:val="Compact"/>
    <w:basedOn w:val="Normal"/>
    <w:qFormat/>
    <w:rsid w:val="00E53A3A"/>
    <w:rPr>
      <w:szCs w:val="20"/>
    </w:rPr>
  </w:style>
  <w:style w:type="paragraph" w:customStyle="1" w:styleId="TableCaption">
    <w:name w:val="Table Caption"/>
    <w:basedOn w:val="Caption"/>
    <w:rsid w:val="00E53A3A"/>
    <w:pPr>
      <w:keepNext/>
      <w:spacing w:before="120" w:after="120" w:line="360" w:lineRule="auto"/>
    </w:pPr>
    <w:rPr>
      <w:iCs w:val="0"/>
      <w:color w:val="auto"/>
      <w:sz w:val="24"/>
      <w:szCs w:val="22"/>
    </w:rPr>
  </w:style>
  <w:style w:type="paragraph" w:customStyle="1" w:styleId="ImageCaption">
    <w:name w:val="Image Caption"/>
    <w:basedOn w:val="Caption"/>
    <w:rsid w:val="00E53A3A"/>
    <w:pPr>
      <w:spacing w:before="120" w:after="120" w:line="360" w:lineRule="auto"/>
    </w:pPr>
    <w:rPr>
      <w:i w:val="0"/>
      <w:color w:val="auto"/>
      <w:sz w:val="24"/>
      <w:szCs w:val="22"/>
    </w:rPr>
  </w:style>
  <w:style w:type="paragraph" w:styleId="Footer">
    <w:name w:val="footer"/>
    <w:basedOn w:val="Normal"/>
    <w:link w:val="FooterChar"/>
    <w:uiPriority w:val="99"/>
    <w:unhideWhenUsed/>
    <w:rsid w:val="00E53A3A"/>
    <w:pPr>
      <w:tabs>
        <w:tab w:val="center" w:pos="4680"/>
        <w:tab w:val="right" w:pos="9360"/>
      </w:tabs>
      <w:spacing w:before="0" w:line="240" w:lineRule="auto"/>
    </w:pPr>
  </w:style>
  <w:style w:type="character" w:customStyle="1" w:styleId="FooterChar">
    <w:name w:val="Footer Char"/>
    <w:basedOn w:val="DefaultParagraphFont"/>
    <w:link w:val="Footer"/>
    <w:uiPriority w:val="99"/>
    <w:rsid w:val="00E53A3A"/>
    <w:rPr>
      <w:rFonts w:ascii="Times New Roman" w:hAnsi="Times New Roman"/>
      <w:bCs/>
      <w:sz w:val="24"/>
    </w:rPr>
  </w:style>
  <w:style w:type="character" w:styleId="CommentReference">
    <w:name w:val="annotation reference"/>
    <w:basedOn w:val="DefaultParagraphFont"/>
    <w:semiHidden/>
    <w:unhideWhenUsed/>
    <w:rsid w:val="00E53A3A"/>
    <w:rPr>
      <w:sz w:val="16"/>
      <w:szCs w:val="16"/>
    </w:rPr>
  </w:style>
  <w:style w:type="paragraph" w:styleId="CommentText">
    <w:name w:val="annotation text"/>
    <w:basedOn w:val="Normal"/>
    <w:link w:val="CommentTextChar"/>
    <w:semiHidden/>
    <w:unhideWhenUsed/>
    <w:rsid w:val="00E53A3A"/>
    <w:pPr>
      <w:spacing w:line="240" w:lineRule="auto"/>
    </w:pPr>
    <w:rPr>
      <w:sz w:val="20"/>
      <w:szCs w:val="20"/>
    </w:rPr>
  </w:style>
  <w:style w:type="character" w:customStyle="1" w:styleId="CommentTextChar">
    <w:name w:val="Comment Text Char"/>
    <w:basedOn w:val="DefaultParagraphFont"/>
    <w:link w:val="CommentText"/>
    <w:semiHidden/>
    <w:rsid w:val="00E53A3A"/>
    <w:rPr>
      <w:rFonts w:ascii="Times New Roman" w:hAnsi="Times New Roman"/>
      <w:bCs/>
      <w:sz w:val="20"/>
      <w:szCs w:val="20"/>
    </w:rPr>
  </w:style>
  <w:style w:type="paragraph" w:styleId="Subtitle">
    <w:name w:val="Subtitle"/>
    <w:basedOn w:val="Normal"/>
    <w:next w:val="Normal"/>
    <w:link w:val="SubtitleChar"/>
    <w:uiPriority w:val="11"/>
    <w:qFormat/>
    <w:rsid w:val="00E53A3A"/>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E53A3A"/>
    <w:rPr>
      <w:rFonts w:eastAsiaTheme="minorEastAsia"/>
      <w:bCs/>
      <w:color w:val="5A5A5A" w:themeColor="text1" w:themeTint="A5"/>
      <w:spacing w:val="15"/>
    </w:rPr>
  </w:style>
  <w:style w:type="paragraph" w:styleId="BodyText">
    <w:name w:val="Body Text"/>
    <w:basedOn w:val="Normal"/>
    <w:link w:val="BodyTextChar"/>
    <w:uiPriority w:val="99"/>
    <w:semiHidden/>
    <w:unhideWhenUsed/>
    <w:rsid w:val="00E53A3A"/>
    <w:pPr>
      <w:spacing w:after="120"/>
    </w:pPr>
  </w:style>
  <w:style w:type="character" w:customStyle="1" w:styleId="BodyTextChar">
    <w:name w:val="Body Text Char"/>
    <w:basedOn w:val="DefaultParagraphFont"/>
    <w:link w:val="BodyText"/>
    <w:uiPriority w:val="99"/>
    <w:semiHidden/>
    <w:rsid w:val="00E53A3A"/>
    <w:rPr>
      <w:rFonts w:ascii="Times New Roman" w:hAnsi="Times New Roman"/>
      <w:bCs/>
      <w:sz w:val="24"/>
    </w:rPr>
  </w:style>
  <w:style w:type="paragraph" w:styleId="Caption">
    <w:name w:val="caption"/>
    <w:basedOn w:val="Normal"/>
    <w:next w:val="Normal"/>
    <w:uiPriority w:val="35"/>
    <w:semiHidden/>
    <w:unhideWhenUsed/>
    <w:qFormat/>
    <w:rsid w:val="00E53A3A"/>
    <w:pPr>
      <w:spacing w:before="0" w:after="200" w:line="240" w:lineRule="auto"/>
    </w:pPr>
    <w:rPr>
      <w:i/>
      <w:iCs/>
      <w:color w:val="44546A" w:themeColor="text2"/>
      <w:sz w:val="18"/>
      <w:szCs w:val="18"/>
    </w:rPr>
  </w:style>
  <w:style w:type="character" w:styleId="LineNumber">
    <w:name w:val="line number"/>
    <w:basedOn w:val="DefaultParagraphFont"/>
    <w:uiPriority w:val="99"/>
    <w:semiHidden/>
    <w:unhideWhenUsed/>
    <w:rsid w:val="00E53A3A"/>
  </w:style>
  <w:style w:type="paragraph" w:styleId="BalloonText">
    <w:name w:val="Balloon Text"/>
    <w:basedOn w:val="Normal"/>
    <w:link w:val="BalloonTextChar"/>
    <w:uiPriority w:val="99"/>
    <w:semiHidden/>
    <w:unhideWhenUsed/>
    <w:rsid w:val="00E53A3A"/>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3A3A"/>
    <w:rPr>
      <w:rFonts w:ascii="Segoe UI" w:hAnsi="Segoe UI" w:cs="Segoe UI"/>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image" Target="media/image2.png"/><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434</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NOAA AFSC</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Pete.Hulson</dc:creator>
  <cp:keywords/>
  <dc:description/>
  <cp:lastModifiedBy>Pete.Hulson</cp:lastModifiedBy>
  <cp:revision>1</cp:revision>
  <dcterms:created xsi:type="dcterms:W3CDTF">2023-09-19T15:59:00Z</dcterms:created>
  <dcterms:modified xsi:type="dcterms:W3CDTF">2023-09-19T18:46:00Z</dcterms:modified>
</cp:coreProperties>
</file>