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3.png" ContentType="image/png"/>
  <Override PartName="/word/media/rId89.png" ContentType="image/png"/>
  <Override PartName="/word/media/rId85.png" ContentType="image/png"/>
  <Override PartName="/word/media/rId77.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C.</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Input sample size (ISS) is a quantity that is used to weight composition data in stock assessment models.</w:t>
      </w:r>
      <w:r>
        <w:t xml:space="preserve"> </w:t>
      </w:r>
      <w:r>
        <w:t xml:space="preserve">Both design-based bootstrap and model-based estimators have been proposed, however, these previous methods to determine ISS do not explicitly include sources of uncertainty from ageing error and growth variability that are inherent to expanded age composition data.</w:t>
      </w:r>
      <w:r>
        <w:t xml:space="preserve"> </w:t>
      </w:r>
      <w:r>
        <w:t xml:space="preserve">In this study, we evaluate the impact of including ageing error and growth variability within bootstrap methods that estimate age composition ISS.</w:t>
      </w:r>
      <w:r>
        <w:t xml:space="preserve"> </w:t>
      </w:r>
      <w:r>
        <w:t xml:space="preserve">We find that for all the stocks evaluated the ISS determined from bootstrap methods decreased as these addition sources of uncertainty were included.</w:t>
      </w:r>
      <w:r>
        <w:t xml:space="preserve"> </w:t>
      </w:r>
      <w:r>
        <w:t xml:space="preserve">The decrease in ISS was species type specific, but generally decreased up to 40% when ageing error was introduced, up to 50% when growth variability was included, and up to 60% when both sources of uncertainty were included.</w:t>
      </w:r>
      <w:r>
        <w:t xml:space="preserve"> </w:t>
      </w:r>
      <w:r>
        <w:t xml:space="preserve">These results indicate that there is more uncertainty within age composition data than would be accounted for with ISS estimates that do not include these sources of uncertainty.</w:t>
      </w:r>
      <w:r>
        <w:t xml:space="preserve"> </w:t>
      </w:r>
      <w:r>
        <w:t xml:space="preserve">The method and results provided here allow for assessment scientist to weight age composition with ISS that takes into account ageing error and growth variability that are implicit to any expanded age composition from either fishery-independent or fishery-dependent sources; this has not previously been investigated.</w:t>
      </w:r>
    </w:p>
    <w:p>
      <w:r>
        <w:br w:type="page"/>
      </w:r>
    </w:p>
    <w:bookmarkEnd w:id="21"/>
    <w:bookmarkStart w:id="22" w:name="introduction"/>
    <w:p>
      <w:pPr>
        <w:pStyle w:val="Heading1"/>
      </w:pPr>
      <w:r>
        <w:t xml:space="preserve">Introduction</w:t>
      </w:r>
    </w:p>
    <w:p>
      <w:pPr>
        <w:pStyle w:val="FirstParagraph"/>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w:t>
      </w:r>
      <w:r>
        <w:t xml:space="preserve"> </w:t>
      </w:r>
      <w:r>
        <w:t xml:space="preserve">(Quinn and Deriso 1999)</w:t>
      </w:r>
      <w:r>
        <w:t xml:space="preserve">.</w:t>
      </w:r>
      <w:r>
        <w:t xml:space="preserve"> </w:t>
      </w:r>
      <w:r>
        <w:t xml:space="preserve">The two primary sources for age and length composition data used in SCAA models are fishery-independent and fishery-dependent.</w:t>
      </w:r>
      <w:r>
        <w:t xml:space="preserve"> </w:t>
      </w:r>
      <w:r>
        <w:t xml:space="preserve">Fishery-independent sources typically include randomized and standardized collection of samples from hauls in a non-targeted framework.</w:t>
      </w:r>
      <w:r>
        <w:t xml:space="preserve"> </w:t>
      </w:r>
      <w:r>
        <w:t xml:space="preserve">Fishery-dependent sources are based upon collection of age and length samples, randomized at some level, but obtained from hauls targeting a specific species or fishery.</w:t>
      </w:r>
    </w:p>
    <w:p>
      <w:pPr>
        <w:pStyle w:val="BodyText"/>
      </w:pPr>
      <w:r>
        <w:t xml:space="preserve">Regardless of the source of composition data, it is commonly accepted that overdispersion of the data is inherent due to intra-haul correlation</w:t>
      </w:r>
      <w:r>
        <w:t xml:space="preserve"> </w:t>
      </w:r>
      <w:r>
        <w:t xml:space="preserve">(e.g., Pennington and Volstad 1994)</w:t>
      </w:r>
      <w:r>
        <w:t xml:space="preserve">, along with other multiple sources of error</w:t>
      </w:r>
      <w:r>
        <w:t xml:space="preserve"> </w:t>
      </w:r>
      <w:r>
        <w:t xml:space="preserve">(Pennington et al. 2002, Hulson et al. 2011, Stewart and Hamel 2014)</w:t>
      </w:r>
      <w:r>
        <w:t xml:space="preserve">.</w:t>
      </w:r>
      <w:r>
        <w:t xml:space="preserve"> </w:t>
      </w:r>
      <w:r>
        <w:t xml:space="preserve">The concept of realized sample size</w:t>
      </w:r>
      <w:r>
        <w:t xml:space="preserve"> </w:t>
      </w:r>
      <w:r>
        <w:t xml:space="preserve">Stewart and Hamel (2014)</w:t>
      </w:r>
      <w:r>
        <w:t xml:space="preserve">, a reduced sample size from the actual number of fish measured or aged, is implemented to account for increased uncertainty due to these measurement and observation errors.</w:t>
      </w:r>
      <w:r>
        <w:t xml:space="preserve"> </w:t>
      </w:r>
      <w:r>
        <w:t xml:space="preserve">The realized sample size can be used as the</w:t>
      </w:r>
      <w:r>
        <w:t xml:space="preserve"> </w:t>
      </w:r>
      <w:r>
        <w:t xml:space="preserve">‘</w:t>
      </w:r>
      <w:r>
        <w:t xml:space="preserve">input sample size</w:t>
      </w:r>
      <w:r>
        <w:t xml:space="preserve">’</w:t>
      </w:r>
      <w:r>
        <w:t xml:space="preserve"> </w:t>
      </w:r>
      <w:r>
        <w:t xml:space="preserve">to weight the composition data to describe the relative information content of the data products being integrated in the stock assessment (e.g., catch, survey biomass, size-at-age, age and/or length composition).</w:t>
      </w:r>
      <w:r>
        <w:t xml:space="preserve"> </w:t>
      </w:r>
      <w:r>
        <w:t xml:space="preserve">Due to the strong influence that compositional data can have in SCAA models, the weight assigned to these data products are important for providing accurate advice for management</w:t>
      </w:r>
      <w:r>
        <w:t xml:space="preserve"> </w:t>
      </w:r>
      <w:r>
        <w:t xml:space="preserve">(e.g., Hulson et al. 2012, Xu et al. 2020)</w:t>
      </w:r>
      <w:r>
        <w:t xml:space="preserve">.</w:t>
      </w:r>
    </w:p>
    <w:p>
      <w:pPr>
        <w:pStyle w:val="BodyText"/>
      </w:pPr>
      <w:r>
        <w:t xml:space="preserve">The input sample size assigned to annual composition data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Data-weighting methods, to ensure congruence between the variance of the data and the variance implied by the model</w:t>
      </w:r>
      <w:r>
        <w:t xml:space="preserve"> </w:t>
      </w:r>
      <w:r>
        <w:t xml:space="preserve">(Francis 2017)</w:t>
      </w:r>
      <w:r>
        <w:t xml:space="preserve">, are used to check the fit of compositional data.</w:t>
      </w:r>
      <w:r>
        <w:t xml:space="preserve"> </w:t>
      </w:r>
      <w:r>
        <w:t xml:space="preserve">The primary consideration when assigning a weight to composition data is to account for the potential variability and correlation in the sampling process.</w:t>
      </w:r>
      <w:r>
        <w:t xml:space="preserve"> </w:t>
      </w:r>
      <w:r>
        <w:t xml:space="preserve">The method developed by</w:t>
      </w:r>
      <w:r>
        <w:t xml:space="preserve"> </w:t>
      </w:r>
      <w:r>
        <w:t xml:space="preserve">Stewart and Hamel (2014)</w:t>
      </w:r>
      <w:r>
        <w:t xml:space="preserve"> </w:t>
      </w:r>
      <w:r>
        <w:t xml:space="preserve">allows for resampling techniques to be employed at each level of the sampling design, and provides an objective avenue to determine input sample size that is based on the observation variability contained within the sampling process.</w:t>
      </w:r>
    </w:p>
    <w:p>
      <w:pPr>
        <w:pStyle w:val="BodyText"/>
      </w:pPr>
      <w:r>
        <w:t xml:space="preserve">In addition to the traditional sources of intra-haul, measurement and observation uncertainty in age composition data, for every fish species sampled for which age is capable of being determined from otoliths there is resulting variability in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w:t>
      </w:r>
      <w:r>
        <w:t xml:space="preserve"> </w:t>
      </w:r>
      <w:r>
        <w:t xml:space="preserve">(Nesslage et al. 2022)</w:t>
      </w:r>
      <w:r>
        <w:t xml:space="preserve">, but inherent to obtaining ages from otoliths is variability in the age readings across the laboratory age readers.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SCAA models when fitting age composition through the use of an ageing error matrix</w:t>
      </w:r>
      <w:r>
        <w:t xml:space="preserve"> </w:t>
      </w:r>
      <w:r>
        <w:t xml:space="preserve">(Punt et al. 2008, Candy et al. 2012)</w:t>
      </w:r>
      <w:r>
        <w:t xml:space="preserve">.</w:t>
      </w:r>
      <w:r>
        <w:t xml:space="preserve"> </w:t>
      </w:r>
      <w:r>
        <w:t xml:space="preserve">The essence of this approach is that the numbers-at-age estimated by the assessment model are</w:t>
      </w:r>
      <w:r>
        <w:t xml:space="preserve"> </w:t>
      </w:r>
      <w:r>
        <w:t xml:space="preserve">‘</w:t>
      </w:r>
      <w:r>
        <w:t xml:space="preserve">corrected</w:t>
      </w:r>
      <w:r>
        <w:t xml:space="preserve">’</w:t>
      </w:r>
      <w:r>
        <w:t xml:space="preserve"> </w:t>
      </w:r>
      <w:r>
        <w:t xml:space="preserve">through multiplication with an ageing error matrix, which assigns estimated numbers-at-age to adjacent age-classes depending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stock assessment model, the age composition data fit will be weighted by an input sample size.</w:t>
      </w:r>
      <w:r>
        <w:t xml:space="preserve"> </w:t>
      </w:r>
      <w:r>
        <w:t xml:space="preserve">As described previously, the input sample size selected would reflect the variability in the sampling process, which should also include the variability in the age readings themselves.</w:t>
      </w:r>
    </w:p>
    <w:p>
      <w:pPr>
        <w:pStyle w:val="BodyText"/>
      </w:pPr>
      <w:r>
        <w:t xml:space="preserve">In the process of compositional expansion, it is often the case that an age-length key (ALK) is employed to expand population numbers-at-length to population numbers-at-age</w:t>
      </w:r>
      <w:r>
        <w:t xml:space="preserve"> </w:t>
      </w:r>
      <w:r>
        <w:t xml:space="preserve">(Quinn and Deriso 1999, Ailloud and Hoenig 2019)</w:t>
      </w:r>
      <w:r>
        <w:t xml:space="preserve">.</w:t>
      </w:r>
      <w:r>
        <w:t xml:space="preserve"> </w:t>
      </w:r>
      <w:r>
        <w:t xml:space="preserve">It is through the ALK, and the subsequent age expansion, that observations of age composition are derived from fishery-independent and fishery-dependent sources.</w:t>
      </w:r>
      <w:r>
        <w:t xml:space="preserve"> </w:t>
      </w:r>
      <w:r>
        <w:t xml:space="preserve">Conditional age-at-length (CAAL), in which paired age-length data are used as an indication of the age distribution for a specific length, is used to inform length-at-age and it’s related uncertainty</w:t>
      </w:r>
      <w:r>
        <w:t xml:space="preserve"> </w:t>
      </w:r>
      <w:r>
        <w:t xml:space="preserve">(Taylor and Methot 2013)</w:t>
      </w:r>
      <w:r>
        <w:t xml:space="preserve">.</w:t>
      </w:r>
      <w:r>
        <w:t xml:space="preserve"> </w:t>
      </w:r>
      <w:r>
        <w:t xml:space="preserve">CAAL data can be used directly within SCAA models to inform estimates of growth as well as composition data</w:t>
      </w:r>
      <w:r>
        <w:t xml:space="preserve"> </w:t>
      </w:r>
      <w:r>
        <w:t xml:space="preserve">(Lee et al. 2019)</w:t>
      </w:r>
      <w:r>
        <w:t xml:space="preserve"> </w:t>
      </w:r>
      <w:r>
        <w:t xml:space="preserve">and has been implemented in a number of operational stock assessments</w:t>
      </w:r>
      <w:r>
        <w:t xml:space="preserve"> </w:t>
      </w:r>
      <w:r>
        <w:t xml:space="preserve">(e.g., McGilliard et al. 2019, Hulson et al. 2022)</w:t>
      </w:r>
      <w:r>
        <w:t xml:space="preserve">.</w:t>
      </w:r>
      <w:r>
        <w:t xml:space="preserve"> </w:t>
      </w:r>
      <w:r>
        <w:t xml:space="preserve">An intrinsic component to both the ALK and CAAL is the variability in length for a given age.</w:t>
      </w:r>
      <w:r>
        <w:t xml:space="preserve"> </w:t>
      </w:r>
      <w:r>
        <w:t xml:space="preserve">Further, when using CAAL data as an additional likelihood component to a SCAA model one must determine the input sample size to be used to weight this information.</w:t>
      </w:r>
    </w:p>
    <w:p>
      <w:pPr>
        <w:pStyle w:val="BodyText"/>
      </w:pPr>
      <w:r>
        <w:t xml:space="preserve">Despite the acceptance of requiring an input sample size to weight age composition data in SCAA models that reflects the added uncertainty caused by overdispersion common to age sampling, and the recognition of the inherent variability in the ageing process when reading otoliths and in the growth process upon which age-length keys are based, these sources of uncertainty have not been previously integrated in an objective estimation method for input sample size.</w:t>
      </w:r>
      <w:r>
        <w:t xml:space="preserve"> </w:t>
      </w:r>
      <w:r>
        <w:t xml:space="preserve">In this study, we extend the methods of</w:t>
      </w:r>
      <w:r>
        <w:t xml:space="preserve"> </w:t>
      </w:r>
      <w:r>
        <w:t xml:space="preserve">Stewart and Hamel (2014)</w:t>
      </w:r>
      <w:r>
        <w:t xml:space="preserve"> </w:t>
      </w:r>
      <w:r>
        <w:t xml:space="preserve">to estimate age composition input sample size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p>
    <w:bookmarkEnd w:id="22"/>
    <w:bookmarkStart w:id="28" w:name="methods"/>
    <w:p>
      <w:pPr>
        <w:pStyle w:val="Heading1"/>
      </w:pPr>
      <w:r>
        <w:t xml:space="preserve">Methods</w:t>
      </w:r>
    </w:p>
    <w:bookmarkStart w:id="23" w:name="data"/>
    <w:p>
      <w:pPr>
        <w:pStyle w:val="Heading2"/>
      </w:pPr>
      <w:r>
        <w:t xml:space="preserve">Data</w:t>
      </w:r>
    </w:p>
    <w:p>
      <w:pPr>
        <w:pStyle w:val="FirstParagraph"/>
      </w:pPr>
      <w:r>
        <w:t xml:space="preserve">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survey data (e.g., catch, effort, location).</w:t>
      </w:r>
      <w:r>
        <w:t xml:space="preserve"> </w:t>
      </w:r>
      <w:r>
        <w:t xml:space="preserve">Generally, a subsample of fish from each haul were processed at sea to collect their sex, length, and weight.</w:t>
      </w:r>
      <w:r>
        <w:t xml:space="preserve"> </w:t>
      </w:r>
      <w:r>
        <w:t xml:space="preserve">A subsample of these fish have their sagittal otoliths collected, these otoliths were sent (with haul and specimen data) to the AFSC Age and Growth laboratory for age determination.</w:t>
      </w:r>
      <w:r>
        <w:t xml:space="preserve"> </w:t>
      </w:r>
      <w:r>
        <w:t xml:space="preserve">Periodically, a subset of aged otoliths are selected for reader-tester agreement tests.</w:t>
      </w:r>
      <w:r>
        <w:t xml:space="preserve"> </w:t>
      </w:r>
      <w:r>
        <w:t xml:space="preserve">These tests are used to evaluate the reproducability of an age reading when two different readers age the same fish without knowledge of the other reader’s age determination of the otolith</w:t>
      </w:r>
      <w:r>
        <w:t xml:space="preserve"> </w:t>
      </w:r>
      <w:r>
        <w:t xml:space="preserve">(Kimura and Lyons 1991)</w:t>
      </w:r>
      <w:r>
        <w:t xml:space="preserve">.</w:t>
      </w:r>
      <w:r>
        <w:t xml:space="preserve"> </w:t>
      </w:r>
      <w:r>
        <w:t xml:space="preserve">The average annual bottom trawl survey age sample sizes by region, and the total number of otoliths used for reader-tester agreement tests are shown in Table</w:t>
      </w:r>
      <w:r>
        <w:t xml:space="preserve"> </w:t>
      </w:r>
      <w:r>
        <w:t xml:space="preserve">??</w:t>
      </w:r>
      <w:r>
        <w:t xml:space="preserve">) for the species evaluated.</w:t>
      </w:r>
      <w:r>
        <w:t xml:space="preserve"> </w:t>
      </w:r>
      <w:r>
        <w:t xml:space="preserve">The species or stocks selected for this analysis all have greater than 5,000 reader-tester paired otolith readings.</w:t>
      </w:r>
      <w:r>
        <w:t xml:space="preserve"> </w:t>
      </w:r>
      <w:r>
        <w:t xml:space="preserve">These stocks are all assessed using integrated SCAA models that require input sample sizes for the age composition data.</w:t>
      </w:r>
      <w:r>
        <w:t xml:space="preserve"> </w:t>
      </w:r>
      <w:r>
        <w:t xml:space="preserve">Details of how the length frequency and age collections are expanded to population abundance-at-length and -age then subsequently used as compositional data in stock assessment models at AFSC are provided in</w:t>
      </w:r>
      <w:r>
        <w:t xml:space="preserve"> </w:t>
      </w:r>
      <w:r>
        <w:t xml:space="preserve">Hulson et al. (in review)</w:t>
      </w:r>
      <w:r>
        <w:t xml:space="preserve">.</w:t>
      </w:r>
    </w:p>
    <w:bookmarkEnd w:id="23"/>
    <w:bookmarkStart w:id="25" w:name="simulation-bootstrap-framework"/>
    <w:p>
      <w:pPr>
        <w:pStyle w:val="Heading2"/>
      </w:pPr>
      <w:r>
        <w:t xml:space="preserve">Simulation-Bootstrap framework</w:t>
      </w:r>
    </w:p>
    <w:p>
      <w:pPr>
        <w:pStyle w:val="FirstParagraph"/>
      </w:pPr>
      <w:r>
        <w:t xml:space="preserve">To evaluate the effect of the inclusion of ageing error and growth variability on uncertainty in age compostion datasets we modified a bootstrap-simulation framework</w:t>
      </w:r>
      <w:r>
        <w:t xml:space="preserve"> </w:t>
      </w:r>
      <w:r>
        <w:t xml:space="preserve">(Hulson et al. in review)</w:t>
      </w:r>
      <w:r>
        <w:t xml:space="preserve"> </w:t>
      </w:r>
      <w:r>
        <w:t xml:space="preserve">to include these additional sources of error.</w:t>
      </w:r>
      <w:r>
        <w:t xml:space="preserve"> </w:t>
      </w:r>
      <w:r>
        <w:t xml:space="preserve">In simple terms, the simulation framework is a two-stage bootstrap that first resamples hauls, then resamples lengths and ages collected within the resampled hauls following from the methods in</w:t>
      </w:r>
      <w:r>
        <w:t xml:space="preserve"> </w:t>
      </w:r>
      <w:r>
        <w:t xml:space="preserve">Stewart and Hamel (2014)</w:t>
      </w:r>
      <w:r>
        <w:t xml:space="preserve">.</w:t>
      </w:r>
      <w:r>
        <w:t xml:space="preserve"> </w:t>
      </w:r>
      <w:r>
        <w:t xml:space="preserve">The simulation framework was modified to account for ageing error by resampling from tester ages associated with a given reader age.</w:t>
      </w:r>
      <w:r>
        <w:t xml:space="preserve"> </w:t>
      </w:r>
      <w:r>
        <w:t xml:space="preserve">Growth variability was incorporated, for each species, by resampling fom all lengths associated with a given age and sex.</w:t>
      </w:r>
    </w:p>
    <w:p>
      <w:pPr>
        <w:pStyle w:val="BodyText"/>
      </w:pPr>
      <w:r>
        <w:t xml:space="preserve">The order of operations (Figure</w:t>
      </w:r>
      <w:r>
        <w:t xml:space="preserve"> </w:t>
      </w:r>
      <w:r>
        <w:t xml:space="preserve">1</w:t>
      </w:r>
      <w:r>
        <w:t xml:space="preserve"> </w:t>
      </w:r>
      <w:r>
        <w:t xml:space="preserve">has the following schedule:</w:t>
      </w:r>
    </w:p>
    <w:p>
      <w:pPr>
        <w:numPr>
          <w:ilvl w:val="0"/>
          <w:numId w:val="1001"/>
        </w:numPr>
        <w:pStyle w:val="Compact"/>
      </w:pPr>
      <w:r>
        <w:t xml:space="preserve">Resample hauls from the set of hauls with associated catch per unit effort (in numbers)</w:t>
      </w:r>
    </w:p>
    <w:p>
      <w:pPr>
        <w:numPr>
          <w:ilvl w:val="0"/>
          <w:numId w:val="1001"/>
        </w:numPr>
        <w:pStyle w:val="Compact"/>
      </w:pPr>
      <w:r>
        <w:t xml:space="preserve">Within the resampled hauls from step 1, resample the observed lengths</w:t>
      </w:r>
    </w:p>
    <w:p>
      <w:pPr>
        <w:numPr>
          <w:ilvl w:val="0"/>
          <w:numId w:val="1001"/>
        </w:numPr>
        <w:pStyle w:val="Compact"/>
      </w:pPr>
      <w:r>
        <w:t xml:space="preserve">With the resampled length frequency data from step 2, calculate population abundance-at-length</w:t>
      </w:r>
    </w:p>
    <w:p>
      <w:pPr>
        <w:numPr>
          <w:ilvl w:val="0"/>
          <w:numId w:val="1001"/>
        </w:numPr>
        <w:pStyle w:val="Compact"/>
      </w:pPr>
      <w:r>
        <w:t xml:space="preserve">Within the resampled hauls from step 1, resample the observed ages from the specimen data</w:t>
      </w:r>
    </w:p>
    <w:p>
      <w:pPr>
        <w:numPr>
          <w:ilvl w:val="0"/>
          <w:numId w:val="1001"/>
        </w:numPr>
        <w:pStyle w:val="Compact"/>
      </w:pPr>
      <w:r>
        <w:t xml:space="preserve">For the resampled ages in step 4, resample a length from the set of lengths observed for the given age</w:t>
      </w:r>
    </w:p>
    <w:p>
      <w:pPr>
        <w:numPr>
          <w:ilvl w:val="0"/>
          <w:numId w:val="1001"/>
        </w:numPr>
        <w:pStyle w:val="Compact"/>
      </w:pPr>
      <w:r>
        <w:t xml:space="preserve">For the resampled ages in step 4, resample an age from the set of tester ages for the given age</w:t>
      </w:r>
    </w:p>
    <w:p>
      <w:pPr>
        <w:numPr>
          <w:ilvl w:val="0"/>
          <w:numId w:val="1001"/>
        </w:numPr>
        <w:pStyle w:val="Compact"/>
      </w:pPr>
      <w:r>
        <w:t xml:space="preserve">With the resampled age data in steps 4-6 and the population abundance-at-length in step 3, calculate the population abundance-at-age</w:t>
      </w:r>
    </w:p>
    <w:p>
      <w:pPr>
        <w:pStyle w:val="FirstParagraph"/>
      </w:pPr>
      <w:r>
        <w:t xml:space="preserve">Steps 5 and 6 were designed to explore inclusion of ageing error and growth variability.</w:t>
      </w:r>
      <w:r>
        <w:t xml:space="preserve"> </w:t>
      </w:r>
      <w:r>
        <w:t xml:space="preserve">The bootstrap-simulation repeats steps 1-7 iteratively providing iterated population abundance-at-age for comparison to the historical (the full sample without any resampling of data) population abundance-at-age.</w:t>
      </w:r>
    </w:p>
    <w:p>
      <w:pPr>
        <w:pStyle w:val="BodyText"/>
      </w:pPr>
      <w:r>
        <w:t xml:space="preserve">We applied the bootstrap-simulation in a step-wise manner to evaluate the consequences of adding each source of additional error to the age composition estimates across what we term</w:t>
      </w:r>
      <w:r>
        <w:t xml:space="preserve"> </w:t>
      </w:r>
      <w:r>
        <w:t xml:space="preserve">‘</w:t>
      </w:r>
      <w:r>
        <w:t xml:space="preserve">uncertainty scenarios</w:t>
      </w:r>
      <w:r>
        <w:t xml:space="preserve">’</w:t>
      </w:r>
      <w:r>
        <w:t xml:space="preserve">.</w:t>
      </w:r>
      <w:r>
        <w:t xml:space="preserve"> </w:t>
      </w:r>
      <w:r>
        <w:t xml:space="preserve">First, we ran the bootstrap-simulation with the historical data without adding any extra error, thus, omitting steps 5 and 6 above (</w:t>
      </w:r>
      <w:r>
        <w:t xml:space="preserve">‘</w:t>
      </w:r>
      <w:r>
        <w:t xml:space="preserve">Base</w:t>
      </w:r>
      <w:r>
        <w:t xml:space="preserve">’</w:t>
      </w:r>
      <w:r>
        <w:t xml:space="preserve"> </w:t>
      </w:r>
      <w:r>
        <w:t xml:space="preserve">scenario).</w:t>
      </w:r>
      <w:r>
        <w:t xml:space="preserve"> </w:t>
      </w:r>
      <w:r>
        <w:t xml:space="preserve">Next, we added ageing error (</w:t>
      </w:r>
      <w:r>
        <w:t xml:space="preserve">‘</w:t>
      </w:r>
      <w:r>
        <w:t xml:space="preserve">AE</w:t>
      </w:r>
      <w:r>
        <w:t xml:space="preserve">’</w:t>
      </w:r>
      <w:r>
        <w:t xml:space="preserve"> </w:t>
      </w:r>
      <w:r>
        <w:t xml:space="preserve">scenario) and growth variability (</w:t>
      </w:r>
      <w:r>
        <w:t xml:space="preserve">‘</w:t>
      </w:r>
      <w:r>
        <w:t xml:space="preserve">GV</w:t>
      </w:r>
      <w:r>
        <w:t xml:space="preserve">’</w:t>
      </w:r>
      <w:r>
        <w:t xml:space="preserve"> </w:t>
      </w:r>
      <w:r>
        <w:t xml:space="preserve">scenario) separately, thus, omitting either step 5 or 6 depending on the source of uncertainty desired.</w:t>
      </w:r>
      <w:r>
        <w:t xml:space="preserve"> </w:t>
      </w:r>
      <w:r>
        <w:t xml:space="preserve">Finally, we added both ageing error and growth variability (</w:t>
      </w:r>
      <w:r>
        <w:t xml:space="preserve">‘</w:t>
      </w:r>
      <w:r>
        <w:t xml:space="preserve">AE &amp; GV</w:t>
      </w:r>
      <w:r>
        <w:t xml:space="preserve">’</w:t>
      </w:r>
      <w:r>
        <w:t xml:space="preserve"> </w:t>
      </w:r>
      <w:r>
        <w:t xml:space="preserve">scenario) to the bootstrap-simulation framework.</w:t>
      </w:r>
      <w:r>
        <w:t xml:space="preserve"> </w:t>
      </w:r>
      <w:r>
        <w:t xml:space="preserve">To increase reader-tester sample sizes for each species, we pooled reader-tester data across the three regions (we note that age readings for all three regions are produced in the same age reading laboratory at AFSC).</w:t>
      </w:r>
      <w:r>
        <w:t xml:space="preserve"> </w:t>
      </w:r>
      <w:r>
        <w:t xml:space="preserve">Sex-specific age-length pairs were pooled across all survey years, by region, in order to evaluate the maximum influence of growth variability on the replicated sex-specific age composition estimates.</w:t>
      </w:r>
      <w:r>
        <w:t xml:space="preserve"> </w:t>
      </w:r>
      <w:r>
        <w:t xml:space="preserve">The bootstrap-simulations were run for 500 iterations, a level at which the variability in population abundance-at-age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https://github.com/BenWilliams-NOAA/surveyISS</w:t>
        </w:r>
      </w:hyperlink>
      <w:r>
        <w:t xml:space="preserve">).</w:t>
      </w:r>
    </w:p>
    <w:bookmarkEnd w:id="25"/>
    <w:bookmarkStart w:id="26" w:name="computing-input-sample-size"/>
    <w:p>
      <w:pPr>
        <w:pStyle w:val="Heading2"/>
      </w:pPr>
      <w:r>
        <w:t xml:space="preserve">Computing input sample size</w:t>
      </w:r>
    </w:p>
    <w:p>
      <w:pPr>
        <w:pStyle w:val="FirstParagraph"/>
      </w:pPr>
      <w:r>
        <w:t xml:space="preserve">A useful statistic that can quantify the variability in age composition is relative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sSub>
            <m:e>
              <m:r>
                <m:t>R</m:t>
              </m:r>
            </m:e>
            <m:sub>
              <m:r>
                <m:t>i</m:t>
              </m:r>
            </m:sub>
          </m:sSub>
          <m:r>
            <m:rPr>
              <m:sty m:val="p"/>
            </m:rPr>
            <m:t>=</m:t>
          </m:r>
          <m:f>
            <m:fPr>
              <m:type m:val="bar"/>
            </m:fPr>
            <m:num>
              <m:nary>
                <m:naryPr>
                  <m:chr m:val="∑"/>
                  <m:limLoc m:val="undOvr"/>
                  <m:subHide m:val="0"/>
                  <m:supHide m:val="0"/>
                </m:naryPr>
                <m:sub>
                  <m:r>
                    <m:t>c</m:t>
                  </m:r>
                  <m:r>
                    <m:rPr>
                      <m:sty m:val="p"/>
                    </m:rPr>
                    <m:t>=</m:t>
                  </m:r>
                  <m:r>
                    <m:t>1</m:t>
                  </m:r>
                </m:sub>
                <m:sup>
                  <m:r>
                    <m:t>C</m:t>
                  </m:r>
                </m:sup>
                <m:e>
                  <m:sSub>
                    <m:e>
                      <m:r>
                        <m:t>E</m:t>
                      </m:r>
                    </m:e>
                    <m:sub>
                      <m:r>
                        <m:t>c</m:t>
                      </m:r>
                      <m:r>
                        <m:rPr>
                          <m:sty m:val="p"/>
                        </m:rPr>
                        <m:t>,</m:t>
                      </m:r>
                      <m:r>
                        <m:t>i</m:t>
                      </m:r>
                    </m:sub>
                  </m:sSub>
                </m:e>
              </m:nary>
              <m:d>
                <m:dPr>
                  <m:begChr m:val="("/>
                  <m:endChr m:val=")"/>
                  <m:sepChr m:val=""/>
                  <m:grow/>
                </m:dPr>
                <m:e>
                  <m:r>
                    <m:t>1</m:t>
                  </m:r>
                  <m:r>
                    <m:rPr>
                      <m:sty m:val="p"/>
                    </m:rPr>
                    <m:t>−</m:t>
                  </m:r>
                  <m:sSub>
                    <m:e>
                      <m:r>
                        <m:t>E</m:t>
                      </m:r>
                    </m:e>
                    <m:sub>
                      <m:r>
                        <m:t>c</m:t>
                      </m:r>
                      <m:r>
                        <m:rPr>
                          <m:sty m:val="p"/>
                        </m:rPr>
                        <m:t>,</m:t>
                      </m:r>
                      <m:r>
                        <m:t>i</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r>
                                <m:rPr>
                                  <m:sty m:val="p"/>
                                </m:rPr>
                                <m:t>,</m:t>
                              </m:r>
                              <m:r>
                                <m:t>i</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r>
              <m:rPr>
                <m:sty m:val="p"/>
              </m:rPr>
              <m:t>,</m:t>
            </m:r>
            <m:r>
              <m:t>i</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Here, the underlying age composition derived from the historical bottom trawl surveys with the full and unsampled data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w:t>
      </w:r>
      <w:r>
        <w:rPr>
          <w:iCs/>
          <w:i/>
        </w:rPr>
        <w:t xml:space="preserve">i</w:t>
      </w:r>
      <w:r>
        <w:t xml:space="preserve"> </w:t>
      </w:r>
      <w:r>
        <w:t xml:space="preserve">of the bootstrap-simulation we computed an estimated proportion (</w:t>
      </w:r>
      <m:oMath>
        <m:sSub>
          <m:e>
            <m:r>
              <m:t>E</m:t>
            </m:r>
          </m:e>
          <m:sub>
            <m:r>
              <m:t>c</m:t>
            </m:r>
            <m:r>
              <m:rPr>
                <m:sty m:val="p"/>
              </m:rPr>
              <m:t>,</m:t>
            </m:r>
            <m:r>
              <m:t>i</m:t>
            </m:r>
          </m:sub>
        </m:sSub>
      </m:oMath>
      <w:r>
        <w:t xml:space="preserve">) that was then compared to the underlying historical age composition (</w:t>
      </w:r>
      <m:oMath>
        <m:sSub>
          <m:e>
            <m:r>
              <m:t>O</m:t>
            </m:r>
          </m:e>
          <m:sub>
            <m:r>
              <m:t>c</m:t>
            </m:r>
          </m:sub>
        </m:sSub>
      </m:oMath>
      <w:r>
        <w:t xml:space="preserve">) to determine the relative sample size (</w:t>
      </w:r>
      <m:oMath>
        <m:sSub>
          <m:e>
            <m:r>
              <m:t>R</m:t>
            </m:r>
          </m:e>
          <m:sub>
            <m:r>
              <m:t>i</m:t>
            </m:r>
          </m:sub>
        </m:sSub>
      </m:oMath>
      <w:r>
        <w:t xml:space="preserve">) of the resampled age composition.</w:t>
      </w:r>
      <w:r>
        <w:t xml:space="preserve"> </w:t>
      </w:r>
      <w:r>
        <w:t xml:space="preserve">Thus, across each iteration of the bootstrap-simulation we computed a relative sample size that indicated the amount of uncertainty in the resampled age composition.</w:t>
      </w:r>
    </w:p>
    <w:p>
      <w:pPr>
        <w:pStyle w:val="BodyText"/>
      </w:pPr>
      <w:r>
        <w:t xml:space="preserve">To summarize relative sample size across iterations we used the harmonic mean.</w:t>
      </w:r>
      <w:r>
        <w:t xml:space="preserve"> </w:t>
      </w:r>
      <w:r>
        <w:t xml:space="preserve">This has been shown to reduce bias in recovering the true sample size in simulations for a multinomial distribution and has also been recommended to determine the input sample size (ISS) that is used in stock assessment models to fit compositional data</w:t>
      </w:r>
      <w:r>
        <w:t xml:space="preserve"> </w:t>
      </w:r>
      <w:r>
        <w:t xml:space="preserve">(Stewart and Hamel 2014)</w:t>
      </w:r>
      <w:r>
        <w:t xml:space="preserve">.</w:t>
      </w:r>
      <w:r>
        <w:t xml:space="preserve"> </w:t>
      </w:r>
      <w:r>
        <w:t xml:space="preserve">While we present the results of the annual ISS for each stock evaluated when incorporating ageing error, growth variability, or both, we also compute the proportion of</w:t>
      </w:r>
      <w:r>
        <w:t xml:space="preserve"> </w:t>
      </w:r>
      <w:r>
        <w:t xml:space="preserve">‘</w:t>
      </w:r>
      <w:r>
        <w:t xml:space="preserve">base</w:t>
      </w:r>
      <w:r>
        <w:t xml:space="preserve">’</w:t>
      </w:r>
      <w:r>
        <w:t xml:space="preserve"> </w:t>
      </w:r>
      <w:r>
        <w:t xml:space="preserve">ISS in order to present the relative decrease in ISS when incorporating these sources of additional uncertainty.</w:t>
      </w:r>
      <w:r>
        <w:t xml:space="preserve"> </w:t>
      </w:r>
      <w:r>
        <w:t xml:space="preserve">The</w:t>
      </w:r>
      <w:r>
        <w:t xml:space="preserve"> </w:t>
      </w:r>
      <w:r>
        <w:t xml:space="preserve">‘</w:t>
      </w:r>
      <w:r>
        <w:t xml:space="preserve">relative ISS</w:t>
      </w:r>
      <w:r>
        <w:t xml:space="preserve">’</w:t>
      </w:r>
      <w:r>
        <w:t xml:space="preserve"> </w:t>
      </w:r>
      <w:r>
        <w:t xml:space="preserve">is computed by dividing the ISS as determined after incorporating ageing error, growth variability, or both, by the base ISS without these sources of uncertainty.</w:t>
      </w:r>
    </w:p>
    <w:bookmarkEnd w:id="26"/>
    <w:bookmarkStart w:id="27" w:name="Xe65babd8f99318cbb49fcc1e256a898e8b1eae7"/>
    <w:p>
      <w:pPr>
        <w:pStyle w:val="Heading2"/>
      </w:pPr>
      <w:r>
        <w:t xml:space="preserve">Evaluating life-history relationships to consequences of added uncertainty</w:t>
      </w:r>
    </w:p>
    <w:p>
      <w:pPr>
        <w:pStyle w:val="FirstParagraph"/>
      </w:pPr>
      <w:r>
        <w:t xml:space="preserve">Trends across stocks were aggregated and evaluated using three species types: flatfish (arrowtooth flounder, flathead sole, northern rock sole, and yellowfin sole), gadids (walleye pollock and Pacific cod), and rockfish (Pacific ocean perch and northern rockfish).</w:t>
      </w:r>
      <w:r>
        <w:t xml:space="preserve"> </w:t>
      </w:r>
      <w:r>
        <w:t xml:space="preserve">Two statistics were used to evaluate trends across the cases that added ageing error and growth variability.</w:t>
      </w:r>
      <w:r>
        <w:t xml:space="preserve"> </w:t>
      </w:r>
      <w:r>
        <w:t xml:space="preserve">The first statistic we used to evaluate the influence of adding ageing error was the average coefficient of variation (CV) in age agreement.</w:t>
      </w:r>
      <w:r>
        <w:t xml:space="preserve"> </w:t>
      </w:r>
      <w:r>
        <w:t xml:space="preserve">We computed this by computing the CV in the tester ages for a given reader age, then averaged these CVs across the reader ages.</w:t>
      </w:r>
      <w:r>
        <w:t xml:space="preserve"> </w:t>
      </w:r>
      <w:r>
        <w:t xml:space="preserve">The second statistic we used to evaluate the influence of adding growth variability was the average CV in age-length data.</w:t>
      </w:r>
      <w:r>
        <w:t xml:space="preserve"> </w:t>
      </w:r>
      <w:r>
        <w:t xml:space="preserve">We computed the average age-length CV by computing the CV in length for a given age, then averaging the CVs in length-at-age across age.</w:t>
      </w:r>
    </w:p>
    <w:bookmarkEnd w:id="27"/>
    <w:bookmarkEnd w:id="28"/>
    <w:bookmarkStart w:id="29" w:name="results"/>
    <w:p>
      <w:pPr>
        <w:pStyle w:val="Heading1"/>
      </w:pPr>
      <w:r>
        <w:t xml:space="preserve">Results</w:t>
      </w:r>
    </w:p>
    <w:p>
      <w:pPr>
        <w:pStyle w:val="FirstParagraph"/>
      </w:pPr>
      <w:r>
        <w:t xml:space="preserve">While the magnitude of age composition ISS was stock and region specific, the general result that was consistent across the stocks evaluated was a reduction in age composition ISS as additional sources of uncertainty were introduced in the bootstrap procedure (Figure</w:t>
      </w:r>
      <w:r>
        <w:t xml:space="preserve"> </w:t>
      </w:r>
      <w:r>
        <w:t xml:space="preserve">2</w:t>
      </w:r>
      <w:r>
        <w:t xml:space="preserve">).</w:t>
      </w:r>
      <w:r>
        <w:t xml:space="preserve"> </w:t>
      </w:r>
      <w:r>
        <w:t xml:space="preserve">This reduction in age composition ISS resulted for both sex-specific and total (combined sex) age composition ISS.</w:t>
      </w:r>
      <w:r>
        <w:t xml:space="preserve"> </w:t>
      </w:r>
      <w:r>
        <w:t xml:space="preserve">The relative magnitude of adding ageing error compared to growth variability was also stock and region specific.</w:t>
      </w:r>
      <w:r>
        <w:t xml:space="preserve"> </w:t>
      </w:r>
      <w:r>
        <w:t xml:space="preserve">For example, adding ageing error to arrowtooth flounder age data resulted in smaller ISS than adding growth variability in the GOA, but larger ISS in the EBS.</w:t>
      </w:r>
      <w:r>
        <w:t xml:space="preserve"> </w:t>
      </w:r>
      <w:r>
        <w:t xml:space="preserve">Variability in the age composition ISS across the scenarios evaluated was also stock and region specific, with Pacific cod and walleye pollock in the EBS having the greatest reduction in ISS and AI Atka mackerel having the least.</w:t>
      </w:r>
    </w:p>
    <w:p>
      <w:pPr>
        <w:pStyle w:val="BodyText"/>
      </w:pPr>
      <w:r>
        <w:t xml:space="preserve">The age composition relative ISS across uncertainty scenarios revealed patterns across species types within each region evaluated (Figure</w:t>
      </w:r>
      <w:r>
        <w:t xml:space="preserve"> </w:t>
      </w:r>
      <w:r>
        <w:t xml:space="preserve">3</w:t>
      </w:r>
      <w:r>
        <w:t xml:space="preserve">).</w:t>
      </w:r>
      <w:r>
        <w:t xml:space="preserve"> </w:t>
      </w:r>
      <w:r>
        <w:t xml:space="preserve">Including ageing error for rockfish had a larger proportional reduction in relative ISS than including growth variability.</w:t>
      </w:r>
      <w:r>
        <w:t xml:space="preserve"> </w:t>
      </w:r>
      <w:r>
        <w:t xml:space="preserve">However, growth variability had a larger proportional reduction for flatfish and gadid relative ISS than adding ageing error.</w:t>
      </w:r>
      <w:r>
        <w:t xml:space="preserve"> </w:t>
      </w:r>
      <w:r>
        <w:t xml:space="preserve">Flatfish exhibited the greatest variability in the proportional reduction in relative ISS in any given region, while gadids had the smallest relative ISS, in general.</w:t>
      </w:r>
      <w:r>
        <w:t xml:space="preserve"> </w:t>
      </w:r>
      <w:r>
        <w:t xml:space="preserve">For example, after adding ageing error and growth variability the relative ISS for gadid was 85-95% in the AI, 40-50% in the EBS, and 70-80% in the GOA (Figure</w:t>
      </w:r>
      <w:r>
        <w:t xml:space="preserve"> </w:t>
      </w:r>
      <w:r>
        <w:t xml:space="preserve">3</w:t>
      </w:r>
      <w:r>
        <w:t xml:space="preserve">).</w:t>
      </w:r>
      <w:r>
        <w:t xml:space="preserve"> </w:t>
      </w:r>
      <w:r>
        <w:t xml:space="preserve">Overall, adding both ageing error and growth variability decreased the relative ISS to 50-90% of the Base ISS for flatfish, 40-90% for gadids, and 80-95% for rockfish.</w:t>
      </w:r>
    </w:p>
    <w:p>
      <w:pPr>
        <w:pStyle w:val="BodyText"/>
      </w:pPr>
      <w:r>
        <w:t xml:space="preserve">A positive relationship is observed, by species group, between the number of age samples taken per haul and the age composition ISS per sampled haul (top panel of Figure</w:t>
      </w:r>
      <w:r>
        <w:t xml:space="preserve"> </w:t>
      </w:r>
      <w:r>
        <w:t xml:space="preserve">4</w:t>
      </w:r>
      <w:r>
        <w:t xml:space="preserve">).</w:t>
      </w:r>
      <w:r>
        <w:t xml:space="preserve"> </w:t>
      </w:r>
      <w:r>
        <w:t xml:space="preserve">However, as sources of uncertainty were added to age data this positive trend was dampened for each species type; this was particularly true for gadids as compared to flatfish and rockfish.</w:t>
      </w:r>
      <w:r>
        <w:t xml:space="preserve"> </w:t>
      </w:r>
      <w:r>
        <w:t xml:space="preserve">Across species types the age composition ISS per haul was around half of the number of sampled ages per haul, less for rockfish and gadids.</w:t>
      </w:r>
      <w:r>
        <w:t xml:space="preserve"> </w:t>
      </w:r>
      <w:r>
        <w:t xml:space="preserve">The age composition ISS per haul was, on average, the largest for flatfish, followed by rockfish, and was the smallest for gadids (bottom panel of Figure</w:t>
      </w:r>
      <w:r>
        <w:t xml:space="preserve"> </w:t>
      </w:r>
      <w:r>
        <w:t xml:space="preserve">4</w:t>
      </w:r>
      <w:r>
        <w:t xml:space="preserve">).</w:t>
      </w:r>
      <w:r>
        <w:t xml:space="preserve"> </w:t>
      </w:r>
      <w:r>
        <w:t xml:space="preserve">The variability in the age composition ISS per haul across years, regions, and sex categories was also the largest for flatfish compared to gadids and rockfish.</w:t>
      </w:r>
    </w:p>
    <w:p>
      <w:pPr>
        <w:pStyle w:val="BodyText"/>
      </w:pPr>
      <w:r>
        <w:t xml:space="preserve">Comparing between statistics for ageing error and growth variability resulted in different trends in the relative ISS by species types (top panels of Figure</w:t>
      </w:r>
      <w:r>
        <w:t xml:space="preserve"> </w:t>
      </w:r>
      <w:r>
        <w:t xml:space="preserve">5</w:t>
      </w:r>
      <w:r>
        <w:t xml:space="preserve">).</w:t>
      </w:r>
      <w:r>
        <w:t xml:space="preserve"> </w:t>
      </w:r>
      <w:r>
        <w:t xml:space="preserve">The relative ISS when adding ageing error was similar when compared to the average reader-tester CV between gadids and rockfish, with lower variability for rockfish (top left panel of Figure</w:t>
      </w:r>
      <w:r>
        <w:t xml:space="preserve"> </w:t>
      </w:r>
      <w:r>
        <w:t xml:space="preserve">5</w:t>
      </w:r>
      <w:r>
        <w:t xml:space="preserve">).</w:t>
      </w:r>
      <w:r>
        <w:t xml:space="preserve"> </w:t>
      </w:r>
      <w:r>
        <w:t xml:space="preserve">While the range in average reader-tester CV was smaller for rockfish and gadids than for flatfish, the resulting range in relative ISS was larger for gadids than rockfish or flatfish.</w:t>
      </w:r>
      <w:r>
        <w:t xml:space="preserve"> </w:t>
      </w:r>
      <w:r>
        <w:t xml:space="preserve">The relative ISS when adding growth variability resulted in the smallest range in both ISS reduction and average age-length CV for rockfish, though flatfish and gadid had a larger CV spread (top right panel of Figure</w:t>
      </w:r>
      <w:r>
        <w:t xml:space="preserve"> </w:t>
      </w:r>
      <w:r>
        <w:t xml:space="preserve">5</w:t>
      </w:r>
      <w:r>
        <w:t xml:space="preserve">).</w:t>
      </w:r>
      <w:r>
        <w:t xml:space="preserve"> </w:t>
      </w:r>
      <w:r>
        <w:t xml:space="preserve">On average, the relative ISS when adding both ageing error and growth variability was largest for rockfish, intermediate for flatfish, and smallest for gadids (bottom panel of Figure</w:t>
      </w:r>
      <w:r>
        <w:t xml:space="preserve"> </w:t>
      </w:r>
      <w:r>
        <w:t xml:space="preserve">5</w:t>
      </w:r>
      <w:r>
        <w:t xml:space="preserve">).</w:t>
      </w:r>
      <w:r>
        <w:t xml:space="preserve"> </w:t>
      </w:r>
      <w:r>
        <w:t xml:space="preserve">The same trend resulted when evaluating the range in the relative ISS when both ageing error and growth variability were added.</w:t>
      </w:r>
    </w:p>
    <w:bookmarkEnd w:id="29"/>
    <w:bookmarkStart w:id="30" w:name="discussion"/>
    <w:p>
      <w:pPr>
        <w:pStyle w:val="Heading1"/>
      </w:pPr>
      <w:r>
        <w:t xml:space="preserve">Discussion</w:t>
      </w:r>
    </w:p>
    <w:p>
      <w:pPr>
        <w:pStyle w:val="FirstParagraph"/>
      </w:pPr>
      <w:r>
        <w:t xml:space="preserve">In this study we find that accounting for ageing error and growth variability using bootstrap procedures decreased age composition ISS for all stocks examined.</w:t>
      </w:r>
      <w:r>
        <w:t xml:space="preserve"> </w:t>
      </w:r>
      <w:r>
        <w:t xml:space="preserve">The impact of the sources of uncertainty on resulting ISS was species type specific, with ageing error being more influential for rockfish than growth variability, and growth variability more influential than ageing error for flatfish and gadids.</w:t>
      </w:r>
      <w:r>
        <w:t xml:space="preserve"> </w:t>
      </w:r>
      <w:r>
        <w:t xml:space="preserve">We propose that these results are due to larger growth variability observed in gadids and flatfish compared to rockfish.</w:t>
      </w:r>
      <w:r>
        <w:t xml:space="preserve"> </w:t>
      </w:r>
      <w:r>
        <w:t xml:space="preserve">Further, the effects of ageing error are not unexpected for rockfish, as they are so long-lived.</w:t>
      </w:r>
      <w:r>
        <w:t xml:space="preserve"> </w:t>
      </w:r>
      <w:r>
        <w:t xml:space="preserve">However, the average CV for reader-tester agreement was much larger for some flatfish stocks relative to the rockfish stocks evaluated, thus, there was some interaction between the number of age bins and ISS in this analysis.</w:t>
      </w:r>
      <w:r>
        <w:t xml:space="preserve"> </w:t>
      </w:r>
      <w:r>
        <w:t xml:space="preserve">When considering both ageing error and growth uncertainty the largest reduction in ISS magnitude was for gadids, followed by flatfish, with the least effect observed for rockfish, though results varies by stock and region.</w:t>
      </w:r>
    </w:p>
    <w:p>
      <w:pPr>
        <w:pStyle w:val="BodyText"/>
      </w:pPr>
      <w:r>
        <w:t xml:space="preserve">Understanding effects of survey reduction effort has recently been the focus of a number of studies</w:t>
      </w:r>
      <w:r>
        <w:t xml:space="preserve"> </w:t>
      </w:r>
      <w:r>
        <w:t xml:space="preserve">(ICES 2020, 2023)</w:t>
      </w:r>
      <w:r>
        <w:t xml:space="preserve">, as survey reductions may be inevitable in many regions.</w:t>
      </w:r>
      <w:r>
        <w:t xml:space="preserve"> </w:t>
      </w:r>
      <w:r>
        <w:t xml:space="preserve">A recent study investigated the reductions in length frequency and age collection effort, using AFSC bottom trawl survey as example</w:t>
      </w:r>
      <w:r>
        <w:t xml:space="preserve"> </w:t>
      </w:r>
      <w:r>
        <w:t xml:space="preserve">(Hulson et al. in review)</w:t>
      </w:r>
      <w:r>
        <w:t xml:space="preserve"> </w:t>
      </w:r>
      <w:r>
        <w:t xml:space="preserve">and found that reduction in age collections had larger effect on flatfish and rockfish as compared to gadids.</w:t>
      </w:r>
      <w:r>
        <w:t xml:space="preserve"> </w:t>
      </w:r>
      <w:r>
        <w:t xml:space="preserve">Here we find that including additional sources of uncertainty has largest effect on gadids, and smallest on rockfish, and it is potentially the case that the effect of decreases in sampling effort for gadids and flatfish would be smaller given the magnitude of effect by these sources of uncertainty as compared to rockfish.</w:t>
      </w:r>
      <w:r>
        <w:t xml:space="preserve"> </w:t>
      </w:r>
      <w:r>
        <w:t xml:space="preserve">However, we acknowledge that this should be evaluated in future studies to understand the specific effects on stocks and when comparing among species types.</w:t>
      </w:r>
    </w:p>
    <w:p>
      <w:pPr>
        <w:pStyle w:val="BodyText"/>
      </w:pPr>
      <w:r>
        <w:t xml:space="preserve">It is well known that misspecification of ISS when fitting compositional data can lead to bias results in assessment model predictions</w:t>
      </w:r>
      <w:r>
        <w:t xml:space="preserve"> </w:t>
      </w:r>
      <w:r>
        <w:t xml:space="preserve">(e.g., Stewart and Monnahan 2017, Xu et al. 2020)</w:t>
      </w:r>
      <w:r>
        <w:t xml:space="preserve">.</w:t>
      </w:r>
      <w:r>
        <w:t xml:space="preserve"> </w:t>
      </w:r>
      <w:r>
        <w:t xml:space="preserve">Here we show for gadids that there is upwards of a 50% decrease in ISS for some stocks when adding additional uncertainty as compared to the base case, an upwards of 40% decrease for flatfish, and an upwards of 20% decrease for rockfish.</w:t>
      </w:r>
      <w:r>
        <w:t xml:space="preserve"> </w:t>
      </w:r>
      <w:r>
        <w:t xml:space="preserve">Without these additional sources of uncertainty taken into account, using the bootstrap procedure would result in ISS that are larger than what they should be.</w:t>
      </w:r>
      <w:r>
        <w:t xml:space="preserve"> </w:t>
      </w:r>
      <w:r>
        <w:t xml:space="preserve">While we did not investigate implications to specific assessment model outcomes, it can be inferred that reductions of ISS on this scale would have downstream effects on model predictions and the associated uncertainty.</w:t>
      </w:r>
      <w:r>
        <w:t xml:space="preserve"> </w:t>
      </w:r>
      <w:r>
        <w:t xml:space="preserve">We note that these sources of uncertainty would not be contained only to fishery-independent sources, like evaluated here, but would also be inherent to age collections for fishery-dependent sources as well.</w:t>
      </w:r>
      <w:r>
        <w:t xml:space="preserve"> </w:t>
      </w:r>
      <w:r>
        <w:t xml:space="preserve">Thus, future investigations into the impacts of adding ageing error and growth variability into ISS estimation on assessment model results should also include fishery-dependent ISS implications as well.</w:t>
      </w:r>
    </w:p>
    <w:p>
      <w:pPr>
        <w:pStyle w:val="BodyText"/>
      </w:pPr>
      <w:r>
        <w:t xml:space="preserve">A number of operational assessment models use hauls as a proxy in some form when setting ISS for age and length composition data</w:t>
      </w:r>
      <w:r>
        <w:t xml:space="preserve"> </w:t>
      </w:r>
      <w:r>
        <w:t xml:space="preserve">Hulson et al. (2021)</w:t>
      </w:r>
      <w:r>
        <w:t xml:space="preserve">.</w:t>
      </w:r>
      <w:r>
        <w:t xml:space="preserve"> </w:t>
      </w:r>
      <w:r>
        <w:t xml:space="preserve">This is derived from a result found in</w:t>
      </w:r>
      <w:r>
        <w:t xml:space="preserve"> </w:t>
      </w:r>
      <w:r>
        <w:t xml:space="preserve">Pennington et al. (2002)</w:t>
      </w:r>
      <w:r>
        <w:t xml:space="preserve"> </w:t>
      </w:r>
      <w:r>
        <w:t xml:space="preserve">who investigated length frequency sampling and, based on the level of intra-haul correlation, determined that for the species that were investigated, on average, the ISS was one fish per haul</w:t>
      </w:r>
      <w:r>
        <w:t xml:space="preserve"> </w:t>
      </w:r>
      <w:r>
        <w:t xml:space="preserve">However, we note that the conclusion made in</w:t>
      </w:r>
      <w:r>
        <w:t xml:space="preserve"> </w:t>
      </w:r>
      <w:r>
        <w:t xml:space="preserve">Pennington et al. (2002)</w:t>
      </w:r>
      <w:r>
        <w:t xml:space="preserve"> </w:t>
      </w:r>
      <w:r>
        <w:t xml:space="preserve">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t xml:space="preserve"> </w:t>
      </w:r>
      <w:r>
        <w:t xml:space="preserve">This result was further substantiated in</w:t>
      </w:r>
      <w:r>
        <w:t xml:space="preserve"> </w:t>
      </w:r>
      <w:r>
        <w:t xml:space="preserve">Siskey et al. (2023)</w:t>
      </w:r>
      <w:r>
        <w:t xml:space="preserve">, who also suggested that increasing the number of hauls while decreasing the sampling effort on any given haul was preferable to increasing the sampling effort within any given haul at the expense of sampling from a greater number of hauls.</w:t>
      </w:r>
      <w:r>
        <w:t xml:space="preserve"> </w:t>
      </w:r>
      <w:r>
        <w:t xml:space="preserve">Here we find that the age composition ISS per haul was dependent on the species type, had a large range depending on the type of error included in determining ISS, and was generally larger than one fish per haul.</w:t>
      </w:r>
    </w:p>
    <w:p>
      <w:pPr>
        <w:pStyle w:val="BodyText"/>
      </w:pPr>
      <w:r>
        <w:t xml:space="preserve">Previous work has investigated both the inclusion of ageing error</w:t>
      </w:r>
      <w:r>
        <w:t xml:space="preserve"> </w:t>
      </w:r>
      <w:r>
        <w:t xml:space="preserve">(Punt et al. 2008, Liao et al. 2013)</w:t>
      </w:r>
      <w:r>
        <w:t xml:space="preserve"> </w:t>
      </w:r>
      <w:r>
        <w:t xml:space="preserve">and growth</w:t>
      </w:r>
      <w:r>
        <w:t xml:space="preserve"> </w:t>
      </w:r>
      <w:r>
        <w:t xml:space="preserve">(Taylor and Methot 2013)</w:t>
      </w:r>
      <w:r>
        <w:t xml:space="preserve"> </w:t>
      </w:r>
      <w:r>
        <w:t xml:space="preserve">within stock assessment models, however, none have applied these additional sources of uncertainty in the context of estimating ISS.</w:t>
      </w:r>
      <w:r>
        <w:t xml:space="preserve"> </w:t>
      </w:r>
      <w:r>
        <w:t xml:space="preserve">As it pertains to ageing error, in many current assessments an ageing error matrix is implemented</w:t>
      </w:r>
      <w:r>
        <w:t xml:space="preserve"> </w:t>
      </w:r>
      <w:r>
        <w:t xml:space="preserve">(e.g., Williams et al. 2022)</w:t>
      </w:r>
      <w:r>
        <w:t xml:space="preserve"> </w:t>
      </w:r>
      <w:r>
        <w:t xml:space="preserve">in order to account for ageing error that is inherent to the age composition data.</w:t>
      </w:r>
      <w:r>
        <w:t xml:space="preserve"> </w:t>
      </w:r>
      <w:r>
        <w:t xml:space="preserve">Use of an ageing error matrix effectively</w:t>
      </w:r>
      <w:r>
        <w:t xml:space="preserve"> </w:t>
      </w:r>
      <w:r>
        <w:t xml:space="preserve">‘</w:t>
      </w:r>
      <w:r>
        <w:t xml:space="preserve">smudges</w:t>
      </w:r>
      <w:r>
        <w:t xml:space="preserve">’</w:t>
      </w:r>
      <w:r>
        <w:t xml:space="preserve"> </w:t>
      </w:r>
      <w:r>
        <w:t xml:space="preserve">assessment model estimates of population-at-age into adjacent age classes prior to fitting the</w:t>
      </w:r>
      <w:r>
        <w:t xml:space="preserve"> </w:t>
      </w:r>
      <w:r>
        <w:t xml:space="preserve">‘</w:t>
      </w:r>
      <w:r>
        <w:t xml:space="preserve">observed</w:t>
      </w:r>
      <w:r>
        <w:t xml:space="preserve">’</w:t>
      </w:r>
      <w:r>
        <w:t xml:space="preserve"> </w:t>
      </w:r>
      <w:r>
        <w:t xml:space="preserve">age composition input data from either fishery-independent or fishery-dependent sources.</w:t>
      </w:r>
      <w:r>
        <w:t xml:space="preserve"> </w:t>
      </w:r>
      <w:r>
        <w:t xml:space="preserve">Then, in the model fitting step, an ISS is used to fit the models</w:t>
      </w:r>
      <w:r>
        <w:t xml:space="preserve"> </w:t>
      </w:r>
      <w:r>
        <w:t xml:space="preserve">‘</w:t>
      </w:r>
      <w:r>
        <w:t xml:space="preserve">smudged</w:t>
      </w:r>
      <w:r>
        <w:t xml:space="preserve">’</w:t>
      </w:r>
      <w:r>
        <w:t xml:space="preserve"> </w:t>
      </w:r>
      <w:r>
        <w:t xml:space="preserve">estimates of age composition to the</w:t>
      </w:r>
      <w:r>
        <w:t xml:space="preserve"> </w:t>
      </w:r>
      <w:r>
        <w:t xml:space="preserve">‘</w:t>
      </w:r>
      <w:r>
        <w:t xml:space="preserve">observed</w:t>
      </w:r>
      <w:r>
        <w:t xml:space="preserve">’</w:t>
      </w:r>
      <w:r>
        <w:t xml:space="preserve"> </w:t>
      </w:r>
      <w:r>
        <w:t xml:space="preserve">age composition.</w:t>
      </w:r>
      <w:r>
        <w:t xml:space="preserve"> </w:t>
      </w:r>
      <w:r>
        <w:t xml:space="preserve">Here we argue that unless ageing error is accounted for in the age composition ISS used to fit these data then we are likely</w:t>
      </w:r>
      <w:r>
        <w:t xml:space="preserve"> </w:t>
      </w:r>
      <w:r>
        <w:t xml:space="preserve">‘</w:t>
      </w:r>
      <w:r>
        <w:t xml:space="preserve">over-fitting</w:t>
      </w:r>
      <w:r>
        <w:t xml:space="preserve">’</w:t>
      </w:r>
      <w:r>
        <w:t xml:space="preserve"> </w:t>
      </w:r>
      <w:r>
        <w:t xml:space="preserve">the model estimates to the</w:t>
      </w:r>
      <w:r>
        <w:t xml:space="preserve"> </w:t>
      </w:r>
      <w:r>
        <w:t xml:space="preserve">‘</w:t>
      </w:r>
      <w:r>
        <w:t xml:space="preserve">observed</w:t>
      </w:r>
      <w:r>
        <w:t xml:space="preserve">’</w:t>
      </w:r>
      <w:r>
        <w:t xml:space="preserve"> </w:t>
      </w:r>
      <w:r>
        <w:t xml:space="preserve">age composition and that the use of only an ageing error matrix half-way accounts for this source of uncertainty in the assessment modeling process.</w:t>
      </w:r>
      <w:r>
        <w:t xml:space="preserve"> </w:t>
      </w:r>
      <w:r>
        <w:t xml:space="preserve">The results from this study suggest that in some cases the addition of ageing error to the bootstrap method decreases the age composition ISS by 20-40%, thus, an ISS that does not take into account this source of uncertainty can be 125-165% too large.</w:t>
      </w:r>
    </w:p>
    <w:p>
      <w:pPr>
        <w:pStyle w:val="BodyText"/>
      </w:pPr>
      <w:r>
        <w:t xml:space="preserve">It is commonly the case that age composition is produced through a two-stage expansion process</w:t>
      </w:r>
      <w:r>
        <w:t xml:space="preserve"> </w:t>
      </w:r>
      <w:r>
        <w:t xml:space="preserve">(Quinn and Deriso 1999)</w:t>
      </w:r>
      <w:r>
        <w:t xml:space="preserve">, in which length frequency data is expanded to population-at-length in the first stage, and an ALK is used to expand population-at-length to population-at-age in the second stage</w:t>
      </w:r>
      <w:r>
        <w:t xml:space="preserve"> </w:t>
      </w:r>
      <w:r>
        <w:t xml:space="preserve">(Ailloud and Hoenig 2019)</w:t>
      </w:r>
      <w:r>
        <w:t xml:space="preserve">.</w:t>
      </w:r>
      <w:r>
        <w:t xml:space="preserve"> </w:t>
      </w:r>
      <w:r>
        <w:t xml:space="preserve">In the second-stage of this expansion process, the ALK is produced through the use of age-length paired data that are obtained in the age sampling collection, and within the ALK the variability in length-at-age is implicitly accounted for.</w:t>
      </w:r>
      <w:r>
        <w:t xml:space="preserve"> </w:t>
      </w:r>
      <w:r>
        <w:t xml:space="preserve">However, there have been no previous attempts to include this source of variability when considering the ISS that is used to fit the expanded age composition data.</w:t>
      </w:r>
      <w:r>
        <w:t xml:space="preserve"> </w:t>
      </w:r>
      <w:r>
        <w:t xml:space="preserve">We find that the magnitude of effect on age composition ISS is species type dependent, in which a larger effect results for species that exhibit larger variability in growth, for example, gadids and flatfish compared to rockfish.</w:t>
      </w:r>
      <w:r>
        <w:t xml:space="preserve"> </w:t>
      </w:r>
      <w:r>
        <w:t xml:space="preserve">When implementing growth variability there was a 10-50% decrease in the magnitude of bootstrapped age composition ISS, thus, if not taking this source of uncertainty into account the ISS can be up to 200% too large.</w:t>
      </w:r>
    </w:p>
    <w:p>
      <w:pPr>
        <w:pStyle w:val="BodyText"/>
      </w:pPr>
      <w:r>
        <w:t xml:space="preserve">Overall, we find that expanding upon the method introduced by</w:t>
      </w:r>
      <w:r>
        <w:t xml:space="preserve"> </w:t>
      </w:r>
      <w:r>
        <w:t xml:space="preserve">Stewart and Monnahan (2017)</w:t>
      </w:r>
      <w:r>
        <w:t xml:space="preserve"> </w:t>
      </w:r>
      <w:r>
        <w:t xml:space="preserve">by including ageing error and growth variability into estimation of age composition ISS can have large effect in reducing the magnitude of ISS.</w:t>
      </w:r>
      <w:r>
        <w:t xml:space="preserve"> </w:t>
      </w:r>
      <w:r>
        <w:t xml:space="preserve">We provide two primary recommendations from this work.</w:t>
      </w:r>
      <w:r>
        <w:t xml:space="preserve"> </w:t>
      </w:r>
      <w:r>
        <w:t xml:space="preserve">First, we recommend that stock assessment scientists consider the use of bootstrap methods like this one</w:t>
      </w:r>
      <w:r>
        <w:t xml:space="preserve"> </w:t>
      </w:r>
      <w:r>
        <w:t xml:space="preserve">(which was developed from Stewart and Monnahan 2017)</w:t>
      </w:r>
      <w:r>
        <w:t xml:space="preserve"> </w:t>
      </w:r>
      <w:r>
        <w:t xml:space="preserve">to set and and length composition ISS.</w:t>
      </w:r>
      <w:r>
        <w:t xml:space="preserve"> </w:t>
      </w:r>
      <w:r>
        <w:t xml:space="preserve">With modern computing power, for a single species using the package we built (</w:t>
      </w:r>
      <w:hyperlink r:id="rId24">
        <w:r>
          <w:rPr>
            <w:rStyle w:val="Hyperlink"/>
          </w:rPr>
          <w:t xml:space="preserve">https://github.com/BenWilliams-NOAA/surveyISS</w:t>
        </w:r>
      </w:hyperlink>
      <w:r>
        <w:t xml:space="preserve">) it takes on the matter of a couple of hours to obtain both age and length composition bootstrap ISS for a historical survey time series (longer than 40 years in some cases); for a single year it takes a matter of minutes.</w:t>
      </w:r>
      <w:r>
        <w:t xml:space="preserve"> </w:t>
      </w:r>
      <w:r>
        <w:t xml:space="preserve">Second, for all estimates of age composition ISS we recommend implementing ageing error and growth variability to more explicitly and thoroughly take these sources of uncertainty into account in stock assessment models.</w:t>
      </w:r>
      <w:r>
        <w:t xml:space="preserve"> </w:t>
      </w:r>
      <w:r>
        <w:t xml:space="preserve">We note that while we used fishery-independent data here as an example, that these sources of uncertainty would also be inherent to fishery-dependent data.</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 We also thank all the AFSC survey staff who collected the data over the last 40 years used in this analysis.</w:t>
      </w:r>
    </w:p>
    <w:p>
      <w:r>
        <w:br w:type="page"/>
      </w:r>
    </w:p>
    <w:bookmarkEnd w:id="31"/>
    <w:bookmarkStart w:id="70" w:name="citations"/>
    <w:p>
      <w:pPr>
        <w:pStyle w:val="Heading1"/>
      </w:pPr>
      <w:r>
        <w:t xml:space="preserve">Citations</w:t>
      </w:r>
    </w:p>
    <w:bookmarkStart w:id="69"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3"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3"/>
    <w:bookmarkStart w:id="34" w:name="ref-Candy2012"/>
    <w:p>
      <w:pPr>
        <w:pStyle w:val="Bibliography"/>
      </w:pPr>
      <w:r>
        <w:t xml:space="preserve">Candy, S.G., Nowara, G.B., Welsford, D., and McKinlay, J.P. 2012. Estimating an ageing error matrix for patagonian toothfish (</w:t>
      </w:r>
      <w:r>
        <w:rPr>
          <w:iCs/>
          <w:i/>
        </w:rPr>
        <w:t xml:space="preserve">dissostichus eleginoides</w:t>
      </w:r>
      <w:r>
        <w:t xml:space="preserve">) otoliths using between-reader integer errors, readability scores, and continuation ratio models. Fisheries Research 115: 14–23.</w:t>
      </w:r>
    </w:p>
    <w:bookmarkEnd w:id="34"/>
    <w:bookmarkStart w:id="35" w:name="ref-Francis2017"/>
    <w:p>
      <w:pPr>
        <w:pStyle w:val="Bibliography"/>
      </w:pPr>
      <w:r>
        <w:t xml:space="preserve">Francis, R.I.C.C. 2017. Revisting data weighting in fisheries stock assessment models. Fisheries Research 192: 5–15.</w:t>
      </w:r>
    </w:p>
    <w:bookmarkEnd w:id="35"/>
    <w:bookmarkStart w:id="36" w:name="ref-Henriquez2016"/>
    <w:p>
      <w:pPr>
        <w:pStyle w:val="Bibliography"/>
      </w:pPr>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w:t>
      </w:r>
    </w:p>
    <w:bookmarkEnd w:id="36"/>
    <w:bookmarkStart w:id="37"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7"/>
    <w:bookmarkStart w:id="38" w:name="ref-Hulson2011"/>
    <w:p>
      <w:pPr>
        <w:pStyle w:val="Bibliography"/>
      </w:pPr>
      <w:r>
        <w:t xml:space="preserve">Hulson, P.-J.F., Hanselman, D.H., and Quinn, I., Terrance J. 2011.</w:t>
      </w:r>
      <w:r>
        <w:t xml:space="preserve"> </w:t>
      </w:r>
      <w:r>
        <w:t xml:space="preserve">Effects of process and observation errors on effective sample size of fishery and survey age and length composition using variance ratio and likelihood methods</w:t>
      </w:r>
      <w:r>
        <w:t xml:space="preserve">. ICES Journal of Marine Science 68(7): 1548–1557.</w:t>
      </w:r>
    </w:p>
    <w:bookmarkEnd w:id="38"/>
    <w:bookmarkStart w:id="39" w:name="ref-Hulson2012"/>
    <w:p>
      <w:pPr>
        <w:pStyle w:val="Bibliography"/>
      </w:pPr>
      <w:r>
        <w:t xml:space="preserve">Hulson, P.-J.F., Hanselman, D.H., and Quinn II, T.J. 2012. Determining effective sample size in integrated age-structured assessment models. ICES Journal of Marine Science 69: 281–292.</w:t>
      </w:r>
    </w:p>
    <w:bookmarkEnd w:id="39"/>
    <w:bookmarkStart w:id="40" w:name="ref-Hulson2023c"/>
    <w:p>
      <w:pPr>
        <w:pStyle w:val="Bibliography"/>
      </w:pPr>
      <w:r>
        <w:t xml:space="preserve">Hulson, P.-J.F., Williams, B., Bryan, M., Conner, J., and Siskey, M. in review.</w:t>
      </w:r>
      <w:r>
        <w:t xml:space="preserve"> </w:t>
      </w:r>
      <w:r>
        <w:t xml:space="preserve">Reductions in sampling effort for fishery-independent age and length composition: balancing stock assessment input data uncertainty and workforce health and efficiency</w:t>
      </w:r>
      <w:r>
        <w:t xml:space="preserve">.</w:t>
      </w:r>
    </w:p>
    <w:bookmarkEnd w:id="40"/>
    <w:bookmarkStart w:id="41"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1"/>
    <w:bookmarkStart w:id="42"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42"/>
    <w:bookmarkStart w:id="43" w:name="ref-ICES2020"/>
    <w:p>
      <w:pPr>
        <w:pStyle w:val="Bibliography"/>
      </w:pPr>
      <w:r>
        <w:t xml:space="preserve">ICES. 2020. Workshop on unavoidable survey effort reduction (WKUSER). ICES Scientific Reports.</w:t>
      </w:r>
    </w:p>
    <w:bookmarkEnd w:id="43"/>
    <w:bookmarkStart w:id="44" w:name="ref-ICES2023"/>
    <w:p>
      <w:pPr>
        <w:pStyle w:val="Bibliography"/>
      </w:pPr>
      <w:r>
        <w:t xml:space="preserve">ICES. 2023. Workshop on unavoidable survey effort reduction 2 (WKUSER). ICES Scientific Reports.</w:t>
      </w:r>
    </w:p>
    <w:bookmarkEnd w:id="44"/>
    <w:bookmarkStart w:id="45" w:name="ref-Kimura1991"/>
    <w:p>
      <w:pPr>
        <w:pStyle w:val="Bibliography"/>
      </w:pPr>
      <w:r>
        <w:t xml:space="preserve">Kimura, D.K., and Lyons, J.J. 1991.</w:t>
      </w:r>
      <w:r>
        <w:t xml:space="preserve"> </w:t>
      </w:r>
      <w:r>
        <w:t xml:space="preserve">Between-reader bias and variability in the age-determination process</w:t>
      </w:r>
      <w:r>
        <w:t xml:space="preserve">. Fishery Bulletin 89: 53–60.</w:t>
      </w:r>
    </w:p>
    <w:bookmarkEnd w:id="45"/>
    <w:bookmarkStart w:id="46"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6"/>
    <w:bookmarkStart w:id="47" w:name="ref-Lee2019"/>
    <w:p>
      <w:pPr>
        <w:pStyle w:val="Bibliography"/>
      </w:pPr>
      <w:r>
        <w:t xml:space="preserve">Lee, H., Piner, K.R., Taylor, I.G., and Kitakado, T. 2019. On the use of conditional age at length data as a likelihood component in integrated population dynamics models. Fisheries Research 216: 204–211.</w:t>
      </w:r>
    </w:p>
    <w:bookmarkEnd w:id="47"/>
    <w:bookmarkStart w:id="48" w:name="ref-Liao2013"/>
    <w:p>
      <w:pPr>
        <w:pStyle w:val="Bibliography"/>
      </w:pPr>
      <w:r>
        <w:t xml:space="preserve">Liao, H., Sharov, A.F., Jones, C.M., and Nelson, G.A. 2013. Quantifying the effects of aging bias in atlantic striped bass stock assessment. Transactions of the American Fisheries Society 142(1): 193–207.</w:t>
      </w:r>
    </w:p>
    <w:bookmarkEnd w:id="48"/>
    <w:bookmarkStart w:id="49"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9"/>
    <w:bookmarkStart w:id="50"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0"/>
    <w:bookmarkStart w:id="51"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1"/>
    <w:bookmarkStart w:id="52" w:name="ref-Morison2005"/>
    <w:p>
      <w:pPr>
        <w:pStyle w:val="Bibliography"/>
      </w:pPr>
      <w:r>
        <w:t xml:space="preserve">Morison, A., Burnett, J., McCurdy, W., and Moksness, E. 2005. Quality issues in the use of otoliths for fish age estimation. Marine and Freshwater Research 56.</w:t>
      </w:r>
    </w:p>
    <w:bookmarkEnd w:id="52"/>
    <w:bookmarkStart w:id="53" w:name="ref-Nesslage2022"/>
    <w:p>
      <w:pPr>
        <w:pStyle w:val="Bibliography"/>
      </w:pPr>
      <w:r>
        <w:t xml:space="preserve">Nesslage, G., Schueller, A.M., Rezek, A.R., and Mroch III, R.M. 2022. Influence of sample size and number of age classes on characterization of ageing error in paired-age comparisons. Fisheries Research 249: 106255.</w:t>
      </w:r>
    </w:p>
    <w:bookmarkEnd w:id="53"/>
    <w:bookmarkStart w:id="54" w:name="ref-Pennington2002"/>
    <w:p>
      <w:pPr>
        <w:pStyle w:val="Bibliography"/>
      </w:pPr>
      <w:r>
        <w:t xml:space="preserve">Pennington, M., Burmeister, L.M., and Hjellvik, V. 2002. Assessing the precision of frequency distributions estimated from trawl-survey samples. Fishery Bulletin 100(1): 74–80.</w:t>
      </w:r>
    </w:p>
    <w:bookmarkEnd w:id="54"/>
    <w:bookmarkStart w:id="55" w:name="ref-Pennington1994"/>
    <w:p>
      <w:pPr>
        <w:pStyle w:val="Bibliography"/>
      </w:pPr>
      <w:r>
        <w:t xml:space="preserve">Pennington, M., and Volstad, J.H. 1994. Assessing the effect of intra-haul correlation and variable density on estimates of population characteristics from marine surveys. Biometrics 50(3): 725–732.</w:t>
      </w:r>
    </w:p>
    <w:bookmarkEnd w:id="55"/>
    <w:bookmarkStart w:id="56" w:name="ref-Punt2008"/>
    <w:p>
      <w:pPr>
        <w:pStyle w:val="Bibliography"/>
      </w:pPr>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w:t>
      </w:r>
    </w:p>
    <w:bookmarkEnd w:id="56"/>
    <w:bookmarkStart w:id="57" w:name="ref-QuinnDeriso1999"/>
    <w:p>
      <w:pPr>
        <w:pStyle w:val="Bibliography"/>
      </w:pPr>
      <w:r>
        <w:t xml:space="preserve">Quinn, T., and Deriso, R. 1999. QUantitative fish dynamics. Oxford University Press, New York, NY.</w:t>
      </w:r>
    </w:p>
    <w:bookmarkEnd w:id="57"/>
    <w:bookmarkStart w:id="59" w:name="ref-Rcore"/>
    <w:p>
      <w:pPr>
        <w:pStyle w:val="Bibliography"/>
      </w:pPr>
      <w:r>
        <w:t xml:space="preserve">R Core Team. 2022. R: A language and environment for statistical computing. R Foundation for Statistical Computing, Vienna, Austria. Available from</w:t>
      </w:r>
      <w:r>
        <w:t xml:space="preserve"> </w:t>
      </w:r>
      <w:hyperlink r:id="rId58">
        <w:r>
          <w:rPr>
            <w:rStyle w:val="Hyperlink"/>
          </w:rPr>
          <w:t xml:space="preserve">https://www.R-project.org/</w:t>
        </w:r>
      </w:hyperlink>
      <w:r>
        <w:t xml:space="preserve">.</w:t>
      </w:r>
    </w:p>
    <w:bookmarkEnd w:id="59"/>
    <w:bookmarkStart w:id="60"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60"/>
    <w:bookmarkStart w:id="61"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61"/>
    <w:bookmarkStart w:id="62"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62"/>
    <w:bookmarkStart w:id="63" w:name="ref-Stewart2017"/>
    <w:p>
      <w:pPr>
        <w:pStyle w:val="Bibliography"/>
      </w:pPr>
      <w:r>
        <w:t xml:space="preserve">Stewart, I.J., and Monnahan, C.C. 2017. Implications of process error in selectivity for approaches to weighting compositional data in fisheries stock assessments. Fisheries Research 192: 126–134.</w:t>
      </w:r>
    </w:p>
    <w:bookmarkEnd w:id="63"/>
    <w:bookmarkStart w:id="64" w:name="ref-Taylor2013"/>
    <w:p>
      <w:pPr>
        <w:pStyle w:val="Bibliography"/>
      </w:pPr>
      <w:r>
        <w:t xml:space="preserve">Taylor, I.G., and Methot, R.D. 2013. Hiding or dead? A computationally efficient model of selective fisheries mortality. Fisheries Research 142: 75–85.</w:t>
      </w:r>
    </w:p>
    <w:bookmarkEnd w:id="64"/>
    <w:bookmarkStart w:id="65"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65"/>
    <w:bookmarkStart w:id="66"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66"/>
    <w:bookmarkStart w:id="67"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7"/>
    <w:bookmarkStart w:id="68" w:name="ref-Xu2020"/>
    <w:p>
      <w:pPr>
        <w:pStyle w:val="Bibliography"/>
      </w:pPr>
      <w:r>
        <w:t xml:space="preserve">Xu, H., Thorson, J.T., and Methot, R.D. 2020. Comparing the performance of three data-weighting methods when allowing for time-varying selectivity. Canadian Journal of Fisheries and Aquatic Sciences 77(2): 247–263.</w:t>
      </w:r>
    </w:p>
    <w:bookmarkEnd w:id="68"/>
    <w:bookmarkEnd w:id="69"/>
    <w:p>
      <w:r>
        <w:br w:type="page"/>
      </w:r>
    </w:p>
    <w:bookmarkEnd w:id="70"/>
    <w:bookmarkStart w:id="72" w:name="tables"/>
    <w:p>
      <w:pPr>
        <w:pStyle w:val="Heading1"/>
      </w:pPr>
      <w:r>
        <w:t xml:space="preserve">Tables</w:t>
      </w:r>
    </w:p>
    <w:p>
      <w:pPr>
        <w:pStyle w:val="TableCaption"/>
      </w:pPr>
      <w:bookmarkStart w:id="71" w:name="tab:species-sample"/>
      <w:bookmarkEnd w:id="71"/>
      <w:r>
        <w:t xml:space="preserve">Table 1: Average age samples from the AFSC bottom trawl surveys by region (rounded to the nearest 10), and total reader-tester age pairs (rounded to the nearest 100) for the species evaluated in the bootstrap-simulation.</w:t>
      </w:r>
    </w:p>
    <w:tbl>
      <w:tblPr>
        <w:tblStyle w:val="Table"/>
        <w:tblW w:type="pct" w:w="5000"/>
        <w:tblLook w:firstRow="1" w:lastRow="0" w:firstColumn="0" w:lastColumn="0" w:noHBand="0" w:noVBand="0" w:val="0020"/>
        <w:tblCaption w:val="Table 1: Average age samples from the AFSC bottom trawl surveys by region (rounded to the nearest 10), and total reader-tester age pairs (rounded to the nearest 100) for the species evaluated in the bootstrap-simulation."/>
      </w:tblPr>
      <w:tblGrid>
        <w:gridCol w:w="2169"/>
        <w:gridCol w:w="3037"/>
        <w:gridCol w:w="542"/>
        <w:gridCol w:w="650"/>
        <w:gridCol w:w="650"/>
        <w:gridCol w:w="8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450</w:t>
            </w:r>
          </w:p>
        </w:tc>
        <w:tc>
          <w:tcPr/>
          <w:p>
            <w:pPr>
              <w:pStyle w:val="Compact"/>
              <w:jc w:val="center"/>
            </w:pPr>
            <w:r>
              <w:t xml:space="preserve">480</w:t>
            </w:r>
          </w:p>
        </w:tc>
        <w:tc>
          <w:tcPr/>
          <w:p>
            <w:pPr>
              <w:pStyle w:val="Compact"/>
              <w:jc w:val="center"/>
            </w:pPr>
            <w:r>
              <w:t xml:space="preserve">850</w:t>
            </w:r>
          </w:p>
        </w:tc>
        <w:tc>
          <w:tcPr/>
          <w:p>
            <w:pPr>
              <w:pStyle w:val="Compact"/>
              <w:jc w:val="center"/>
            </w:pPr>
            <w:r>
              <w:t xml:space="preserve">6,100</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12,900</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560</w:t>
            </w:r>
          </w:p>
        </w:tc>
        <w:tc>
          <w:tcPr/>
          <w:p>
            <w:pPr>
              <w:pStyle w:val="Compact"/>
              <w:jc w:val="center"/>
            </w:pPr>
            <w:r>
              <w:t xml:space="preserve">520</w:t>
            </w:r>
          </w:p>
        </w:tc>
        <w:tc>
          <w:tcPr/>
          <w:p>
            <w:pPr>
              <w:pStyle w:val="Compact"/>
              <w:jc w:val="center"/>
            </w:pPr>
            <w:r>
              <w:t xml:space="preserve">9,400</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460</w:t>
            </w:r>
          </w:p>
        </w:tc>
        <w:tc>
          <w:tcPr/>
          <w:p>
            <w:pPr>
              <w:pStyle w:val="Compact"/>
              <w:jc w:val="center"/>
            </w:pPr>
            <w:r>
              <w:t xml:space="preserve">450</w:t>
            </w:r>
          </w:p>
        </w:tc>
        <w:tc>
          <w:tcPr/>
          <w:p>
            <w:pPr>
              <w:pStyle w:val="Compact"/>
              <w:jc w:val="center"/>
            </w:pPr>
            <w:r>
              <w:t xml:space="preserve">8,900</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570</w:t>
            </w:r>
          </w:p>
        </w:tc>
        <w:tc>
          <w:tcPr/>
          <w:p>
            <w:pPr>
              <w:pStyle w:val="Compact"/>
              <w:jc w:val="center"/>
            </w:pPr>
            <w:r>
              <w:t xml:space="preserve">–</w:t>
            </w:r>
          </w:p>
        </w:tc>
        <w:tc>
          <w:tcPr/>
          <w:p>
            <w:pPr>
              <w:pStyle w:val="Compact"/>
              <w:jc w:val="center"/>
            </w:pPr>
            <w:r>
              <w:t xml:space="preserve">450</w:t>
            </w:r>
          </w:p>
        </w:tc>
        <w:tc>
          <w:tcPr/>
          <w:p>
            <w:pPr>
              <w:pStyle w:val="Compact"/>
              <w:jc w:val="center"/>
            </w:pPr>
            <w:r>
              <w:t xml:space="preserve">6,400</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800</w:t>
            </w:r>
          </w:p>
        </w:tc>
        <w:tc>
          <w:tcPr/>
          <w:p>
            <w:pPr>
              <w:pStyle w:val="Compact"/>
              <w:jc w:val="center"/>
            </w:pPr>
            <w:r>
              <w:t xml:space="preserve">1070</w:t>
            </w:r>
          </w:p>
        </w:tc>
        <w:tc>
          <w:tcPr/>
          <w:p>
            <w:pPr>
              <w:pStyle w:val="Compact"/>
              <w:jc w:val="center"/>
            </w:pPr>
            <w:r>
              <w:t xml:space="preserve">650</w:t>
            </w:r>
          </w:p>
        </w:tc>
        <w:tc>
          <w:tcPr/>
          <w:p>
            <w:pPr>
              <w:pStyle w:val="Compact"/>
              <w:jc w:val="center"/>
            </w:pPr>
            <w:r>
              <w:t xml:space="preserve">21,200</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940</w:t>
            </w:r>
          </w:p>
        </w:tc>
        <w:tc>
          <w:tcPr/>
          <w:p>
            <w:pPr>
              <w:pStyle w:val="Compact"/>
              <w:jc w:val="center"/>
            </w:pPr>
            <w:r>
              <w:t xml:space="preserve">–</w:t>
            </w:r>
          </w:p>
        </w:tc>
        <w:tc>
          <w:tcPr/>
          <w:p>
            <w:pPr>
              <w:pStyle w:val="Compact"/>
              <w:jc w:val="center"/>
            </w:pPr>
            <w:r>
              <w:t xml:space="preserve">1030</w:t>
            </w:r>
          </w:p>
        </w:tc>
        <w:tc>
          <w:tcPr/>
          <w:p>
            <w:pPr>
              <w:pStyle w:val="Compact"/>
              <w:jc w:val="center"/>
            </w:pPr>
            <w:r>
              <w:t xml:space="preserve">13,500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790</w:t>
            </w:r>
          </w:p>
        </w:tc>
        <w:tc>
          <w:tcPr/>
          <w:p>
            <w:pPr>
              <w:pStyle w:val="Compact"/>
              <w:jc w:val="center"/>
            </w:pPr>
            <w:r>
              <w:t xml:space="preserve">1500</w:t>
            </w:r>
          </w:p>
        </w:tc>
        <w:tc>
          <w:tcPr/>
          <w:p>
            <w:pPr>
              <w:pStyle w:val="Compact"/>
              <w:jc w:val="center"/>
            </w:pPr>
            <w:r>
              <w:t xml:space="preserve">1300</w:t>
            </w:r>
          </w:p>
        </w:tc>
        <w:tc>
          <w:tcPr/>
          <w:p>
            <w:pPr>
              <w:pStyle w:val="Compact"/>
              <w:jc w:val="center"/>
            </w:pPr>
            <w:r>
              <w:t xml:space="preserve">84,400</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750</w:t>
            </w:r>
          </w:p>
        </w:tc>
        <w:tc>
          <w:tcPr/>
          <w:p>
            <w:pPr>
              <w:pStyle w:val="Compact"/>
              <w:jc w:val="center"/>
            </w:pPr>
            <w:r>
              <w:t xml:space="preserve">–</w:t>
            </w:r>
          </w:p>
        </w:tc>
        <w:tc>
          <w:tcPr/>
          <w:p>
            <w:pPr>
              <w:pStyle w:val="Compact"/>
              <w:jc w:val="center"/>
            </w:pPr>
            <w:r>
              <w:t xml:space="preserve">10,300</w:t>
            </w:r>
          </w:p>
        </w:tc>
      </w:tr>
    </w:tbl>
    <w:p>
      <w:r>
        <w:br w:type="page"/>
      </w:r>
    </w:p>
    <w:bookmarkEnd w:id="72"/>
    <w:bookmarkStart w:id="93" w:name="figures"/>
    <w:p>
      <w:pPr>
        <w:pStyle w:val="Heading1"/>
      </w:pPr>
      <w:r>
        <w:t xml:space="preserve">Figures</w:t>
      </w:r>
    </w:p>
    <w:p>
      <w:pPr>
        <w:pStyle w:val="CaptionedFigure"/>
      </w:pPr>
      <w:r>
        <w:drawing>
          <wp:inline>
            <wp:extent cx="5084064" cy="5216652"/>
            <wp:effectExtent b="0" l="0" r="0" t="0"/>
            <wp:docPr descr="Figure 1: Bootstrap-simulation flow chart, the steps refer to the order of operations." title="" id="74" name="Picture"/>
            <a:graphic>
              <a:graphicData uri="http://schemas.openxmlformats.org/drawingml/2006/picture">
                <pic:pic>
                  <pic:nvPicPr>
                    <pic:cNvPr descr="../figs/age_flowchart.png" id="75" name="Picture"/>
                    <pic:cNvPicPr>
                      <a:picLocks noChangeArrowheads="1" noChangeAspect="1"/>
                    </pic:cNvPicPr>
                  </pic:nvPicPr>
                  <pic:blipFill>
                    <a:blip r:embed="rId73"/>
                    <a:stretch>
                      <a:fillRect/>
                    </a:stretch>
                  </pic:blipFill>
                  <pic:spPr bwMode="auto">
                    <a:xfrm>
                      <a:off x="0" y="0"/>
                      <a:ext cx="5084064" cy="5216652"/>
                    </a:xfrm>
                    <a:prstGeom prst="rect">
                      <a:avLst/>
                    </a:prstGeom>
                    <a:noFill/>
                    <a:ln w="9525">
                      <a:noFill/>
                      <a:headEnd/>
                      <a:tailEnd/>
                    </a:ln>
                  </pic:spPr>
                </pic:pic>
              </a:graphicData>
            </a:graphic>
          </wp:inline>
        </w:drawing>
      </w:r>
    </w:p>
    <w:p>
      <w:pPr>
        <w:pStyle w:val="ImageCaption"/>
      </w:pPr>
      <w:bookmarkStart w:id="76" w:name="fig:bs-flows"/>
      <w:bookmarkEnd w:id="76"/>
      <w:r>
        <w:t xml:space="preserve">Figure 1: Bootstrap-simulation flow chart, the steps refer to the order of operations.</w:t>
      </w:r>
    </w:p>
    <w:p>
      <w:pPr>
        <w:pStyle w:val="CaptionedFigure"/>
      </w:pPr>
      <w:r>
        <w:drawing>
          <wp:inline>
            <wp:extent cx="5943600" cy="7315200"/>
            <wp:effectExtent b="0" l="0" r="0" t="0"/>
            <wp:docPr descr="Figure 2: Age composition input sample size for the stocks and regions evaluated across uncertainty scenarios." title="" id="78" name="Picture"/>
            <a:graphic>
              <a:graphicData uri="http://schemas.openxmlformats.org/drawingml/2006/picture">
                <pic:pic>
                  <pic:nvPicPr>
                    <pic:cNvPr descr="../figs/alt_iss.png" id="79" name="Picture"/>
                    <pic:cNvPicPr>
                      <a:picLocks noChangeArrowheads="1" noChangeAspect="1"/>
                    </pic:cNvPicPr>
                  </pic:nvPicPr>
                  <pic:blipFill>
                    <a:blip r:embed="rId77"/>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bookmarkStart w:id="80" w:name="fig:iss-plot"/>
      <w:bookmarkEnd w:id="80"/>
      <w:r>
        <w:t xml:space="preserve">Figure 2: Age composition input sample size for the stocks and regions evaluated across uncertainty scenarios.</w:t>
      </w:r>
    </w:p>
    <w:p>
      <w:pPr>
        <w:pStyle w:val="CaptionedFigure"/>
      </w:pPr>
      <w:r>
        <w:drawing>
          <wp:inline>
            <wp:extent cx="5943600" cy="4572000"/>
            <wp:effectExtent b="0" l="0" r="0" t="0"/>
            <wp:docPr descr="Figure 3: Age composition relative input sample size by species type across sex categories and uncertainty scenarios." title="" id="82" name="Picture"/>
            <a:graphic>
              <a:graphicData uri="http://schemas.openxmlformats.org/drawingml/2006/picture">
                <pic:pic>
                  <pic:nvPicPr>
                    <pic:cNvPr descr="../figs/alt_prop-iss.png" id="83" name="Picture"/>
                    <pic:cNvPicPr>
                      <a:picLocks noChangeArrowheads="1" noChangeAspect="1"/>
                    </pic:cNvPicPr>
                  </pic:nvPicPr>
                  <pic:blipFill>
                    <a:blip r:embed="rId8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bookmarkStart w:id="84" w:name="fig:prop-iss"/>
      <w:bookmarkEnd w:id="84"/>
      <w:r>
        <w:t xml:space="preserve">Figure 3: Age composition relative input sample size by species type across sex categories and uncertainty scenarios.</w:t>
      </w:r>
    </w:p>
    <w:p>
      <w:pPr>
        <w:pStyle w:val="CaptionedFigure"/>
      </w:pPr>
      <w:r>
        <w:drawing>
          <wp:inline>
            <wp:extent cx="5943600" cy="5943600"/>
            <wp:effectExtent b="0" l="0" r="0" t="0"/>
            <wp:docPr descr="Figure 4: Age composition input sample size per sampled haul compared to number ages sampled within a haul (top panel) across uncertainty scenarios and species types (bottom panel)." title="" id="86" name="Picture"/>
            <a:graphic>
              <a:graphicData uri="http://schemas.openxmlformats.org/drawingml/2006/picture">
                <pic:pic>
                  <pic:nvPicPr>
                    <pic:cNvPr descr="../figs/alt_hls-iss-nss.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88" w:name="fig:iss-nss-hls"/>
      <w:bookmarkEnd w:id="88"/>
      <w:r>
        <w:t xml:space="preserve">Figure 4: Age composition input sample size per sampled haul compared to number ages sampled within a haul (top panel) across uncertainty scenarios and species types (bottom panel).</w:t>
      </w:r>
    </w:p>
    <w:p>
      <w:pPr>
        <w:pStyle w:val="CaptionedFigure"/>
      </w:pPr>
      <w:r>
        <w:drawing>
          <wp:inline>
            <wp:extent cx="5943600" cy="5943600"/>
            <wp:effectExtent b="0" l="0" r="0" t="0"/>
            <wp:docPr descr="Figure 5: Age composition relative input sample size compared to age and growth statistics (top panel) and across stocks evaluated (bottom panel)." title="" id="90" name="Picture"/>
            <a:graphic>
              <a:graphicData uri="http://schemas.openxmlformats.org/drawingml/2006/picture">
                <pic:pic>
                  <pic:nvPicPr>
                    <pic:cNvPr descr="../figs/alt_ae-gv-stats.png" id="91"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2" w:name="fig:ae-gv-stats"/>
      <w:bookmarkEnd w:id="92"/>
      <w:r>
        <w:t xml:space="preserve">Figure 5: Age composition relative input sample size compared to age and growth statistics (top panel) and across stocks evaluated (bottom panel).</w:t>
      </w:r>
    </w:p>
    <w:bookmarkEnd w:id="93"/>
    <w:sectPr w:rsidR="009603D3" w:rsidSect="001B2361">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1B2361"/>
  </w:style>
  <w:style w:styleId="Header" w:type="paragraph">
    <w:name w:val="header"/>
    <w:basedOn w:val="Normal"/>
    <w:link w:val="HeaderChar"/>
    <w:unhideWhenUsed/>
    <w:rsid w:val="001E0294"/>
    <w:pPr>
      <w:tabs>
        <w:tab w:pos="4680" w:val="center"/>
        <w:tab w:pos="9360" w:val="right"/>
      </w:tabs>
      <w:spacing w:before="0" w:line="240" w:lineRule="auto"/>
    </w:pPr>
  </w:style>
  <w:style w:customStyle="1" w:styleId="HeaderChar" w:type="character">
    <w:name w:val="Header Char"/>
    <w:basedOn w:val="DefaultParagraphFont"/>
    <w:link w:val="Header"/>
    <w:rsid w:val="001E0294"/>
    <w:rPr>
      <w:rFonts w:ascii="Times New Roman" w:hAnsi="Times New Roman"/>
      <w:bCs/>
      <w:szCs w:val="22"/>
    </w:rPr>
  </w:style>
  <w:style w:styleId="Footer" w:type="paragraph">
    <w:name w:val="footer"/>
    <w:basedOn w:val="Normal"/>
    <w:link w:val="FooterChar"/>
    <w:uiPriority w:val="99"/>
    <w:unhideWhenUsed/>
    <w:rsid w:val="001E0294"/>
    <w:pPr>
      <w:tabs>
        <w:tab w:pos="4680" w:val="center"/>
        <w:tab w:pos="9360" w:val="right"/>
      </w:tabs>
      <w:spacing w:before="0" w:line="240" w:lineRule="auto"/>
    </w:pPr>
  </w:style>
  <w:style w:customStyle="1" w:styleId="FooterChar" w:type="characte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hyperlink" Id="rId24" Target="https://github.com/BenWilliams-NOAA/surveyISS" TargetMode="External" /><Relationship Type="http://schemas.openxmlformats.org/officeDocument/2006/relationships/hyperlink" Id="rId58"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enWilliams-NOAA/surveyISS" TargetMode="External" /><Relationship Type="http://schemas.openxmlformats.org/officeDocument/2006/relationships/hyperlink" Id="rId58"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dcterms:created xsi:type="dcterms:W3CDTF">2023-05-10T18:50:18Z</dcterms:created>
  <dcterms:modified xsi:type="dcterms:W3CDTF">2023-05-10T18:50:18Z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