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39" w:rsidRDefault="00703439" w:rsidP="00703439">
      <w:pPr>
        <w:pStyle w:val="Heading1"/>
      </w:pPr>
      <w:bookmarkStart w:id="0" w:name="supplementary-material"/>
      <w:r>
        <w:t>Supplementary material</w:t>
      </w:r>
    </w:p>
    <w:p w:rsidR="00703439" w:rsidRDefault="00703439" w:rsidP="00703439">
      <w:r>
        <w:rPr>
          <w:noProof/>
        </w:rPr>
        <w:drawing>
          <wp:inline distT="0" distB="0" distL="0" distR="0" wp14:anchorId="5B5192B0" wp14:editId="637551C9">
            <wp:extent cx="5943600" cy="6792685"/>
            <wp:effectExtent l="0" t="0" r="0" b="0"/>
            <wp:docPr id="93" name="Picture" descr="Figure 7: Annual length composition input sample size by stock across haul length frequency sub-sampling levels evaluated for the Aleutian Island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../figs/supp_mat_figs/length_iss_ai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1" w:name="fig:length-iss-ai"/>
      <w:bookmarkEnd w:id="1"/>
      <w:r>
        <w:t>Figure S1: Annual length composition input sample size by stock across haul length frequency sub-sampling levels evaluated for the Aleutian Islands.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26CF82C8" wp14:editId="01D908AE">
            <wp:extent cx="5943600" cy="6792685"/>
            <wp:effectExtent l="0" t="0" r="0" b="0"/>
            <wp:docPr id="97" name="Picture" descr="Figure 8: Annual length composition input sample size by stock across haul length frequency sub-sampling levels evaluated for the Eastern Bering Sea Shelf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../figs/supp_mat_figs/length_iss_b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2" w:name="fig:length-iss-bs"/>
      <w:bookmarkEnd w:id="2"/>
      <w:r>
        <w:t>Figure S2: Annual length composition input sample size by stock across haul length frequency sub-sampling levels evaluated for the Eastern Bering Sea Shelf.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7E2E9C67" wp14:editId="5D33072A">
            <wp:extent cx="5943600" cy="6792685"/>
            <wp:effectExtent l="0" t="0" r="0" b="0"/>
            <wp:docPr id="101" name="Picture" descr="Figure 9: Annual length composition input sample size by stock across haul length frequency sub-sampling levels evaluated for the Gulf of Alask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../figs/supp_mat_figs/length_iss_go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3" w:name="fig:length-iss-goa"/>
      <w:bookmarkEnd w:id="3"/>
      <w:r>
        <w:t>Figure S3: Annual length composition input sample size by stock across haul length frequency sub-sampling levels evaluated for the Gulf of Alaska.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09A6CED2" wp14:editId="5F590BBB">
            <wp:extent cx="5943600" cy="6792685"/>
            <wp:effectExtent l="0" t="0" r="0" b="0"/>
            <wp:docPr id="105" name="Picture" descr="Figure 10: Annual length composition relative input sample size by stock across haul length frequency sub-sampling levels evaluated for the Aleutian Island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../figs/supp_mat_figs/rel_length_iss_a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4" w:name="fig:prop-length-iss-ai"/>
      <w:bookmarkEnd w:id="4"/>
      <w:r>
        <w:t>Figure S4: Annual length composition relative input sample size by stock across haul length frequency sub-sampling levels evaluated for the Aleutian Islands.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7623DCAC" wp14:editId="58D5A739">
            <wp:extent cx="5943600" cy="6792685"/>
            <wp:effectExtent l="0" t="0" r="0" b="0"/>
            <wp:docPr id="109" name="Picture" descr="Figure 11: Annual length composition relative input sample size by stock across haul length frequency sub-sampling levels evaluated for the Eastern Bering Sea Shelf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../figs/supp_mat_figs/rel_length_iss_b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5" w:name="fig:prop-length-iss-bs"/>
      <w:bookmarkEnd w:id="5"/>
      <w:r>
        <w:t>Figure S5: Annual length composition relative input sample size by stock across haul length frequency sub-sampling levels evaluated for the Eastern Bering Sea Shelf.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177D0F8D" wp14:editId="33CA3F88">
            <wp:extent cx="5943600" cy="6792685"/>
            <wp:effectExtent l="0" t="0" r="0" b="0"/>
            <wp:docPr id="113" name="Picture" descr="Figure 12: Annual length composition relative input sample size by stock across haul length frequency sub-sampling levels evaluated for the Gulf of Alask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 descr="../figs/supp_mat_figs/rel_length_iss_go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6" w:name="fig:prop-length-iss-goa"/>
      <w:bookmarkEnd w:id="6"/>
      <w:r>
        <w:t>Figure S6: Annual length composition relative input sample size by stock across haul length frequency sub-sampling levels evaluated for the Gulf of Alaska.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70F41DCB" wp14:editId="6027E955">
            <wp:extent cx="5943600" cy="6792685"/>
            <wp:effectExtent l="0" t="0" r="0" b="0"/>
            <wp:docPr id="117" name="Picture" descr="Figure 13: Annual age composition input sample size by stock across age sub-sampling levels evaluated for the Aleutian Island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../figs/supp_mat_figs/age_iss_a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7" w:name="fig:age-iss-ai"/>
      <w:bookmarkEnd w:id="7"/>
      <w:r>
        <w:t>Figure S7: Annual age composition input sample size by stock across age sub-sampling levels evaluated for the Aleutian Islands.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762F53FE" wp14:editId="10B6299E">
            <wp:extent cx="5943600" cy="6792685"/>
            <wp:effectExtent l="0" t="0" r="0" b="0"/>
            <wp:docPr id="121" name="Picture" descr="Figure 14: Annual age composition input sample size by stock across age sub-sampling levels evaluated for the Eastern Bering Sea Shelf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 descr="../figs/supp_mat_figs/age_iss_b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8" w:name="fig:age-iss-bs"/>
      <w:bookmarkEnd w:id="8"/>
      <w:r>
        <w:t>Figure S8: Annual age composition input sample size by stock across age sub-sampling levels evaluated for the Eastern Bering Sea Shelf.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37674D11" wp14:editId="110467A2">
            <wp:extent cx="5943600" cy="6792685"/>
            <wp:effectExtent l="0" t="0" r="0" b="0"/>
            <wp:docPr id="125" name="Picture" descr="Figure 15: Annual age composition input sample size by stock across age sub-sampling levels evaluated for the Gulf of Alask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 descr="../figs/supp_mat_figs/age_iss_go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9" w:name="fig:age-iss-goa"/>
      <w:bookmarkEnd w:id="9"/>
      <w:r>
        <w:t>Figure S9: Annual age composition input sample size by stock across age sub-sampling levels evaluated for the Gulf of Alaska.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71087F40" wp14:editId="6E06AC70">
            <wp:extent cx="5943600" cy="6792685"/>
            <wp:effectExtent l="0" t="0" r="0" b="0"/>
            <wp:docPr id="129" name="Picture" descr="Figure 16: Annual age composition relative input sample size by stock across age sub-sampling levels evaluated for the Aleutian Island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../figs/supp_mat_figs/rel_age_iss_ai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10" w:name="fig:prop-age-iss-ai"/>
      <w:bookmarkEnd w:id="10"/>
      <w:r>
        <w:t>Figure S10: Annual age composition relative input sample size by stock across age sub-sampling levels evaluated for the Aleutian Islands.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11123E00" wp14:editId="03E13C7A">
            <wp:extent cx="5943600" cy="6792685"/>
            <wp:effectExtent l="0" t="0" r="0" b="0"/>
            <wp:docPr id="133" name="Picture" descr="Figure 17: Annual age composition relative input sample size by stock across age sub-sampling levels evaluated for the Eastern Bering Sea Shelf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 descr="../figs/supp_mat_figs/rel_age_iss_b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11" w:name="fig:prop-age-iss-bs"/>
      <w:bookmarkEnd w:id="11"/>
      <w:r>
        <w:t>Figure S11: Annual age composition relative input sample size by stock across age sub-sampling levels evaluated for the Eastern Bering Sea Shelf.</w:t>
      </w:r>
    </w:p>
    <w:p w:rsidR="00703439" w:rsidRDefault="00703439" w:rsidP="00703439">
      <w:r>
        <w:rPr>
          <w:noProof/>
        </w:rPr>
        <w:lastRenderedPageBreak/>
        <w:drawing>
          <wp:inline distT="0" distB="0" distL="0" distR="0" wp14:anchorId="72D9C9D1" wp14:editId="28204B4B">
            <wp:extent cx="5943600" cy="6792685"/>
            <wp:effectExtent l="0" t="0" r="0" b="0"/>
            <wp:docPr id="137" name="Picture" descr="Figure 18: Annual age composition relative input sample size by stock across age sub-sampling levels evaluated for the Gulf of Alask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 descr="../figs/supp_mat_figs/rel_age_iss_go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2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439" w:rsidRDefault="00703439" w:rsidP="00703439">
      <w:pPr>
        <w:pStyle w:val="ImageCaption"/>
      </w:pPr>
      <w:bookmarkStart w:id="12" w:name="fig:prop-age-iss-goa"/>
      <w:bookmarkEnd w:id="12"/>
      <w:r>
        <w:t>Figure S12: Annual age composition relative input sample size by stock across age sub-sampling levels evaluated for the Gulf of Alaska.</w:t>
      </w:r>
      <w:bookmarkEnd w:id="0"/>
    </w:p>
    <w:p w:rsidR="00E16F58" w:rsidRDefault="00703439">
      <w:bookmarkStart w:id="13" w:name="_GoBack"/>
      <w:bookmarkEnd w:id="13"/>
    </w:p>
    <w:sectPr w:rsidR="00E16F58" w:rsidSect="001B2361">
      <w:footerReference w:type="default" r:id="rId16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4655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294" w:rsidRDefault="007034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E0294" w:rsidRDefault="00703439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39"/>
    <w:rsid w:val="00561387"/>
    <w:rsid w:val="00627396"/>
    <w:rsid w:val="0070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C9D98-0A32-47F5-8B09-E198D090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439"/>
    <w:pPr>
      <w:spacing w:before="120" w:after="0" w:line="360" w:lineRule="auto"/>
    </w:pPr>
    <w:rPr>
      <w:rFonts w:ascii="Times New Roman" w:hAnsi="Times New Roman"/>
      <w:bCs/>
      <w:sz w:val="24"/>
    </w:rPr>
  </w:style>
  <w:style w:type="paragraph" w:styleId="Heading1">
    <w:name w:val="heading 1"/>
    <w:basedOn w:val="Subtitle"/>
    <w:next w:val="BodyText"/>
    <w:link w:val="Heading1Char"/>
    <w:autoRedefine/>
    <w:uiPriority w:val="9"/>
    <w:qFormat/>
    <w:rsid w:val="00703439"/>
    <w:pPr>
      <w:keepNext/>
      <w:keepLines/>
      <w:numPr>
        <w:ilvl w:val="0"/>
      </w:numPr>
      <w:spacing w:before="0" w:after="0" w:line="480" w:lineRule="auto"/>
      <w:jc w:val="center"/>
      <w:outlineLvl w:val="0"/>
    </w:pPr>
    <w:rPr>
      <w:rFonts w:ascii="Times New Roman" w:eastAsia="Calibri" w:hAnsi="Times New Roman" w:cstheme="majorBidi"/>
      <w:b/>
      <w:bCs w:val="0"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439"/>
    <w:rPr>
      <w:rFonts w:ascii="Times New Roman" w:eastAsia="Calibri" w:hAnsi="Times New Roman" w:cstheme="majorBidi"/>
      <w:b/>
      <w:sz w:val="24"/>
      <w:szCs w:val="24"/>
    </w:rPr>
  </w:style>
  <w:style w:type="paragraph" w:customStyle="1" w:styleId="ImageCaption">
    <w:name w:val="Image Caption"/>
    <w:basedOn w:val="Caption"/>
    <w:rsid w:val="00703439"/>
    <w:pPr>
      <w:spacing w:before="120" w:after="120" w:line="360" w:lineRule="auto"/>
    </w:pPr>
    <w:rPr>
      <w:i w:val="0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70343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439"/>
    <w:rPr>
      <w:rFonts w:ascii="Times New Roman" w:hAnsi="Times New Roman"/>
      <w:bCs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43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3439"/>
    <w:rPr>
      <w:rFonts w:eastAsiaTheme="minorEastAsia"/>
      <w:bCs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7034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3439"/>
    <w:rPr>
      <w:rFonts w:ascii="Times New Roman" w:hAnsi="Times New Roman"/>
      <w:bC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343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03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1</cp:revision>
  <dcterms:created xsi:type="dcterms:W3CDTF">2023-06-08T19:08:00Z</dcterms:created>
  <dcterms:modified xsi:type="dcterms:W3CDTF">2023-06-08T19:08:00Z</dcterms:modified>
</cp:coreProperties>
</file>