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7">
        <w:r>
          <w:rPr>
            <w:rStyle w:val="Hyperlink"/>
          </w:rPr>
          <w:t>Pete Hulson &lt;</w:t>
        </w:r>
        <w:hyperlink r:id="rId8">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0" w:name="abstract"/>
      <w:r w:rsidRPr="001A6D7E">
        <w:lastRenderedPageBreak/>
        <w:t>Abstract</w:t>
      </w:r>
    </w:p>
    <w:p w:rsidR="001A6D7E" w:rsidRDefault="001A6D7E" w:rsidP="00E17DBE">
      <w:pPr>
        <w:pStyle w:val="BodyText"/>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(Monnahan et al. 2021, e.g., Spencer and Ianelli 2022). Length frequency samples are also used in many assessments in a conditional-age-at-length framework (Rudd et al. 2021) that both fits the length composition and enables estimation of growth internally to the assessment (e.g., McGilliard and Palsson 2017). In some cases, where age data is not available, length frequency samples which have been expanded to population abundance-at-length estimates are used directly as composition data within the assessment (e.g., McGilliard et al. 2019). Finally, recent developments have included using length frequency samples in a model-based framework to estimate length and age composition estimates (Thorson and Haltuch 2019, Ianelli et al. 2021, Thompson et al. 2021).</w:t>
      </w:r>
    </w:p>
    <w:p w:rsidR="009603D3" w:rsidRDefault="001A6D7E" w:rsidP="00877DAB">
      <w:pPr>
        <w:spacing w:before="0" w:line="480" w:lineRule="auto"/>
      </w:pPr>
      <w:r>
        <w:br w:type="page"/>
      </w:r>
    </w:p>
    <w:p w:rsidR="009603D3" w:rsidRDefault="001A6D7E" w:rsidP="00877DAB">
      <w:pPr>
        <w:pStyle w:val="Compact"/>
        <w:numPr>
          <w:ilvl w:val="0"/>
          <w:numId w:val="18"/>
        </w:numPr>
        <w:spacing w:before="0" w:line="480" w:lineRule="auto"/>
      </w:pPr>
      <w:hyperlink w:anchor="abstract">
        <w:r>
          <w:rPr>
            <w:rStyle w:val="Hyperlink"/>
          </w:rPr>
          <w:t>Abstract</w:t>
        </w:r>
      </w:hyperlink>
    </w:p>
    <w:p w:rsidR="009603D3" w:rsidRDefault="001A6D7E" w:rsidP="00877DAB">
      <w:pPr>
        <w:pStyle w:val="Compact"/>
        <w:numPr>
          <w:ilvl w:val="0"/>
          <w:numId w:val="18"/>
        </w:numPr>
        <w:spacing w:before="0" w:line="480" w:lineRule="auto"/>
      </w:pPr>
      <w:hyperlink w:anchor="introduction">
        <w:r>
          <w:rPr>
            <w:rStyle w:val="Hyperlink"/>
          </w:rPr>
          <w:t>Introduction</w:t>
        </w:r>
      </w:hyperlink>
    </w:p>
    <w:p w:rsidR="009603D3" w:rsidRDefault="001A6D7E" w:rsidP="00877DAB">
      <w:pPr>
        <w:pStyle w:val="Compact"/>
        <w:numPr>
          <w:ilvl w:val="0"/>
          <w:numId w:val="18"/>
        </w:numPr>
        <w:spacing w:before="0" w:line="480" w:lineRule="auto"/>
      </w:pPr>
      <w:hyperlink w:anchor="materials-and-methods">
        <w:r>
          <w:rPr>
            <w:rStyle w:val="Hyperlink"/>
          </w:rPr>
          <w:t>Materials and Methods</w:t>
        </w:r>
      </w:hyperlink>
    </w:p>
    <w:p w:rsidR="009603D3" w:rsidRDefault="001A6D7E" w:rsidP="00877DAB">
      <w:pPr>
        <w:pStyle w:val="Compact"/>
        <w:numPr>
          <w:ilvl w:val="1"/>
          <w:numId w:val="19"/>
        </w:numPr>
        <w:spacing w:before="0" w:line="480" w:lineRule="auto"/>
      </w:pPr>
      <w:hyperlink w:anchor="survey-data">
        <w:r>
          <w:rPr>
            <w:rStyle w:val="Hyperlink"/>
          </w:rPr>
          <w:t>Survey data</w:t>
        </w:r>
      </w:hyperlink>
    </w:p>
    <w:p w:rsidR="009603D3" w:rsidRDefault="001A6D7E" w:rsidP="00877DAB">
      <w:pPr>
        <w:pStyle w:val="Compact"/>
        <w:numPr>
          <w:ilvl w:val="1"/>
          <w:numId w:val="19"/>
        </w:numPr>
        <w:spacing w:before="0" w:line="480" w:lineRule="auto"/>
      </w:pPr>
      <w:hyperlink w:anchor="Xd8ad7f23c7ab5ea1a5be8373fea30b2e386de14">
        <w:r>
          <w:rPr>
            <w:rStyle w:val="Hyperlink"/>
          </w:rPr>
          <w:t>Expanding length frequency to population abundance-at-length</w:t>
        </w:r>
      </w:hyperlink>
    </w:p>
    <w:p w:rsidR="009603D3" w:rsidRDefault="001A6D7E" w:rsidP="00877DAB">
      <w:pPr>
        <w:pStyle w:val="Compact"/>
        <w:numPr>
          <w:ilvl w:val="1"/>
          <w:numId w:val="19"/>
        </w:numPr>
        <w:spacing w:before="0" w:line="480" w:lineRule="auto"/>
      </w:pPr>
      <w:hyperlink w:anchor="X6d95262b46896bdc825dcb1c8faf26f14403203">
        <w:r>
          <w:rPr>
            <w:rStyle w:val="Hyperlink"/>
          </w:rPr>
          <w:t>Expanding specimen collections to population abundance-at-age</w:t>
        </w:r>
      </w:hyperlink>
    </w:p>
    <w:p w:rsidR="009603D3" w:rsidRDefault="001A6D7E" w:rsidP="00877DAB">
      <w:pPr>
        <w:pStyle w:val="Compact"/>
        <w:numPr>
          <w:ilvl w:val="1"/>
          <w:numId w:val="19"/>
        </w:numPr>
        <w:spacing w:before="0" w:line="480" w:lineRule="auto"/>
      </w:pPr>
      <w:hyperlink w:anchor="X9d806696d317e285f11de36862fb1be375c329b">
        <w:r>
          <w:rPr>
            <w:rStyle w:val="Hyperlink"/>
          </w:rPr>
          <w:t>Bootstrap framework for estimating age and length composition input sample size</w:t>
        </w:r>
      </w:hyperlink>
    </w:p>
    <w:p w:rsidR="009603D3" w:rsidRDefault="001A6D7E" w:rsidP="00877DAB">
      <w:pPr>
        <w:pStyle w:val="Compact"/>
        <w:numPr>
          <w:ilvl w:val="1"/>
          <w:numId w:val="19"/>
        </w:numPr>
        <w:spacing w:before="0" w:line="480" w:lineRule="auto"/>
      </w:pPr>
      <w:hyperlink w:anchor="X49e5b874be9fc021dfa0f52613416c6c55da08d">
        <w:r>
          <w:rPr>
            <w:rStyle w:val="Hyperlink"/>
          </w:rPr>
          <w:t>Computing effective and input sample size</w:t>
        </w:r>
      </w:hyperlink>
    </w:p>
    <w:p w:rsidR="009603D3" w:rsidRDefault="001A6D7E" w:rsidP="00877DAB">
      <w:pPr>
        <w:pStyle w:val="Compact"/>
        <w:numPr>
          <w:ilvl w:val="0"/>
          <w:numId w:val="18"/>
        </w:numPr>
        <w:spacing w:before="0" w:line="480" w:lineRule="auto"/>
      </w:pPr>
      <w:hyperlink w:anchor="results">
        <w:r>
          <w:rPr>
            <w:rStyle w:val="Hyperlink"/>
          </w:rPr>
          <w:t>Results</w:t>
        </w:r>
      </w:hyperlink>
    </w:p>
    <w:p w:rsidR="009603D3" w:rsidRDefault="001A6D7E" w:rsidP="00877DAB">
      <w:pPr>
        <w:pStyle w:val="Compact"/>
        <w:numPr>
          <w:ilvl w:val="0"/>
          <w:numId w:val="18"/>
        </w:numPr>
        <w:spacing w:before="0" w:line="480" w:lineRule="auto"/>
      </w:pPr>
      <w:hyperlink w:anchor="discussion">
        <w:r>
          <w:rPr>
            <w:rStyle w:val="Hyperlink"/>
          </w:rPr>
          <w:t>Discussion</w:t>
        </w:r>
      </w:hyperlink>
    </w:p>
    <w:p w:rsidR="009603D3" w:rsidRDefault="001A6D7E" w:rsidP="00877DAB">
      <w:pPr>
        <w:pStyle w:val="Compact"/>
        <w:numPr>
          <w:ilvl w:val="0"/>
          <w:numId w:val="18"/>
        </w:numPr>
        <w:spacing w:before="0" w:line="480" w:lineRule="auto"/>
      </w:pPr>
      <w:hyperlink w:anchor="acknowledgments">
        <w:r>
          <w:rPr>
            <w:rStyle w:val="Hyperlink"/>
          </w:rPr>
          <w:t>Acknowledgments</w:t>
        </w:r>
      </w:hyperlink>
    </w:p>
    <w:p w:rsidR="009603D3" w:rsidRDefault="001A6D7E" w:rsidP="00877DAB">
      <w:pPr>
        <w:pStyle w:val="Compact"/>
        <w:numPr>
          <w:ilvl w:val="0"/>
          <w:numId w:val="18"/>
        </w:numPr>
        <w:spacing w:before="0" w:line="480" w:lineRule="auto"/>
      </w:pPr>
      <w:hyperlink w:anchor="citations">
        <w:r>
          <w:rPr>
            <w:rStyle w:val="Hyperlink"/>
          </w:rPr>
          <w:t>Citations</w:t>
        </w:r>
      </w:hyperlink>
    </w:p>
    <w:p w:rsidR="009603D3" w:rsidRDefault="001A6D7E" w:rsidP="00877DAB">
      <w:pPr>
        <w:pStyle w:val="Compact"/>
        <w:numPr>
          <w:ilvl w:val="0"/>
          <w:numId w:val="18"/>
        </w:numPr>
        <w:spacing w:before="0" w:line="480" w:lineRule="auto"/>
      </w:pPr>
      <w:hyperlink w:anchor="tables">
        <w:r>
          <w:rPr>
            <w:rStyle w:val="Hyperlink"/>
          </w:rPr>
          <w:t>Tables</w:t>
        </w:r>
      </w:hyperlink>
    </w:p>
    <w:p w:rsidR="009603D3" w:rsidRDefault="001A6D7E" w:rsidP="00877DAB">
      <w:pPr>
        <w:pStyle w:val="Compact"/>
        <w:numPr>
          <w:ilvl w:val="0"/>
          <w:numId w:val="18"/>
        </w:numPr>
        <w:spacing w:before="0" w:line="480" w:lineRule="auto"/>
      </w:pPr>
      <w:hyperlink w:anchor="figures">
        <w:r>
          <w:rPr>
            <w:rStyle w:val="Hyperlink"/>
          </w:rPr>
          <w:t>Figures</w:t>
        </w:r>
      </w:hyperlink>
    </w:p>
    <w:p w:rsidR="009603D3" w:rsidRDefault="001A6D7E" w:rsidP="00877DAB">
      <w:pPr>
        <w:spacing w:before="0" w:line="480" w:lineRule="auto"/>
      </w:pPr>
      <w:r>
        <w:br w:type="page"/>
      </w:r>
    </w:p>
    <w:p w:rsidR="009603D3" w:rsidRDefault="001A6D7E" w:rsidP="00877DAB">
      <w:pPr>
        <w:pStyle w:val="Heading1"/>
      </w:pPr>
      <w:bookmarkStart w:id="1" w:name="materials-and-methods"/>
      <w:bookmarkEnd w:id="0"/>
      <w:r>
        <w:lastRenderedPageBreak/>
        <w:t>Materials and Methods</w:t>
      </w:r>
    </w:p>
    <w:p w:rsidR="009603D3" w:rsidRPr="000233FF" w:rsidRDefault="001A6D7E" w:rsidP="000233FF">
      <w:pPr>
        <w:pStyle w:val="Heading2"/>
        <w:rPr>
          <w:szCs w:val="24"/>
        </w:rPr>
      </w:pPr>
      <w:bookmarkStart w:id="2" w:name="survey-data"/>
      <w:r w:rsidRPr="000233FF">
        <w:rPr>
          <w:szCs w:val="24"/>
        </w:rPr>
        <w:t>Survey data</w:t>
      </w:r>
    </w:p>
    <w:p w:rsidR="009603D3" w:rsidRDefault="001A6D7E" w:rsidP="00E17DBE">
      <w:pPr>
        <w:pStyle w:val="FirstParagraph"/>
      </w:pPr>
      <w:r>
        <w:t>Data collection for each AFSC groundfish survey is described in respective NOAA Technical Memorandum (EBS: Lauth et a</w:t>
      </w:r>
      <w:bookmarkStart w:id="3" w:name="_GoBack"/>
      <w:bookmarkEnd w:id="3"/>
      <w:r>
        <w:t xml:space="preserve">l. 2019, AI: von Szalay et al. 2017, GOA: von Szalay and Raring 2018). Length frequency protocols and recent analysis of sex-specific length frequency data are further described in Hulson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E17DBE">
      <w:pPr>
        <w:pStyle w:val="BodyText"/>
      </w:pPr>
      <w:bookmarkStart w:id="4" w:name="X6d95262b46896bdc825dcb1c8faf26f14403203"/>
      <w:bookmarkEnd w:id="2"/>
      <w:r>
        <w:t xml:space="preserve">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(McGilliard and Palsson 2017, Bryan and </w:t>
      </w:r>
      <w:r>
        <w:lastRenderedPageBreak/>
        <w:t>Palsson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blackspotted and rougheye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sruvey in the GOA several species codes have been used for dusky rockfish. We have also developed a custom function that estimates population abundance-at-length and age for this case.</w:t>
      </w:r>
      <w:bookmarkEnd w:id="1"/>
      <w:bookmarkEnd w:id="4"/>
    </w:p>
    <w:sectPr w:rsidR="009603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81A" w:rsidRDefault="00B4681A">
      <w:pPr>
        <w:spacing w:before="0" w:line="240" w:lineRule="auto"/>
      </w:pPr>
      <w:r>
        <w:separator/>
      </w:r>
    </w:p>
  </w:endnote>
  <w:endnote w:type="continuationSeparator" w:id="0">
    <w:p w:rsidR="00B4681A" w:rsidRDefault="00B468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81A" w:rsidRDefault="00B4681A">
      <w:r>
        <w:separator/>
      </w:r>
    </w:p>
  </w:footnote>
  <w:footnote w:type="continuationSeparator" w:id="0">
    <w:p w:rsidR="00B4681A" w:rsidRDefault="00B46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6D483F"/>
    <w:rsid w:val="00877DAB"/>
    <w:rsid w:val="009603D3"/>
    <w:rsid w:val="00B4681A"/>
    <w:rsid w:val="00BD6C2D"/>
    <w:rsid w:val="00CA57F3"/>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14D0"/>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BD6C2D"/>
    <w:pPr>
      <w:outlineLvl w:val="0"/>
    </w:pPr>
    <w:rPr>
      <w:b/>
      <w:sz w:val="24"/>
      <w:szCs w:val="24"/>
    </w:rPr>
  </w:style>
  <w:style w:type="paragraph" w:styleId="Heading2">
    <w:name w:val="heading 2"/>
    <w:basedOn w:val="Heading1"/>
    <w:next w:val="BodyText"/>
    <w:uiPriority w:val="9"/>
    <w:unhideWhenUsed/>
    <w:qFormat/>
    <w:rsid w:val="000233FF"/>
    <w:pPr>
      <w:outlineLvl w:val="1"/>
    </w:pPr>
    <w:rPr>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BD6C2D"/>
    <w:pPr>
      <w:keepNext/>
      <w:keepLines/>
      <w:spacing w:before="0" w:line="480" w:lineRule="auto"/>
      <w:jc w:val="center"/>
    </w:pPr>
    <w:rPr>
      <w:rFonts w:eastAsia="Calibri" w:cstheme="majorBidi"/>
      <w:bCs w:val="0"/>
      <w:sz w:val="28"/>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BD6C2D"/>
    <w:rPr>
      <w:rFonts w:ascii="Times New Roman" w:eastAsia="Calibri" w:hAnsi="Times New Roman" w:cstheme="majorBidi"/>
      <w:sz w:val="28"/>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ettings" Target="settings.xml"/><Relationship Id="rId7" Type="http://schemas.openxmlformats.org/officeDocument/2006/relationships/hyperlink" Target="mailto:pete.hulson@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8</cp:revision>
  <dcterms:created xsi:type="dcterms:W3CDTF">2023-02-24T17:53:00Z</dcterms:created>
  <dcterms:modified xsi:type="dcterms:W3CDTF">2023-02-24T18:41:00Z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