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3E0C" w14:textId="6B9C2FF1" w:rsidR="007E60BB" w:rsidRDefault="00390B7F" w:rsidP="004852DD">
      <w:pPr>
        <w:pStyle w:val="Title"/>
        <w:jc w:val="left"/>
      </w:pPr>
      <w:r>
        <w:t>Where did all these kids come from?</w:t>
      </w:r>
    </w:p>
    <w:p w14:paraId="211C6B09" w14:textId="77777777" w:rsidR="00390B7F" w:rsidRDefault="00390B7F" w:rsidP="004852DD">
      <w:pPr>
        <w:pStyle w:val="BodyText"/>
        <w:rPr>
          <w:lang w:eastAsia="en-US"/>
        </w:rPr>
      </w:pPr>
    </w:p>
    <w:p w14:paraId="73A799A8" w14:textId="7E76BDAB" w:rsidR="008642B2" w:rsidRDefault="00390B7F" w:rsidP="004852DD">
      <w:pPr>
        <w:pStyle w:val="BodyText"/>
        <w:spacing w:line="240" w:lineRule="auto"/>
        <w:rPr>
          <w:lang w:eastAsia="en-US"/>
        </w:rPr>
      </w:pPr>
      <w:r>
        <w:rPr>
          <w:lang w:eastAsia="en-US"/>
        </w:rPr>
        <w:t xml:space="preserve">Despite some families leaving for the suburbs during COVID, the District’s youth-age population is </w:t>
      </w:r>
      <w:r w:rsidR="00A04213">
        <w:rPr>
          <w:lang w:eastAsia="en-US"/>
        </w:rPr>
        <w:t xml:space="preserve">10% </w:t>
      </w:r>
      <w:r>
        <w:rPr>
          <w:lang w:eastAsia="en-US"/>
        </w:rPr>
        <w:t xml:space="preserve">higher now than it </w:t>
      </w:r>
      <w:r w:rsidR="00A04213">
        <w:rPr>
          <w:lang w:eastAsia="en-US"/>
        </w:rPr>
        <w:t xml:space="preserve">was in </w:t>
      </w:r>
      <w:commentRangeStart w:id="0"/>
      <w:r w:rsidR="00A04213">
        <w:rPr>
          <w:lang w:eastAsia="en-US"/>
        </w:rPr>
        <w:t>1990</w:t>
      </w:r>
      <w:commentRangeEnd w:id="0"/>
      <w:r w:rsidR="004852DD">
        <w:rPr>
          <w:rStyle w:val="CommentReference"/>
          <w:sz w:val="24"/>
          <w:szCs w:val="24"/>
          <w:lang w:eastAsia="en-US"/>
        </w:rPr>
        <w:commentReference w:id="0"/>
      </w:r>
      <w:r w:rsidR="00523119">
        <w:rPr>
          <w:lang w:eastAsia="en-US"/>
        </w:rPr>
        <w:t>, and 22% higher</w:t>
      </w:r>
      <w:r w:rsidR="002112AB">
        <w:rPr>
          <w:lang w:eastAsia="en-US"/>
        </w:rPr>
        <w:t xml:space="preserve"> than it was in 2010</w:t>
      </w:r>
      <w:r>
        <w:rPr>
          <w:lang w:eastAsia="en-US"/>
        </w:rPr>
        <w:t xml:space="preserve">. </w:t>
      </w:r>
      <w:r w:rsidR="00854E81">
        <w:rPr>
          <w:lang w:eastAsia="en-US"/>
        </w:rPr>
        <w:t xml:space="preserve">This makes us unlike </w:t>
      </w:r>
      <w:r w:rsidR="00C8017B">
        <w:rPr>
          <w:lang w:eastAsia="en-US"/>
        </w:rPr>
        <w:t xml:space="preserve">many other major </w:t>
      </w:r>
      <w:r w:rsidR="0032306B">
        <w:rPr>
          <w:lang w:eastAsia="en-US"/>
        </w:rPr>
        <w:t xml:space="preserve">U.S. </w:t>
      </w:r>
      <w:r w:rsidR="00C8017B">
        <w:rPr>
          <w:lang w:eastAsia="en-US"/>
        </w:rPr>
        <w:t>urban areas, which</w:t>
      </w:r>
      <w:r w:rsidR="00CE15BB">
        <w:rPr>
          <w:lang w:eastAsia="en-US"/>
        </w:rPr>
        <w:t xml:space="preserve">, according to a recent Wall Street Journal </w:t>
      </w:r>
      <w:hyperlink r:id="rId10" w:history="1">
        <w:r w:rsidR="00CE15BB" w:rsidRPr="000E7B44">
          <w:rPr>
            <w:rStyle w:val="Hyperlink"/>
            <w:lang w:eastAsia="en-US"/>
          </w:rPr>
          <w:t>analysis</w:t>
        </w:r>
      </w:hyperlink>
      <w:r w:rsidR="00CE15BB">
        <w:rPr>
          <w:lang w:eastAsia="en-US"/>
        </w:rPr>
        <w:t xml:space="preserve"> of Census</w:t>
      </w:r>
      <w:r w:rsidR="006D7ADC">
        <w:rPr>
          <w:lang w:eastAsia="en-US"/>
        </w:rPr>
        <w:t xml:space="preserve"> Bureau</w:t>
      </w:r>
      <w:r w:rsidR="00CE15BB">
        <w:rPr>
          <w:lang w:eastAsia="en-US"/>
        </w:rPr>
        <w:t xml:space="preserve"> data, </w:t>
      </w:r>
      <w:r w:rsidR="000E7B44">
        <w:rPr>
          <w:lang w:eastAsia="en-US"/>
        </w:rPr>
        <w:t>saw their youth-age populations drop 6% on average</w:t>
      </w:r>
      <w:r w:rsidR="00A809F9">
        <w:rPr>
          <w:lang w:eastAsia="en-US"/>
        </w:rPr>
        <w:t xml:space="preserve">. Nationwide, </w:t>
      </w:r>
      <w:r w:rsidR="007521AB">
        <w:rPr>
          <w:lang w:eastAsia="en-US"/>
        </w:rPr>
        <w:t xml:space="preserve">the </w:t>
      </w:r>
      <w:r w:rsidR="00A809F9">
        <w:rPr>
          <w:lang w:eastAsia="en-US"/>
        </w:rPr>
        <w:t xml:space="preserve">youth </w:t>
      </w:r>
      <w:r w:rsidR="007521AB">
        <w:rPr>
          <w:lang w:eastAsia="en-US"/>
        </w:rPr>
        <w:t>population</w:t>
      </w:r>
      <w:r w:rsidR="00A809F9">
        <w:rPr>
          <w:lang w:eastAsia="en-US"/>
        </w:rPr>
        <w:t xml:space="preserve"> declined </w:t>
      </w:r>
      <w:r w:rsidR="002B5E72">
        <w:rPr>
          <w:lang w:eastAsia="en-US"/>
        </w:rPr>
        <w:t xml:space="preserve">1%. </w:t>
      </w:r>
      <w:r w:rsidR="00976D38">
        <w:rPr>
          <w:lang w:eastAsia="en-US"/>
        </w:rPr>
        <w:t>This post explores why DC has been</w:t>
      </w:r>
      <w:r w:rsidR="008642B2">
        <w:rPr>
          <w:lang w:eastAsia="en-US"/>
        </w:rPr>
        <w:t xml:space="preserve"> an exception to this trend.</w:t>
      </w:r>
      <w:r w:rsidR="0015476E">
        <w:rPr>
          <w:lang w:eastAsia="en-US"/>
        </w:rPr>
        <w:t xml:space="preserve"> </w:t>
      </w:r>
    </w:p>
    <w:p w14:paraId="6B822565" w14:textId="77777777" w:rsidR="00AB6F11" w:rsidRDefault="00AB6F11" w:rsidP="004852DD">
      <w:pPr>
        <w:pStyle w:val="BodyText"/>
        <w:spacing w:line="240" w:lineRule="auto"/>
        <w:rPr>
          <w:lang w:eastAsia="en-US"/>
        </w:rPr>
      </w:pPr>
    </w:p>
    <w:p w14:paraId="36C07A4F" w14:textId="1967BB46" w:rsidR="00AB6F11" w:rsidRDefault="00AB6F11" w:rsidP="004852DD">
      <w:pPr>
        <w:pStyle w:val="BodyText"/>
        <w:spacing w:line="240" w:lineRule="auto"/>
        <w:rPr>
          <w:lang w:eastAsia="en-US"/>
        </w:rPr>
      </w:pPr>
      <w:r>
        <w:rPr>
          <w:lang w:eastAsia="en-US"/>
        </w:rPr>
        <w:t>Takeaways:</w:t>
      </w:r>
    </w:p>
    <w:p w14:paraId="0A42BE73" w14:textId="33B90B19" w:rsidR="00AB6F11" w:rsidRDefault="00AB6F11" w:rsidP="004852DD">
      <w:pPr>
        <w:pStyle w:val="BodyText"/>
        <w:numPr>
          <w:ilvl w:val="0"/>
          <w:numId w:val="3"/>
        </w:numPr>
        <w:spacing w:line="240" w:lineRule="auto"/>
        <w:rPr>
          <w:lang w:eastAsia="en-US"/>
        </w:rPr>
      </w:pPr>
      <w:r>
        <w:rPr>
          <w:lang w:eastAsia="en-US"/>
        </w:rPr>
        <w:t>In the mid-20</w:t>
      </w:r>
      <w:r w:rsidRPr="00AB6F11">
        <w:rPr>
          <w:vertAlign w:val="superscript"/>
          <w:lang w:eastAsia="en-US"/>
        </w:rPr>
        <w:t>th</w:t>
      </w:r>
      <w:r>
        <w:rPr>
          <w:lang w:eastAsia="en-US"/>
        </w:rPr>
        <w:t xml:space="preserve"> century, the District had many more children than it has today.</w:t>
      </w:r>
    </w:p>
    <w:p w14:paraId="68DF6D9A" w14:textId="6CA4D315" w:rsidR="00AB6F11" w:rsidRPr="00CD2B22" w:rsidRDefault="00AB6F11" w:rsidP="004852DD">
      <w:pPr>
        <w:pStyle w:val="BodyText"/>
        <w:numPr>
          <w:ilvl w:val="0"/>
          <w:numId w:val="3"/>
        </w:numPr>
        <w:spacing w:line="240" w:lineRule="auto"/>
        <w:rPr>
          <w:lang w:eastAsia="en-US"/>
        </w:rPr>
      </w:pPr>
      <w:r>
        <w:rPr>
          <w:lang w:eastAsia="en-US"/>
        </w:rPr>
        <w:t>A significant share of the</w:t>
      </w:r>
      <w:r w:rsidRPr="00CD2B22">
        <w:rPr>
          <w:lang w:eastAsia="en-US"/>
        </w:rPr>
        <w:t xml:space="preserve"> 2010s growth </w:t>
      </w:r>
      <w:r>
        <w:rPr>
          <w:lang w:eastAsia="en-US"/>
        </w:rPr>
        <w:t xml:space="preserve">in DC’s youth population </w:t>
      </w:r>
      <w:r w:rsidRPr="00CD2B22">
        <w:rPr>
          <w:lang w:eastAsia="en-US"/>
        </w:rPr>
        <w:t xml:space="preserve">is a return to the child population DC had around </w:t>
      </w:r>
      <w:r>
        <w:rPr>
          <w:lang w:eastAsia="en-US"/>
        </w:rPr>
        <w:t>1995</w:t>
      </w:r>
      <w:r w:rsidRPr="00CD2B22">
        <w:rPr>
          <w:lang w:eastAsia="en-US"/>
        </w:rPr>
        <w:t>.</w:t>
      </w:r>
      <w:r>
        <w:rPr>
          <w:lang w:eastAsia="en-US"/>
        </w:rPr>
        <w:t xml:space="preserve"> </w:t>
      </w:r>
    </w:p>
    <w:p w14:paraId="5E7C8FED" w14:textId="77777777" w:rsidR="00AB6F11" w:rsidRPr="00CD2B22" w:rsidRDefault="00AB6F11" w:rsidP="004852DD">
      <w:pPr>
        <w:pStyle w:val="BodyText"/>
        <w:numPr>
          <w:ilvl w:val="0"/>
          <w:numId w:val="3"/>
        </w:numPr>
        <w:spacing w:line="240" w:lineRule="auto"/>
        <w:rPr>
          <w:lang w:eastAsia="en-US"/>
        </w:rPr>
      </w:pPr>
      <w:r w:rsidRPr="00CD2B22">
        <w:rPr>
          <w:lang w:eastAsia="en-US"/>
        </w:rPr>
        <w:t>Some of DC’s 2010s child population growth came from more births. That happened because more adults of childbearing age lived here, not because fertility rose (it fell).</w:t>
      </w:r>
    </w:p>
    <w:p w14:paraId="6BAA4EE9" w14:textId="6B2ED46B" w:rsidR="00AB6F11" w:rsidRPr="00CD2B22" w:rsidRDefault="00AB6F11" w:rsidP="004852DD">
      <w:pPr>
        <w:pStyle w:val="BodyText"/>
        <w:numPr>
          <w:ilvl w:val="0"/>
          <w:numId w:val="3"/>
        </w:numPr>
        <w:spacing w:line="240" w:lineRule="auto"/>
        <w:rPr>
          <w:lang w:eastAsia="en-US"/>
        </w:rPr>
      </w:pPr>
      <w:r w:rsidRPr="00CD2B22">
        <w:rPr>
          <w:lang w:eastAsia="en-US"/>
        </w:rPr>
        <w:t>Child net out-migration also shrank</w:t>
      </w:r>
      <w:r w:rsidR="00726769">
        <w:rPr>
          <w:lang w:eastAsia="en-US"/>
        </w:rPr>
        <w:t xml:space="preserve"> during the 2010s: relatively more families with children moved into DC</w:t>
      </w:r>
      <w:r w:rsidRPr="00CD2B22">
        <w:rPr>
          <w:lang w:eastAsia="en-US"/>
        </w:rPr>
        <w:t>,</w:t>
      </w:r>
      <w:r w:rsidR="00726769">
        <w:rPr>
          <w:lang w:eastAsia="en-US"/>
        </w:rPr>
        <w:t xml:space="preserve"> and fewer moved out. That said,</w:t>
      </w:r>
      <w:r w:rsidRPr="00CD2B22">
        <w:rPr>
          <w:lang w:eastAsia="en-US"/>
        </w:rPr>
        <w:t xml:space="preserve"> </w:t>
      </w:r>
      <w:r w:rsidR="00726769">
        <w:rPr>
          <w:lang w:eastAsia="en-US"/>
        </w:rPr>
        <w:t xml:space="preserve">net migration </w:t>
      </w:r>
      <w:r w:rsidRPr="00CD2B22">
        <w:rPr>
          <w:lang w:eastAsia="en-US"/>
        </w:rPr>
        <w:t>remained negative at every child age</w:t>
      </w:r>
      <w:r w:rsidR="00726769">
        <w:rPr>
          <w:lang w:eastAsia="en-US"/>
        </w:rPr>
        <w:t xml:space="preserve"> during the 2010s</w:t>
      </w:r>
      <w:r w:rsidR="00E066F9">
        <w:rPr>
          <w:lang w:eastAsia="en-US"/>
        </w:rPr>
        <w:t xml:space="preserve"> (it just became less negative than in, say, the 2000s)</w:t>
      </w:r>
      <w:r w:rsidRPr="00CD2B22">
        <w:rPr>
          <w:lang w:eastAsia="en-US"/>
        </w:rPr>
        <w:t>.</w:t>
      </w:r>
    </w:p>
    <w:p w14:paraId="7FA23C59" w14:textId="77777777" w:rsidR="00AB6F11" w:rsidRPr="00CD2B22" w:rsidRDefault="00AB6F11" w:rsidP="004852DD">
      <w:pPr>
        <w:pStyle w:val="BodyText"/>
        <w:numPr>
          <w:ilvl w:val="0"/>
          <w:numId w:val="3"/>
        </w:numPr>
        <w:spacing w:line="240" w:lineRule="auto"/>
        <w:rPr>
          <w:lang w:eastAsia="en-US"/>
        </w:rPr>
      </w:pPr>
      <w:r w:rsidRPr="00CD2B22">
        <w:rPr>
          <w:lang w:eastAsia="en-US"/>
        </w:rPr>
        <w:t>Roughly a third of the swing from population decline in the 2000s to growth in the 2010s came from a smaller cohort aging out, a legacy of the 2000s’ low point in youth population.</w:t>
      </w:r>
    </w:p>
    <w:p w14:paraId="0DF21E57" w14:textId="77777777" w:rsidR="00AB6F11" w:rsidRPr="00CD2B22" w:rsidRDefault="00AB6F11" w:rsidP="004852DD">
      <w:pPr>
        <w:pStyle w:val="BodyText"/>
        <w:numPr>
          <w:ilvl w:val="0"/>
          <w:numId w:val="3"/>
        </w:numPr>
        <w:spacing w:line="240" w:lineRule="auto"/>
        <w:rPr>
          <w:lang w:eastAsia="en-US"/>
        </w:rPr>
      </w:pPr>
      <w:r w:rsidRPr="00CD2B22">
        <w:rPr>
          <w:lang w:eastAsia="en-US"/>
        </w:rPr>
        <w:t>The population gains were concentrated among Hispanic, non-Hispanic White, and higher-income families. The number of Black children fell.</w:t>
      </w:r>
    </w:p>
    <w:p w14:paraId="73283753" w14:textId="77777777" w:rsidR="00AB6F11" w:rsidRDefault="00AB6F11" w:rsidP="004852DD">
      <w:pPr>
        <w:pStyle w:val="BodyText"/>
        <w:spacing w:line="240" w:lineRule="auto"/>
        <w:rPr>
          <w:lang w:eastAsia="en-US"/>
        </w:rPr>
      </w:pPr>
    </w:p>
    <w:p w14:paraId="5E43856F" w14:textId="77777777" w:rsidR="00AB6F11" w:rsidRDefault="00AB6F11" w:rsidP="004852DD">
      <w:pPr>
        <w:pStyle w:val="BodyText"/>
        <w:spacing w:line="240" w:lineRule="auto"/>
        <w:rPr>
          <w:lang w:eastAsia="en-US"/>
        </w:rPr>
      </w:pPr>
    </w:p>
    <w:p w14:paraId="52AD1ADF" w14:textId="100D51BB" w:rsidR="008642B2" w:rsidRDefault="008642B2" w:rsidP="004852DD">
      <w:pPr>
        <w:pStyle w:val="BodyText"/>
        <w:spacing w:line="240" w:lineRule="auto"/>
        <w:rPr>
          <w:lang w:eastAsia="en-US"/>
        </w:rPr>
      </w:pPr>
    </w:p>
    <w:p w14:paraId="5A6DAD5A" w14:textId="77777777" w:rsidR="00C11341" w:rsidRDefault="00C11341" w:rsidP="004852DD">
      <w:pPr>
        <w:pStyle w:val="Heading1"/>
        <w:spacing w:line="240" w:lineRule="auto"/>
      </w:pPr>
      <w:r>
        <w:t>Youth history</w:t>
      </w:r>
    </w:p>
    <w:p w14:paraId="54036BCA" w14:textId="151BAAFA" w:rsidR="00973572" w:rsidRDefault="00C11341" w:rsidP="004852DD">
      <w:pPr>
        <w:spacing w:line="240" w:lineRule="auto"/>
      </w:pPr>
      <w:r>
        <w:t xml:space="preserve">First, </w:t>
      </w:r>
      <w:r w:rsidR="005D02F5">
        <w:t xml:space="preserve">let’s </w:t>
      </w:r>
      <w:r w:rsidR="002C138E">
        <w:t xml:space="preserve">quickly </w:t>
      </w:r>
      <w:r w:rsidR="00BB4D2C">
        <w:t xml:space="preserve">compare DC to </w:t>
      </w:r>
      <w:r w:rsidR="002C138E">
        <w:t xml:space="preserve">its own past, and to other U.S. urban areas. </w:t>
      </w:r>
    </w:p>
    <w:p w14:paraId="32EAB82A" w14:textId="18374F91" w:rsidR="00973572" w:rsidRDefault="00973572" w:rsidP="004852DD">
      <w:pPr>
        <w:spacing w:line="240" w:lineRule="auto"/>
      </w:pPr>
      <w:r>
        <w:t>DC has experienced a recent uptick in its youth population, even with a COVID-induced dip.</w:t>
      </w:r>
    </w:p>
    <w:p w14:paraId="7C599D54" w14:textId="77777777" w:rsidR="00973572" w:rsidRDefault="00973572" w:rsidP="004852DD">
      <w:pPr>
        <w:spacing w:line="240" w:lineRule="auto"/>
      </w:pPr>
      <w:r>
        <w:rPr>
          <w:noProof/>
        </w:rPr>
        <w:lastRenderedPageBreak/>
        <w:drawing>
          <wp:inline distT="0" distB="0" distL="0" distR="0" wp14:anchorId="76BD94BF" wp14:editId="62004970">
            <wp:extent cx="5943600" cy="4245610"/>
            <wp:effectExtent l="0" t="0" r="0" b="2540"/>
            <wp:docPr id="130760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E6A62AD" w14:textId="77777777" w:rsidR="00973572" w:rsidRDefault="00973572" w:rsidP="004852DD">
      <w:pPr>
        <w:spacing w:line="240" w:lineRule="auto"/>
      </w:pPr>
    </w:p>
    <w:p w14:paraId="0F95D8F0" w14:textId="2117ECC6" w:rsidR="009D0345" w:rsidRDefault="00625302" w:rsidP="004852DD">
      <w:pPr>
        <w:spacing w:line="240" w:lineRule="auto"/>
      </w:pPr>
      <w:r>
        <w:t xml:space="preserve">But by broader historical standards, our youth population is somewhat low. </w:t>
      </w:r>
      <w:r w:rsidR="009D0345">
        <w:t xml:space="preserve">DC’s </w:t>
      </w:r>
      <w:r w:rsidR="00C72F8F">
        <w:t xml:space="preserve">total </w:t>
      </w:r>
      <w:r w:rsidR="009D0345">
        <w:t>population peaked in the mid-20</w:t>
      </w:r>
      <w:r w:rsidR="009D0345" w:rsidRPr="009D0345">
        <w:rPr>
          <w:vertAlign w:val="superscript"/>
        </w:rPr>
        <w:t>th</w:t>
      </w:r>
      <w:r w:rsidR="009D0345">
        <w:t xml:space="preserve"> century</w:t>
      </w:r>
      <w:r w:rsidR="00C72F8F">
        <w:t xml:space="preserve">—and </w:t>
      </w:r>
      <w:r w:rsidR="00B015C2">
        <w:t>there were</w:t>
      </w:r>
      <w:r w:rsidR="00234004">
        <w:t xml:space="preserve"> almost twice as many kids</w:t>
      </w:r>
      <w:r w:rsidR="00C72F8F">
        <w:t xml:space="preserve"> living in the District</w:t>
      </w:r>
      <w:r w:rsidR="00234004">
        <w:t xml:space="preserve"> back then. </w:t>
      </w:r>
      <w:r w:rsidR="00927FAD">
        <w:t>I</w:t>
      </w:r>
      <w:r w:rsidR="00B015C2">
        <w:t>n 1960, one in four DC residents were under age 15.</w:t>
      </w:r>
      <w:r w:rsidR="00927FAD">
        <w:t xml:space="preserve"> </w:t>
      </w:r>
    </w:p>
    <w:p w14:paraId="60985B09" w14:textId="77777777" w:rsidR="00927FAD" w:rsidRDefault="00927FAD" w:rsidP="004852DD">
      <w:pPr>
        <w:spacing w:line="240" w:lineRule="auto"/>
      </w:pPr>
    </w:p>
    <w:p w14:paraId="1B8299FF" w14:textId="64CE740D" w:rsidR="00927FAD" w:rsidRDefault="00C72F8F" w:rsidP="004852DD">
      <w:pPr>
        <w:spacing w:line="240" w:lineRule="auto"/>
      </w:pPr>
      <w:r>
        <w:rPr>
          <w:noProof/>
        </w:rPr>
        <w:lastRenderedPageBreak/>
        <w:drawing>
          <wp:inline distT="0" distB="0" distL="0" distR="0" wp14:anchorId="437EF4EC" wp14:editId="5CA261E5">
            <wp:extent cx="5943600" cy="4245610"/>
            <wp:effectExtent l="0" t="0" r="0" b="2540"/>
            <wp:docPr id="1379396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C28B8F9" w14:textId="77777777" w:rsidR="00C72F8F" w:rsidRDefault="00C72F8F" w:rsidP="004852DD">
      <w:pPr>
        <w:spacing w:line="240" w:lineRule="auto"/>
      </w:pPr>
    </w:p>
    <w:p w14:paraId="3A82C267" w14:textId="09717542" w:rsidR="00927FAD" w:rsidRDefault="00C72F8F" w:rsidP="004852DD">
      <w:pPr>
        <w:spacing w:line="240" w:lineRule="auto"/>
      </w:pPr>
      <w:r>
        <w:t>In the latter half of the 20</w:t>
      </w:r>
      <w:r w:rsidRPr="004A76BB">
        <w:rPr>
          <w:vertAlign w:val="superscript"/>
        </w:rPr>
        <w:t>th</w:t>
      </w:r>
      <w:r>
        <w:t xml:space="preserve"> century, DC’s child population cratered, as many White families (and, later, Black families) decamped to the suburbs. </w:t>
      </w:r>
      <w:r w:rsidR="00927FAD">
        <w:t>Relative to other urban areas, DC has relatively fewer children. The chart below shows the percentage of residents in large urban counties that are under age 18. DC is near the bottom.</w:t>
      </w:r>
    </w:p>
    <w:p w14:paraId="3C8726A7" w14:textId="43390293" w:rsidR="00053D1C" w:rsidRDefault="00927FAD" w:rsidP="004852DD">
      <w:pPr>
        <w:spacing w:after="160" w:line="240" w:lineRule="auto"/>
      </w:pPr>
      <w:r>
        <w:rPr>
          <w:noProof/>
        </w:rPr>
        <w:lastRenderedPageBreak/>
        <w:drawing>
          <wp:inline distT="0" distB="0" distL="0" distR="0" wp14:anchorId="6AE9B3DD" wp14:editId="7E488B5D">
            <wp:extent cx="5943600" cy="4245610"/>
            <wp:effectExtent l="0" t="0" r="7620" b="0"/>
            <wp:docPr id="13048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r w:rsidR="004A76BB">
        <w:br w:type="page"/>
      </w:r>
    </w:p>
    <w:p w14:paraId="4F861128" w14:textId="53C3245E" w:rsidR="0017397D" w:rsidRDefault="00112D68" w:rsidP="004852DD">
      <w:pPr>
        <w:pStyle w:val="Heading1"/>
        <w:spacing w:line="240" w:lineRule="auto"/>
      </w:pPr>
      <w:r>
        <w:lastRenderedPageBreak/>
        <w:t>March of the Tots</w:t>
      </w:r>
    </w:p>
    <w:p w14:paraId="5A4C18C9" w14:textId="77777777" w:rsidR="000F2D6C" w:rsidRDefault="000F2D6C" w:rsidP="004852DD">
      <w:pPr>
        <w:pStyle w:val="BodyText"/>
        <w:spacing w:line="240" w:lineRule="auto"/>
        <w:rPr>
          <w:lang w:eastAsia="en-US"/>
        </w:rPr>
      </w:pPr>
    </w:p>
    <w:p w14:paraId="2862CE80" w14:textId="09B3EF47" w:rsidR="00112D68" w:rsidRDefault="000F2D6C" w:rsidP="004852DD">
      <w:pPr>
        <w:pStyle w:val="BodyText"/>
        <w:spacing w:line="240" w:lineRule="auto"/>
        <w:rPr>
          <w:lang w:eastAsia="en-US"/>
        </w:rPr>
      </w:pPr>
      <w:r>
        <w:rPr>
          <w:lang w:eastAsia="en-US"/>
        </w:rPr>
        <w:t xml:space="preserve">Much </w:t>
      </w:r>
      <w:r w:rsidR="00112D68">
        <w:rPr>
          <w:lang w:eastAsia="en-US"/>
        </w:rPr>
        <w:t xml:space="preserve">of </w:t>
      </w:r>
      <w:r w:rsidR="00F86C7E">
        <w:rPr>
          <w:lang w:eastAsia="en-US"/>
        </w:rPr>
        <w:t>the recent</w:t>
      </w:r>
      <w:r w:rsidR="00112D68">
        <w:rPr>
          <w:lang w:eastAsia="en-US"/>
        </w:rPr>
        <w:t xml:space="preserve"> increase in the District’s youth population has been concentrated among very young children (under age 5), although older age groups (between ages 5 and 12) saw population increases between 2010 and 2020.</w:t>
      </w:r>
    </w:p>
    <w:p w14:paraId="601565E4" w14:textId="77777777" w:rsidR="00112D68" w:rsidRPr="00112D68" w:rsidRDefault="00112D68" w:rsidP="004852DD">
      <w:pPr>
        <w:pStyle w:val="BodyText"/>
        <w:spacing w:line="240" w:lineRule="auto"/>
        <w:rPr>
          <w:lang w:eastAsia="en-US"/>
        </w:rPr>
      </w:pPr>
    </w:p>
    <w:tbl>
      <w:tblPr>
        <w:tblW w:w="10800" w:type="dxa"/>
        <w:shd w:val="clear" w:color="auto" w:fill="FFFFFF"/>
        <w:tblCellMar>
          <w:top w:w="15" w:type="dxa"/>
          <w:left w:w="15" w:type="dxa"/>
          <w:bottom w:w="15" w:type="dxa"/>
          <w:right w:w="15" w:type="dxa"/>
        </w:tblCellMar>
        <w:tblLook w:val="04A0" w:firstRow="1" w:lastRow="0" w:firstColumn="1" w:lastColumn="0" w:noHBand="0" w:noVBand="1"/>
      </w:tblPr>
      <w:tblGrid>
        <w:gridCol w:w="2160"/>
        <w:gridCol w:w="2160"/>
        <w:gridCol w:w="2160"/>
        <w:gridCol w:w="2160"/>
        <w:gridCol w:w="2160"/>
      </w:tblGrid>
      <w:tr w:rsidR="0017397D" w:rsidRPr="0017397D" w14:paraId="64C3D89D" w14:textId="77777777" w:rsidTr="0017397D">
        <w:trPr>
          <w:tblHeader/>
        </w:trPr>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7A302E3D" w14:textId="77777777" w:rsidR="0017397D" w:rsidRPr="0017397D" w:rsidRDefault="0017397D" w:rsidP="004852DD">
            <w:pPr>
              <w:pStyle w:val="BodyText"/>
              <w:spacing w:after="0" w:line="240" w:lineRule="auto"/>
              <w:rPr>
                <w:b/>
                <w:bCs/>
                <w:lang w:eastAsia="en-US"/>
              </w:rPr>
            </w:pPr>
            <w:r w:rsidRPr="0017397D">
              <w:rPr>
                <w:b/>
                <w:bCs/>
                <w:lang w:eastAsia="en-US"/>
              </w:rPr>
              <w:t>Age group</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256AD498" w14:textId="77777777" w:rsidR="0017397D" w:rsidRPr="0017397D" w:rsidRDefault="0017397D" w:rsidP="004852DD">
            <w:pPr>
              <w:pStyle w:val="BodyText"/>
              <w:spacing w:after="0" w:line="240" w:lineRule="auto"/>
              <w:rPr>
                <w:b/>
                <w:bCs/>
                <w:lang w:eastAsia="en-US"/>
              </w:rPr>
            </w:pPr>
            <w:r w:rsidRPr="0017397D">
              <w:rPr>
                <w:b/>
                <w:bCs/>
                <w:lang w:eastAsia="en-US"/>
              </w:rPr>
              <w:t>2000 population</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0E6A9D91" w14:textId="77777777" w:rsidR="0017397D" w:rsidRPr="0017397D" w:rsidRDefault="0017397D" w:rsidP="004852DD">
            <w:pPr>
              <w:pStyle w:val="BodyText"/>
              <w:spacing w:after="0" w:line="240" w:lineRule="auto"/>
              <w:rPr>
                <w:b/>
                <w:bCs/>
                <w:lang w:eastAsia="en-US"/>
              </w:rPr>
            </w:pPr>
            <w:r w:rsidRPr="0017397D">
              <w:rPr>
                <w:b/>
                <w:bCs/>
                <w:lang w:eastAsia="en-US"/>
              </w:rPr>
              <w:t>2010 population</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2B2B8F0E" w14:textId="77777777" w:rsidR="0017397D" w:rsidRPr="0017397D" w:rsidRDefault="0017397D" w:rsidP="004852DD">
            <w:pPr>
              <w:pStyle w:val="BodyText"/>
              <w:spacing w:after="0" w:line="240" w:lineRule="auto"/>
              <w:rPr>
                <w:b/>
                <w:bCs/>
                <w:lang w:eastAsia="en-US"/>
              </w:rPr>
            </w:pPr>
            <w:r w:rsidRPr="0017397D">
              <w:rPr>
                <w:b/>
                <w:bCs/>
                <w:lang w:eastAsia="en-US"/>
              </w:rPr>
              <w:t>2020 population</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411BDB96" w14:textId="77777777" w:rsidR="0017397D" w:rsidRPr="0017397D" w:rsidRDefault="0017397D" w:rsidP="004852DD">
            <w:pPr>
              <w:pStyle w:val="BodyText"/>
              <w:spacing w:after="0" w:line="240" w:lineRule="auto"/>
              <w:rPr>
                <w:b/>
                <w:bCs/>
                <w:lang w:eastAsia="en-US"/>
              </w:rPr>
            </w:pPr>
            <w:r w:rsidRPr="0017397D">
              <w:rPr>
                <w:b/>
                <w:bCs/>
                <w:lang w:eastAsia="en-US"/>
              </w:rPr>
              <w:t>’00 - ’20 change</w:t>
            </w:r>
          </w:p>
        </w:tc>
      </w:tr>
      <w:tr w:rsidR="0017397D" w:rsidRPr="0017397D" w14:paraId="423AF576"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4859F80B" w14:textId="77777777" w:rsidR="0017397D" w:rsidRPr="0017397D" w:rsidRDefault="0017397D" w:rsidP="004852DD">
            <w:pPr>
              <w:pStyle w:val="BodyText"/>
              <w:spacing w:after="0" w:line="240" w:lineRule="auto"/>
              <w:rPr>
                <w:lang w:eastAsia="en-US"/>
              </w:rPr>
            </w:pPr>
            <w:r w:rsidRPr="0017397D">
              <w:rPr>
                <w:lang w:eastAsia="en-US"/>
              </w:rPr>
              <w:t>under 3</w:t>
            </w:r>
          </w:p>
        </w:tc>
        <w:tc>
          <w:tcPr>
            <w:tcW w:w="2160" w:type="dxa"/>
            <w:tcBorders>
              <w:top w:val="single" w:sz="6" w:space="0" w:color="DDDDDD"/>
            </w:tcBorders>
            <w:shd w:val="clear" w:color="auto" w:fill="FFFFFF"/>
            <w:tcMar>
              <w:top w:w="75" w:type="dxa"/>
              <w:left w:w="75" w:type="dxa"/>
              <w:bottom w:w="75" w:type="dxa"/>
              <w:right w:w="75" w:type="dxa"/>
            </w:tcMar>
            <w:hideMark/>
          </w:tcPr>
          <w:p w14:paraId="3E8DA53F" w14:textId="77777777" w:rsidR="0017397D" w:rsidRPr="0017397D" w:rsidRDefault="0017397D" w:rsidP="004852DD">
            <w:pPr>
              <w:pStyle w:val="BodyText"/>
              <w:spacing w:after="0" w:line="240" w:lineRule="auto"/>
              <w:rPr>
                <w:lang w:eastAsia="en-US"/>
              </w:rPr>
            </w:pPr>
            <w:r w:rsidRPr="0017397D">
              <w:rPr>
                <w:lang w:eastAsia="en-US"/>
              </w:rPr>
              <w:t>19,276</w:t>
            </w:r>
          </w:p>
        </w:tc>
        <w:tc>
          <w:tcPr>
            <w:tcW w:w="2160" w:type="dxa"/>
            <w:tcBorders>
              <w:top w:val="single" w:sz="6" w:space="0" w:color="DDDDDD"/>
            </w:tcBorders>
            <w:shd w:val="clear" w:color="auto" w:fill="FFFFFF"/>
            <w:tcMar>
              <w:top w:w="75" w:type="dxa"/>
              <w:left w:w="75" w:type="dxa"/>
              <w:bottom w:w="75" w:type="dxa"/>
              <w:right w:w="75" w:type="dxa"/>
            </w:tcMar>
            <w:hideMark/>
          </w:tcPr>
          <w:p w14:paraId="5B094743" w14:textId="77777777" w:rsidR="0017397D" w:rsidRPr="0017397D" w:rsidRDefault="0017397D" w:rsidP="004852DD">
            <w:pPr>
              <w:pStyle w:val="BodyText"/>
              <w:spacing w:after="0" w:line="240" w:lineRule="auto"/>
              <w:rPr>
                <w:lang w:eastAsia="en-US"/>
              </w:rPr>
            </w:pPr>
            <w:r w:rsidRPr="0017397D">
              <w:rPr>
                <w:lang w:eastAsia="en-US"/>
              </w:rPr>
              <w:t>20,551</w:t>
            </w:r>
          </w:p>
        </w:tc>
        <w:tc>
          <w:tcPr>
            <w:tcW w:w="2160" w:type="dxa"/>
            <w:tcBorders>
              <w:top w:val="single" w:sz="6" w:space="0" w:color="DDDDDD"/>
            </w:tcBorders>
            <w:shd w:val="clear" w:color="auto" w:fill="FFFFFF"/>
            <w:tcMar>
              <w:top w:w="75" w:type="dxa"/>
              <w:left w:w="75" w:type="dxa"/>
              <w:bottom w:w="75" w:type="dxa"/>
              <w:right w:w="75" w:type="dxa"/>
            </w:tcMar>
            <w:hideMark/>
          </w:tcPr>
          <w:p w14:paraId="0DFFCC54" w14:textId="77777777" w:rsidR="0017397D" w:rsidRPr="0017397D" w:rsidRDefault="0017397D" w:rsidP="004852DD">
            <w:pPr>
              <w:pStyle w:val="BodyText"/>
              <w:spacing w:after="0" w:line="240" w:lineRule="auto"/>
              <w:rPr>
                <w:lang w:eastAsia="en-US"/>
              </w:rPr>
            </w:pPr>
            <w:r w:rsidRPr="0017397D">
              <w:rPr>
                <w:lang w:eastAsia="en-US"/>
              </w:rPr>
              <w:t>22,543</w:t>
            </w:r>
          </w:p>
        </w:tc>
        <w:tc>
          <w:tcPr>
            <w:tcW w:w="2160" w:type="dxa"/>
            <w:tcBorders>
              <w:top w:val="single" w:sz="6" w:space="0" w:color="DDDDDD"/>
            </w:tcBorders>
            <w:shd w:val="clear" w:color="auto" w:fill="FFFFFF"/>
            <w:tcMar>
              <w:top w:w="75" w:type="dxa"/>
              <w:left w:w="75" w:type="dxa"/>
              <w:bottom w:w="75" w:type="dxa"/>
              <w:right w:w="75" w:type="dxa"/>
            </w:tcMar>
            <w:hideMark/>
          </w:tcPr>
          <w:p w14:paraId="294E7714" w14:textId="77777777" w:rsidR="0017397D" w:rsidRPr="0017397D" w:rsidRDefault="0017397D" w:rsidP="004852DD">
            <w:pPr>
              <w:pStyle w:val="BodyText"/>
              <w:spacing w:after="0" w:line="240" w:lineRule="auto"/>
              <w:rPr>
                <w:lang w:eastAsia="en-US"/>
              </w:rPr>
            </w:pPr>
            <w:r w:rsidRPr="0017397D">
              <w:rPr>
                <w:lang w:eastAsia="en-US"/>
              </w:rPr>
              <w:t>3,267</w:t>
            </w:r>
          </w:p>
        </w:tc>
      </w:tr>
      <w:tr w:rsidR="0017397D" w:rsidRPr="0017397D" w14:paraId="75CDEFC8"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6AE7765F" w14:textId="77777777" w:rsidR="0017397D" w:rsidRPr="0017397D" w:rsidRDefault="0017397D" w:rsidP="004852DD">
            <w:pPr>
              <w:pStyle w:val="BodyText"/>
              <w:spacing w:after="0" w:line="240" w:lineRule="auto"/>
              <w:rPr>
                <w:lang w:eastAsia="en-US"/>
              </w:rPr>
            </w:pPr>
            <w:r w:rsidRPr="0017397D">
              <w:rPr>
                <w:lang w:eastAsia="en-US"/>
              </w:rPr>
              <w:t>3 but under 5</w:t>
            </w:r>
          </w:p>
        </w:tc>
        <w:tc>
          <w:tcPr>
            <w:tcW w:w="2160" w:type="dxa"/>
            <w:tcBorders>
              <w:top w:val="single" w:sz="6" w:space="0" w:color="DDDDDD"/>
            </w:tcBorders>
            <w:shd w:val="clear" w:color="auto" w:fill="FFFFFF"/>
            <w:tcMar>
              <w:top w:w="75" w:type="dxa"/>
              <w:left w:w="75" w:type="dxa"/>
              <w:bottom w:w="75" w:type="dxa"/>
              <w:right w:w="75" w:type="dxa"/>
            </w:tcMar>
            <w:hideMark/>
          </w:tcPr>
          <w:p w14:paraId="4CB517CB" w14:textId="77777777" w:rsidR="0017397D" w:rsidRPr="0017397D" w:rsidRDefault="0017397D" w:rsidP="004852DD">
            <w:pPr>
              <w:pStyle w:val="BodyText"/>
              <w:spacing w:after="0" w:line="240" w:lineRule="auto"/>
              <w:rPr>
                <w:lang w:eastAsia="en-US"/>
              </w:rPr>
            </w:pPr>
            <w:r w:rsidRPr="0017397D">
              <w:rPr>
                <w:lang w:eastAsia="en-US"/>
              </w:rPr>
              <w:t>13,260</w:t>
            </w:r>
          </w:p>
        </w:tc>
        <w:tc>
          <w:tcPr>
            <w:tcW w:w="2160" w:type="dxa"/>
            <w:tcBorders>
              <w:top w:val="single" w:sz="6" w:space="0" w:color="DDDDDD"/>
            </w:tcBorders>
            <w:shd w:val="clear" w:color="auto" w:fill="FFFFFF"/>
            <w:tcMar>
              <w:top w:w="75" w:type="dxa"/>
              <w:left w:w="75" w:type="dxa"/>
              <w:bottom w:w="75" w:type="dxa"/>
              <w:right w:w="75" w:type="dxa"/>
            </w:tcMar>
            <w:hideMark/>
          </w:tcPr>
          <w:p w14:paraId="5A5E9532" w14:textId="77777777" w:rsidR="0017397D" w:rsidRPr="0017397D" w:rsidRDefault="0017397D" w:rsidP="004852DD">
            <w:pPr>
              <w:pStyle w:val="BodyText"/>
              <w:spacing w:after="0" w:line="240" w:lineRule="auto"/>
              <w:rPr>
                <w:lang w:eastAsia="en-US"/>
              </w:rPr>
            </w:pPr>
            <w:r w:rsidRPr="0017397D">
              <w:rPr>
                <w:lang w:eastAsia="en-US"/>
              </w:rPr>
              <w:t>12,062</w:t>
            </w:r>
          </w:p>
        </w:tc>
        <w:tc>
          <w:tcPr>
            <w:tcW w:w="2160" w:type="dxa"/>
            <w:tcBorders>
              <w:top w:val="single" w:sz="6" w:space="0" w:color="DDDDDD"/>
            </w:tcBorders>
            <w:shd w:val="clear" w:color="auto" w:fill="FFFFFF"/>
            <w:tcMar>
              <w:top w:w="75" w:type="dxa"/>
              <w:left w:w="75" w:type="dxa"/>
              <w:bottom w:w="75" w:type="dxa"/>
              <w:right w:w="75" w:type="dxa"/>
            </w:tcMar>
            <w:hideMark/>
          </w:tcPr>
          <w:p w14:paraId="798E7FD2" w14:textId="77777777" w:rsidR="0017397D" w:rsidRPr="0017397D" w:rsidRDefault="0017397D" w:rsidP="004852DD">
            <w:pPr>
              <w:pStyle w:val="BodyText"/>
              <w:spacing w:after="0" w:line="240" w:lineRule="auto"/>
              <w:rPr>
                <w:lang w:eastAsia="en-US"/>
              </w:rPr>
            </w:pPr>
            <w:r w:rsidRPr="0017397D">
              <w:rPr>
                <w:lang w:eastAsia="en-US"/>
              </w:rPr>
              <w:t>14,525</w:t>
            </w:r>
          </w:p>
        </w:tc>
        <w:tc>
          <w:tcPr>
            <w:tcW w:w="2160" w:type="dxa"/>
            <w:tcBorders>
              <w:top w:val="single" w:sz="6" w:space="0" w:color="DDDDDD"/>
            </w:tcBorders>
            <w:shd w:val="clear" w:color="auto" w:fill="FFFFFF"/>
            <w:tcMar>
              <w:top w:w="75" w:type="dxa"/>
              <w:left w:w="75" w:type="dxa"/>
              <w:bottom w:w="75" w:type="dxa"/>
              <w:right w:w="75" w:type="dxa"/>
            </w:tcMar>
            <w:hideMark/>
          </w:tcPr>
          <w:p w14:paraId="6ACA8144" w14:textId="77777777" w:rsidR="0017397D" w:rsidRPr="0017397D" w:rsidRDefault="0017397D" w:rsidP="004852DD">
            <w:pPr>
              <w:pStyle w:val="BodyText"/>
              <w:spacing w:after="0" w:line="240" w:lineRule="auto"/>
              <w:rPr>
                <w:lang w:eastAsia="en-US"/>
              </w:rPr>
            </w:pPr>
            <w:r w:rsidRPr="0017397D">
              <w:rPr>
                <w:lang w:eastAsia="en-US"/>
              </w:rPr>
              <w:t>1,265</w:t>
            </w:r>
          </w:p>
        </w:tc>
      </w:tr>
      <w:tr w:rsidR="0017397D" w:rsidRPr="0017397D" w14:paraId="3D84904A"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7874C304" w14:textId="77777777" w:rsidR="0017397D" w:rsidRPr="0017397D" w:rsidRDefault="0017397D" w:rsidP="004852DD">
            <w:pPr>
              <w:pStyle w:val="BodyText"/>
              <w:spacing w:after="0" w:line="240" w:lineRule="auto"/>
              <w:rPr>
                <w:lang w:eastAsia="en-US"/>
              </w:rPr>
            </w:pPr>
            <w:r w:rsidRPr="0017397D">
              <w:rPr>
                <w:lang w:eastAsia="en-US"/>
              </w:rPr>
              <w:t>5 but under 7</w:t>
            </w:r>
          </w:p>
        </w:tc>
        <w:tc>
          <w:tcPr>
            <w:tcW w:w="2160" w:type="dxa"/>
            <w:tcBorders>
              <w:top w:val="single" w:sz="6" w:space="0" w:color="DDDDDD"/>
            </w:tcBorders>
            <w:shd w:val="clear" w:color="auto" w:fill="FFFFFF"/>
            <w:tcMar>
              <w:top w:w="75" w:type="dxa"/>
              <w:left w:w="75" w:type="dxa"/>
              <w:bottom w:w="75" w:type="dxa"/>
              <w:right w:w="75" w:type="dxa"/>
            </w:tcMar>
            <w:hideMark/>
          </w:tcPr>
          <w:p w14:paraId="326A57EE" w14:textId="77777777" w:rsidR="0017397D" w:rsidRPr="0017397D" w:rsidRDefault="0017397D" w:rsidP="004852DD">
            <w:pPr>
              <w:pStyle w:val="BodyText"/>
              <w:spacing w:after="0" w:line="240" w:lineRule="auto"/>
              <w:rPr>
                <w:lang w:eastAsia="en-US"/>
              </w:rPr>
            </w:pPr>
            <w:r w:rsidRPr="0017397D">
              <w:rPr>
                <w:lang w:eastAsia="en-US"/>
              </w:rPr>
              <w:t>13,868</w:t>
            </w:r>
          </w:p>
        </w:tc>
        <w:tc>
          <w:tcPr>
            <w:tcW w:w="2160" w:type="dxa"/>
            <w:tcBorders>
              <w:top w:val="single" w:sz="6" w:space="0" w:color="DDDDDD"/>
            </w:tcBorders>
            <w:shd w:val="clear" w:color="auto" w:fill="FFFFFF"/>
            <w:tcMar>
              <w:top w:w="75" w:type="dxa"/>
              <w:left w:w="75" w:type="dxa"/>
              <w:bottom w:w="75" w:type="dxa"/>
              <w:right w:w="75" w:type="dxa"/>
            </w:tcMar>
            <w:hideMark/>
          </w:tcPr>
          <w:p w14:paraId="34BC1975" w14:textId="77777777" w:rsidR="0017397D" w:rsidRPr="0017397D" w:rsidRDefault="0017397D" w:rsidP="004852DD">
            <w:pPr>
              <w:pStyle w:val="BodyText"/>
              <w:spacing w:after="0" w:line="240" w:lineRule="auto"/>
              <w:rPr>
                <w:lang w:eastAsia="en-US"/>
              </w:rPr>
            </w:pPr>
            <w:r w:rsidRPr="0017397D">
              <w:rPr>
                <w:lang w:eastAsia="en-US"/>
              </w:rPr>
              <w:t>10,858</w:t>
            </w:r>
          </w:p>
        </w:tc>
        <w:tc>
          <w:tcPr>
            <w:tcW w:w="2160" w:type="dxa"/>
            <w:tcBorders>
              <w:top w:val="single" w:sz="6" w:space="0" w:color="DDDDDD"/>
            </w:tcBorders>
            <w:shd w:val="clear" w:color="auto" w:fill="FFFFFF"/>
            <w:tcMar>
              <w:top w:w="75" w:type="dxa"/>
              <w:left w:w="75" w:type="dxa"/>
              <w:bottom w:w="75" w:type="dxa"/>
              <w:right w:w="75" w:type="dxa"/>
            </w:tcMar>
            <w:hideMark/>
          </w:tcPr>
          <w:p w14:paraId="2F2968BC" w14:textId="77777777" w:rsidR="0017397D" w:rsidRPr="0017397D" w:rsidRDefault="0017397D" w:rsidP="004852DD">
            <w:pPr>
              <w:pStyle w:val="BodyText"/>
              <w:spacing w:after="0" w:line="240" w:lineRule="auto"/>
              <w:rPr>
                <w:lang w:eastAsia="en-US"/>
              </w:rPr>
            </w:pPr>
            <w:r w:rsidRPr="0017397D">
              <w:rPr>
                <w:lang w:eastAsia="en-US"/>
              </w:rPr>
              <w:t>13,619</w:t>
            </w:r>
          </w:p>
        </w:tc>
        <w:tc>
          <w:tcPr>
            <w:tcW w:w="2160" w:type="dxa"/>
            <w:tcBorders>
              <w:top w:val="single" w:sz="6" w:space="0" w:color="DDDDDD"/>
            </w:tcBorders>
            <w:shd w:val="clear" w:color="auto" w:fill="FFFFFF"/>
            <w:tcMar>
              <w:top w:w="75" w:type="dxa"/>
              <w:left w:w="75" w:type="dxa"/>
              <w:bottom w:w="75" w:type="dxa"/>
              <w:right w:w="75" w:type="dxa"/>
            </w:tcMar>
            <w:hideMark/>
          </w:tcPr>
          <w:p w14:paraId="62A3B5DB" w14:textId="77777777" w:rsidR="0017397D" w:rsidRPr="0017397D" w:rsidRDefault="0017397D" w:rsidP="004852DD">
            <w:pPr>
              <w:pStyle w:val="BodyText"/>
              <w:spacing w:after="0" w:line="240" w:lineRule="auto"/>
              <w:rPr>
                <w:lang w:eastAsia="en-US"/>
              </w:rPr>
            </w:pPr>
            <w:r w:rsidRPr="0017397D">
              <w:rPr>
                <w:lang w:eastAsia="en-US"/>
              </w:rPr>
              <w:t>-249</w:t>
            </w:r>
          </w:p>
        </w:tc>
      </w:tr>
      <w:tr w:rsidR="0017397D" w:rsidRPr="0017397D" w14:paraId="2AA60831"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21A038C8" w14:textId="77777777" w:rsidR="0017397D" w:rsidRPr="0017397D" w:rsidRDefault="0017397D" w:rsidP="004852DD">
            <w:pPr>
              <w:pStyle w:val="BodyText"/>
              <w:spacing w:after="0" w:line="240" w:lineRule="auto"/>
              <w:rPr>
                <w:lang w:eastAsia="en-US"/>
              </w:rPr>
            </w:pPr>
            <w:r w:rsidRPr="0017397D">
              <w:rPr>
                <w:lang w:eastAsia="en-US"/>
              </w:rPr>
              <w:t>7 but under 9</w:t>
            </w:r>
          </w:p>
        </w:tc>
        <w:tc>
          <w:tcPr>
            <w:tcW w:w="2160" w:type="dxa"/>
            <w:tcBorders>
              <w:top w:val="single" w:sz="6" w:space="0" w:color="DDDDDD"/>
            </w:tcBorders>
            <w:shd w:val="clear" w:color="auto" w:fill="FFFFFF"/>
            <w:tcMar>
              <w:top w:w="75" w:type="dxa"/>
              <w:left w:w="75" w:type="dxa"/>
              <w:bottom w:w="75" w:type="dxa"/>
              <w:right w:w="75" w:type="dxa"/>
            </w:tcMar>
            <w:hideMark/>
          </w:tcPr>
          <w:p w14:paraId="1AAF1897" w14:textId="77777777" w:rsidR="0017397D" w:rsidRPr="0017397D" w:rsidRDefault="0017397D" w:rsidP="004852DD">
            <w:pPr>
              <w:pStyle w:val="BodyText"/>
              <w:spacing w:after="0" w:line="240" w:lineRule="auto"/>
              <w:rPr>
                <w:lang w:eastAsia="en-US"/>
              </w:rPr>
            </w:pPr>
            <w:r w:rsidRPr="0017397D">
              <w:rPr>
                <w:lang w:eastAsia="en-US"/>
              </w:rPr>
              <w:t>14,346</w:t>
            </w:r>
          </w:p>
        </w:tc>
        <w:tc>
          <w:tcPr>
            <w:tcW w:w="2160" w:type="dxa"/>
            <w:tcBorders>
              <w:top w:val="single" w:sz="6" w:space="0" w:color="DDDDDD"/>
            </w:tcBorders>
            <w:shd w:val="clear" w:color="auto" w:fill="FFFFFF"/>
            <w:tcMar>
              <w:top w:w="75" w:type="dxa"/>
              <w:left w:w="75" w:type="dxa"/>
              <w:bottom w:w="75" w:type="dxa"/>
              <w:right w:w="75" w:type="dxa"/>
            </w:tcMar>
            <w:hideMark/>
          </w:tcPr>
          <w:p w14:paraId="4A4F1AB8" w14:textId="77777777" w:rsidR="0017397D" w:rsidRPr="0017397D" w:rsidRDefault="0017397D" w:rsidP="004852DD">
            <w:pPr>
              <w:pStyle w:val="BodyText"/>
              <w:spacing w:after="0" w:line="240" w:lineRule="auto"/>
              <w:rPr>
                <w:lang w:eastAsia="en-US"/>
              </w:rPr>
            </w:pPr>
            <w:r w:rsidRPr="0017397D">
              <w:rPr>
                <w:lang w:eastAsia="en-US"/>
              </w:rPr>
              <w:t>10,160</w:t>
            </w:r>
          </w:p>
        </w:tc>
        <w:tc>
          <w:tcPr>
            <w:tcW w:w="2160" w:type="dxa"/>
            <w:tcBorders>
              <w:top w:val="single" w:sz="6" w:space="0" w:color="DDDDDD"/>
            </w:tcBorders>
            <w:shd w:val="clear" w:color="auto" w:fill="FFFFFF"/>
            <w:tcMar>
              <w:top w:w="75" w:type="dxa"/>
              <w:left w:w="75" w:type="dxa"/>
              <w:bottom w:w="75" w:type="dxa"/>
              <w:right w:w="75" w:type="dxa"/>
            </w:tcMar>
            <w:hideMark/>
          </w:tcPr>
          <w:p w14:paraId="57C0D1B8" w14:textId="77777777" w:rsidR="0017397D" w:rsidRPr="0017397D" w:rsidRDefault="0017397D" w:rsidP="004852DD">
            <w:pPr>
              <w:pStyle w:val="BodyText"/>
              <w:spacing w:after="0" w:line="240" w:lineRule="auto"/>
              <w:rPr>
                <w:lang w:eastAsia="en-US"/>
              </w:rPr>
            </w:pPr>
            <w:r w:rsidRPr="0017397D">
              <w:rPr>
                <w:lang w:eastAsia="en-US"/>
              </w:rPr>
              <w:t>13,378</w:t>
            </w:r>
          </w:p>
        </w:tc>
        <w:tc>
          <w:tcPr>
            <w:tcW w:w="2160" w:type="dxa"/>
            <w:tcBorders>
              <w:top w:val="single" w:sz="6" w:space="0" w:color="DDDDDD"/>
            </w:tcBorders>
            <w:shd w:val="clear" w:color="auto" w:fill="FFFFFF"/>
            <w:tcMar>
              <w:top w:w="75" w:type="dxa"/>
              <w:left w:w="75" w:type="dxa"/>
              <w:bottom w:w="75" w:type="dxa"/>
              <w:right w:w="75" w:type="dxa"/>
            </w:tcMar>
            <w:hideMark/>
          </w:tcPr>
          <w:p w14:paraId="1B3A679F" w14:textId="77777777" w:rsidR="0017397D" w:rsidRPr="0017397D" w:rsidRDefault="0017397D" w:rsidP="004852DD">
            <w:pPr>
              <w:pStyle w:val="BodyText"/>
              <w:spacing w:after="0" w:line="240" w:lineRule="auto"/>
              <w:rPr>
                <w:lang w:eastAsia="en-US"/>
              </w:rPr>
            </w:pPr>
            <w:r w:rsidRPr="0017397D">
              <w:rPr>
                <w:lang w:eastAsia="en-US"/>
              </w:rPr>
              <w:t>-968</w:t>
            </w:r>
          </w:p>
        </w:tc>
      </w:tr>
      <w:tr w:rsidR="0017397D" w:rsidRPr="0017397D" w14:paraId="6D909759"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3E9519F1" w14:textId="77777777" w:rsidR="0017397D" w:rsidRPr="0017397D" w:rsidRDefault="0017397D" w:rsidP="004852DD">
            <w:pPr>
              <w:pStyle w:val="BodyText"/>
              <w:spacing w:after="0" w:line="240" w:lineRule="auto"/>
              <w:rPr>
                <w:lang w:eastAsia="en-US"/>
              </w:rPr>
            </w:pPr>
            <w:r w:rsidRPr="0017397D">
              <w:rPr>
                <w:lang w:eastAsia="en-US"/>
              </w:rPr>
              <w:t>9 but under 11</w:t>
            </w:r>
          </w:p>
        </w:tc>
        <w:tc>
          <w:tcPr>
            <w:tcW w:w="2160" w:type="dxa"/>
            <w:tcBorders>
              <w:top w:val="single" w:sz="6" w:space="0" w:color="DDDDDD"/>
            </w:tcBorders>
            <w:shd w:val="clear" w:color="auto" w:fill="FFFFFF"/>
            <w:tcMar>
              <w:top w:w="75" w:type="dxa"/>
              <w:left w:w="75" w:type="dxa"/>
              <w:bottom w:w="75" w:type="dxa"/>
              <w:right w:w="75" w:type="dxa"/>
            </w:tcMar>
            <w:hideMark/>
          </w:tcPr>
          <w:p w14:paraId="7910F9BB" w14:textId="77777777" w:rsidR="0017397D" w:rsidRPr="0017397D" w:rsidRDefault="0017397D" w:rsidP="004852DD">
            <w:pPr>
              <w:pStyle w:val="BodyText"/>
              <w:spacing w:after="0" w:line="240" w:lineRule="auto"/>
              <w:rPr>
                <w:lang w:eastAsia="en-US"/>
              </w:rPr>
            </w:pPr>
            <w:r w:rsidRPr="0017397D">
              <w:rPr>
                <w:lang w:eastAsia="en-US"/>
              </w:rPr>
              <w:t>14,154</w:t>
            </w:r>
          </w:p>
        </w:tc>
        <w:tc>
          <w:tcPr>
            <w:tcW w:w="2160" w:type="dxa"/>
            <w:tcBorders>
              <w:top w:val="single" w:sz="6" w:space="0" w:color="DDDDDD"/>
            </w:tcBorders>
            <w:shd w:val="clear" w:color="auto" w:fill="FFFFFF"/>
            <w:tcMar>
              <w:top w:w="75" w:type="dxa"/>
              <w:left w:w="75" w:type="dxa"/>
              <w:bottom w:w="75" w:type="dxa"/>
              <w:right w:w="75" w:type="dxa"/>
            </w:tcMar>
            <w:hideMark/>
          </w:tcPr>
          <w:p w14:paraId="1B496A34" w14:textId="77777777" w:rsidR="0017397D" w:rsidRPr="0017397D" w:rsidRDefault="0017397D" w:rsidP="004852DD">
            <w:pPr>
              <w:pStyle w:val="BodyText"/>
              <w:spacing w:after="0" w:line="240" w:lineRule="auto"/>
              <w:rPr>
                <w:lang w:eastAsia="en-US"/>
              </w:rPr>
            </w:pPr>
            <w:r w:rsidRPr="0017397D">
              <w:rPr>
                <w:lang w:eastAsia="en-US"/>
              </w:rPr>
              <w:t>10,155</w:t>
            </w:r>
          </w:p>
        </w:tc>
        <w:tc>
          <w:tcPr>
            <w:tcW w:w="2160" w:type="dxa"/>
            <w:tcBorders>
              <w:top w:val="single" w:sz="6" w:space="0" w:color="DDDDDD"/>
            </w:tcBorders>
            <w:shd w:val="clear" w:color="auto" w:fill="FFFFFF"/>
            <w:tcMar>
              <w:top w:w="75" w:type="dxa"/>
              <w:left w:w="75" w:type="dxa"/>
              <w:bottom w:w="75" w:type="dxa"/>
              <w:right w:w="75" w:type="dxa"/>
            </w:tcMar>
            <w:hideMark/>
          </w:tcPr>
          <w:p w14:paraId="6A7C1CB0" w14:textId="77777777" w:rsidR="0017397D" w:rsidRPr="0017397D" w:rsidRDefault="0017397D" w:rsidP="004852DD">
            <w:pPr>
              <w:pStyle w:val="BodyText"/>
              <w:spacing w:after="0" w:line="240" w:lineRule="auto"/>
              <w:rPr>
                <w:lang w:eastAsia="en-US"/>
              </w:rPr>
            </w:pPr>
            <w:r w:rsidRPr="0017397D">
              <w:rPr>
                <w:lang w:eastAsia="en-US"/>
              </w:rPr>
              <w:t>12,730</w:t>
            </w:r>
          </w:p>
        </w:tc>
        <w:tc>
          <w:tcPr>
            <w:tcW w:w="2160" w:type="dxa"/>
            <w:tcBorders>
              <w:top w:val="single" w:sz="6" w:space="0" w:color="DDDDDD"/>
            </w:tcBorders>
            <w:shd w:val="clear" w:color="auto" w:fill="FFFFFF"/>
            <w:tcMar>
              <w:top w:w="75" w:type="dxa"/>
              <w:left w:w="75" w:type="dxa"/>
              <w:bottom w:w="75" w:type="dxa"/>
              <w:right w:w="75" w:type="dxa"/>
            </w:tcMar>
            <w:hideMark/>
          </w:tcPr>
          <w:p w14:paraId="366576F0" w14:textId="77777777" w:rsidR="0017397D" w:rsidRPr="0017397D" w:rsidRDefault="0017397D" w:rsidP="004852DD">
            <w:pPr>
              <w:pStyle w:val="BodyText"/>
              <w:spacing w:after="0" w:line="240" w:lineRule="auto"/>
              <w:rPr>
                <w:lang w:eastAsia="en-US"/>
              </w:rPr>
            </w:pPr>
            <w:r w:rsidRPr="0017397D">
              <w:rPr>
                <w:lang w:eastAsia="en-US"/>
              </w:rPr>
              <w:t>-1,424</w:t>
            </w:r>
          </w:p>
        </w:tc>
      </w:tr>
      <w:tr w:rsidR="0017397D" w:rsidRPr="0017397D" w14:paraId="0F714DDD"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5F0B1A15" w14:textId="77777777" w:rsidR="0017397D" w:rsidRPr="0017397D" w:rsidRDefault="0017397D" w:rsidP="004852DD">
            <w:pPr>
              <w:pStyle w:val="BodyText"/>
              <w:spacing w:after="0" w:line="240" w:lineRule="auto"/>
              <w:rPr>
                <w:lang w:eastAsia="en-US"/>
              </w:rPr>
            </w:pPr>
            <w:r w:rsidRPr="0017397D">
              <w:rPr>
                <w:lang w:eastAsia="en-US"/>
              </w:rPr>
              <w:t>11 but under 13</w:t>
            </w:r>
          </w:p>
        </w:tc>
        <w:tc>
          <w:tcPr>
            <w:tcW w:w="2160" w:type="dxa"/>
            <w:tcBorders>
              <w:top w:val="single" w:sz="6" w:space="0" w:color="DDDDDD"/>
            </w:tcBorders>
            <w:shd w:val="clear" w:color="auto" w:fill="FFFFFF"/>
            <w:tcMar>
              <w:top w:w="75" w:type="dxa"/>
              <w:left w:w="75" w:type="dxa"/>
              <w:bottom w:w="75" w:type="dxa"/>
              <w:right w:w="75" w:type="dxa"/>
            </w:tcMar>
            <w:hideMark/>
          </w:tcPr>
          <w:p w14:paraId="47F46F12" w14:textId="77777777" w:rsidR="0017397D" w:rsidRPr="0017397D" w:rsidRDefault="0017397D" w:rsidP="004852DD">
            <w:pPr>
              <w:pStyle w:val="BodyText"/>
              <w:spacing w:after="0" w:line="240" w:lineRule="auto"/>
              <w:rPr>
                <w:lang w:eastAsia="en-US"/>
              </w:rPr>
            </w:pPr>
            <w:r w:rsidRPr="0017397D">
              <w:rPr>
                <w:lang w:eastAsia="en-US"/>
              </w:rPr>
              <w:t>11,875</w:t>
            </w:r>
          </w:p>
        </w:tc>
        <w:tc>
          <w:tcPr>
            <w:tcW w:w="2160" w:type="dxa"/>
            <w:tcBorders>
              <w:top w:val="single" w:sz="6" w:space="0" w:color="DDDDDD"/>
            </w:tcBorders>
            <w:shd w:val="clear" w:color="auto" w:fill="FFFFFF"/>
            <w:tcMar>
              <w:top w:w="75" w:type="dxa"/>
              <w:left w:w="75" w:type="dxa"/>
              <w:bottom w:w="75" w:type="dxa"/>
              <w:right w:w="75" w:type="dxa"/>
            </w:tcMar>
            <w:hideMark/>
          </w:tcPr>
          <w:p w14:paraId="0755DE68" w14:textId="77777777" w:rsidR="0017397D" w:rsidRPr="0017397D" w:rsidRDefault="0017397D" w:rsidP="004852DD">
            <w:pPr>
              <w:pStyle w:val="BodyText"/>
              <w:spacing w:after="0" w:line="240" w:lineRule="auto"/>
              <w:rPr>
                <w:lang w:eastAsia="en-US"/>
              </w:rPr>
            </w:pPr>
            <w:r w:rsidRPr="0017397D">
              <w:rPr>
                <w:lang w:eastAsia="en-US"/>
              </w:rPr>
              <w:t>9,828</w:t>
            </w:r>
          </w:p>
        </w:tc>
        <w:tc>
          <w:tcPr>
            <w:tcW w:w="2160" w:type="dxa"/>
            <w:tcBorders>
              <w:top w:val="single" w:sz="6" w:space="0" w:color="DDDDDD"/>
            </w:tcBorders>
            <w:shd w:val="clear" w:color="auto" w:fill="FFFFFF"/>
            <w:tcMar>
              <w:top w:w="75" w:type="dxa"/>
              <w:left w:w="75" w:type="dxa"/>
              <w:bottom w:w="75" w:type="dxa"/>
              <w:right w:w="75" w:type="dxa"/>
            </w:tcMar>
            <w:hideMark/>
          </w:tcPr>
          <w:p w14:paraId="0441FF98" w14:textId="77777777" w:rsidR="0017397D" w:rsidRPr="0017397D" w:rsidRDefault="0017397D" w:rsidP="004852DD">
            <w:pPr>
              <w:pStyle w:val="BodyText"/>
              <w:spacing w:after="0" w:line="240" w:lineRule="auto"/>
              <w:rPr>
                <w:lang w:eastAsia="en-US"/>
              </w:rPr>
            </w:pPr>
            <w:r w:rsidRPr="0017397D">
              <w:rPr>
                <w:lang w:eastAsia="en-US"/>
              </w:rPr>
              <w:t>11,723</w:t>
            </w:r>
          </w:p>
        </w:tc>
        <w:tc>
          <w:tcPr>
            <w:tcW w:w="2160" w:type="dxa"/>
            <w:tcBorders>
              <w:top w:val="single" w:sz="6" w:space="0" w:color="DDDDDD"/>
            </w:tcBorders>
            <w:shd w:val="clear" w:color="auto" w:fill="FFFFFF"/>
            <w:tcMar>
              <w:top w:w="75" w:type="dxa"/>
              <w:left w:w="75" w:type="dxa"/>
              <w:bottom w:w="75" w:type="dxa"/>
              <w:right w:w="75" w:type="dxa"/>
            </w:tcMar>
            <w:hideMark/>
          </w:tcPr>
          <w:p w14:paraId="72F72C74" w14:textId="77777777" w:rsidR="0017397D" w:rsidRPr="0017397D" w:rsidRDefault="0017397D" w:rsidP="004852DD">
            <w:pPr>
              <w:pStyle w:val="BodyText"/>
              <w:spacing w:after="0" w:line="240" w:lineRule="auto"/>
              <w:rPr>
                <w:lang w:eastAsia="en-US"/>
              </w:rPr>
            </w:pPr>
            <w:r w:rsidRPr="0017397D">
              <w:rPr>
                <w:lang w:eastAsia="en-US"/>
              </w:rPr>
              <w:t>-152</w:t>
            </w:r>
          </w:p>
        </w:tc>
      </w:tr>
      <w:tr w:rsidR="0017397D" w:rsidRPr="0017397D" w14:paraId="5F1C49A7"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08C4C42C" w14:textId="77777777" w:rsidR="0017397D" w:rsidRPr="0017397D" w:rsidRDefault="0017397D" w:rsidP="004852DD">
            <w:pPr>
              <w:pStyle w:val="BodyText"/>
              <w:spacing w:after="0" w:line="240" w:lineRule="auto"/>
              <w:rPr>
                <w:lang w:eastAsia="en-US"/>
              </w:rPr>
            </w:pPr>
            <w:r w:rsidRPr="0017397D">
              <w:rPr>
                <w:lang w:eastAsia="en-US"/>
              </w:rPr>
              <w:t>13 but under 15</w:t>
            </w:r>
          </w:p>
        </w:tc>
        <w:tc>
          <w:tcPr>
            <w:tcW w:w="2160" w:type="dxa"/>
            <w:tcBorders>
              <w:top w:val="single" w:sz="6" w:space="0" w:color="DDDDDD"/>
            </w:tcBorders>
            <w:shd w:val="clear" w:color="auto" w:fill="FFFFFF"/>
            <w:tcMar>
              <w:top w:w="75" w:type="dxa"/>
              <w:left w:w="75" w:type="dxa"/>
              <w:bottom w:w="75" w:type="dxa"/>
              <w:right w:w="75" w:type="dxa"/>
            </w:tcMar>
            <w:hideMark/>
          </w:tcPr>
          <w:p w14:paraId="7FA677E4" w14:textId="77777777" w:rsidR="0017397D" w:rsidRPr="0017397D" w:rsidRDefault="0017397D" w:rsidP="004852DD">
            <w:pPr>
              <w:pStyle w:val="BodyText"/>
              <w:spacing w:after="0" w:line="240" w:lineRule="auto"/>
              <w:rPr>
                <w:lang w:eastAsia="en-US"/>
              </w:rPr>
            </w:pPr>
            <w:r w:rsidRPr="0017397D">
              <w:rPr>
                <w:lang w:eastAsia="en-US"/>
              </w:rPr>
              <w:t>11,160</w:t>
            </w:r>
          </w:p>
        </w:tc>
        <w:tc>
          <w:tcPr>
            <w:tcW w:w="2160" w:type="dxa"/>
            <w:tcBorders>
              <w:top w:val="single" w:sz="6" w:space="0" w:color="DDDDDD"/>
            </w:tcBorders>
            <w:shd w:val="clear" w:color="auto" w:fill="FFFFFF"/>
            <w:tcMar>
              <w:top w:w="75" w:type="dxa"/>
              <w:left w:w="75" w:type="dxa"/>
              <w:bottom w:w="75" w:type="dxa"/>
              <w:right w:w="75" w:type="dxa"/>
            </w:tcMar>
            <w:hideMark/>
          </w:tcPr>
          <w:p w14:paraId="3052509A" w14:textId="77777777" w:rsidR="0017397D" w:rsidRPr="0017397D" w:rsidRDefault="0017397D" w:rsidP="004852DD">
            <w:pPr>
              <w:pStyle w:val="BodyText"/>
              <w:spacing w:after="0" w:line="240" w:lineRule="auto"/>
              <w:rPr>
                <w:lang w:eastAsia="en-US"/>
              </w:rPr>
            </w:pPr>
            <w:r w:rsidRPr="0017397D">
              <w:rPr>
                <w:lang w:eastAsia="en-US"/>
              </w:rPr>
              <w:t>10,187</w:t>
            </w:r>
          </w:p>
        </w:tc>
        <w:tc>
          <w:tcPr>
            <w:tcW w:w="2160" w:type="dxa"/>
            <w:tcBorders>
              <w:top w:val="single" w:sz="6" w:space="0" w:color="DDDDDD"/>
            </w:tcBorders>
            <w:shd w:val="clear" w:color="auto" w:fill="FFFFFF"/>
            <w:tcMar>
              <w:top w:w="75" w:type="dxa"/>
              <w:left w:w="75" w:type="dxa"/>
              <w:bottom w:w="75" w:type="dxa"/>
              <w:right w:w="75" w:type="dxa"/>
            </w:tcMar>
            <w:hideMark/>
          </w:tcPr>
          <w:p w14:paraId="60EAF7A3" w14:textId="77777777" w:rsidR="0017397D" w:rsidRPr="0017397D" w:rsidRDefault="0017397D" w:rsidP="004852DD">
            <w:pPr>
              <w:pStyle w:val="BodyText"/>
              <w:spacing w:after="0" w:line="240" w:lineRule="auto"/>
              <w:rPr>
                <w:lang w:eastAsia="en-US"/>
              </w:rPr>
            </w:pPr>
            <w:r w:rsidRPr="0017397D">
              <w:rPr>
                <w:lang w:eastAsia="en-US"/>
              </w:rPr>
              <w:t>10,786</w:t>
            </w:r>
          </w:p>
        </w:tc>
        <w:tc>
          <w:tcPr>
            <w:tcW w:w="2160" w:type="dxa"/>
            <w:tcBorders>
              <w:top w:val="single" w:sz="6" w:space="0" w:color="DDDDDD"/>
            </w:tcBorders>
            <w:shd w:val="clear" w:color="auto" w:fill="FFFFFF"/>
            <w:tcMar>
              <w:top w:w="75" w:type="dxa"/>
              <w:left w:w="75" w:type="dxa"/>
              <w:bottom w:w="75" w:type="dxa"/>
              <w:right w:w="75" w:type="dxa"/>
            </w:tcMar>
            <w:hideMark/>
          </w:tcPr>
          <w:p w14:paraId="312B244C" w14:textId="77777777" w:rsidR="0017397D" w:rsidRPr="0017397D" w:rsidRDefault="0017397D" w:rsidP="004852DD">
            <w:pPr>
              <w:pStyle w:val="BodyText"/>
              <w:spacing w:after="0" w:line="240" w:lineRule="auto"/>
              <w:rPr>
                <w:lang w:eastAsia="en-US"/>
              </w:rPr>
            </w:pPr>
            <w:r w:rsidRPr="0017397D">
              <w:rPr>
                <w:lang w:eastAsia="en-US"/>
              </w:rPr>
              <w:t>-374</w:t>
            </w:r>
          </w:p>
        </w:tc>
      </w:tr>
      <w:tr w:rsidR="0017397D" w:rsidRPr="0017397D" w14:paraId="6C156ACC"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5B4287E6" w14:textId="77777777" w:rsidR="0017397D" w:rsidRPr="0017397D" w:rsidRDefault="0017397D" w:rsidP="004852DD">
            <w:pPr>
              <w:pStyle w:val="BodyText"/>
              <w:spacing w:after="0" w:line="240" w:lineRule="auto"/>
              <w:rPr>
                <w:lang w:eastAsia="en-US"/>
              </w:rPr>
            </w:pPr>
            <w:r w:rsidRPr="0017397D">
              <w:rPr>
                <w:lang w:eastAsia="en-US"/>
              </w:rPr>
              <w:t>15 but under 17</w:t>
            </w:r>
          </w:p>
        </w:tc>
        <w:tc>
          <w:tcPr>
            <w:tcW w:w="2160" w:type="dxa"/>
            <w:tcBorders>
              <w:top w:val="single" w:sz="6" w:space="0" w:color="DDDDDD"/>
            </w:tcBorders>
            <w:shd w:val="clear" w:color="auto" w:fill="FFFFFF"/>
            <w:tcMar>
              <w:top w:w="75" w:type="dxa"/>
              <w:left w:w="75" w:type="dxa"/>
              <w:bottom w:w="75" w:type="dxa"/>
              <w:right w:w="75" w:type="dxa"/>
            </w:tcMar>
            <w:hideMark/>
          </w:tcPr>
          <w:p w14:paraId="2264628A" w14:textId="77777777" w:rsidR="0017397D" w:rsidRPr="0017397D" w:rsidRDefault="0017397D" w:rsidP="004852DD">
            <w:pPr>
              <w:pStyle w:val="BodyText"/>
              <w:spacing w:after="0" w:line="240" w:lineRule="auto"/>
              <w:rPr>
                <w:lang w:eastAsia="en-US"/>
              </w:rPr>
            </w:pPr>
            <w:r w:rsidRPr="0017397D">
              <w:rPr>
                <w:lang w:eastAsia="en-US"/>
              </w:rPr>
              <w:t>11,193</w:t>
            </w:r>
          </w:p>
        </w:tc>
        <w:tc>
          <w:tcPr>
            <w:tcW w:w="2160" w:type="dxa"/>
            <w:tcBorders>
              <w:top w:val="single" w:sz="6" w:space="0" w:color="DDDDDD"/>
            </w:tcBorders>
            <w:shd w:val="clear" w:color="auto" w:fill="FFFFFF"/>
            <w:tcMar>
              <w:top w:w="75" w:type="dxa"/>
              <w:left w:w="75" w:type="dxa"/>
              <w:bottom w:w="75" w:type="dxa"/>
              <w:right w:w="75" w:type="dxa"/>
            </w:tcMar>
            <w:hideMark/>
          </w:tcPr>
          <w:p w14:paraId="002515C3" w14:textId="77777777" w:rsidR="0017397D" w:rsidRPr="0017397D" w:rsidRDefault="0017397D" w:rsidP="004852DD">
            <w:pPr>
              <w:pStyle w:val="BodyText"/>
              <w:spacing w:after="0" w:line="240" w:lineRule="auto"/>
              <w:rPr>
                <w:lang w:eastAsia="en-US"/>
              </w:rPr>
            </w:pPr>
            <w:r w:rsidRPr="0017397D">
              <w:rPr>
                <w:lang w:eastAsia="en-US"/>
              </w:rPr>
              <w:t>11,006</w:t>
            </w:r>
          </w:p>
        </w:tc>
        <w:tc>
          <w:tcPr>
            <w:tcW w:w="2160" w:type="dxa"/>
            <w:tcBorders>
              <w:top w:val="single" w:sz="6" w:space="0" w:color="DDDDDD"/>
            </w:tcBorders>
            <w:shd w:val="clear" w:color="auto" w:fill="FFFFFF"/>
            <w:tcMar>
              <w:top w:w="75" w:type="dxa"/>
              <w:left w:w="75" w:type="dxa"/>
              <w:bottom w:w="75" w:type="dxa"/>
              <w:right w:w="75" w:type="dxa"/>
            </w:tcMar>
            <w:hideMark/>
          </w:tcPr>
          <w:p w14:paraId="29C09436" w14:textId="77777777" w:rsidR="0017397D" w:rsidRPr="0017397D" w:rsidRDefault="0017397D" w:rsidP="004852DD">
            <w:pPr>
              <w:pStyle w:val="BodyText"/>
              <w:spacing w:after="0" w:line="240" w:lineRule="auto"/>
              <w:rPr>
                <w:lang w:eastAsia="en-US"/>
              </w:rPr>
            </w:pPr>
            <w:r w:rsidRPr="0017397D">
              <w:rPr>
                <w:lang w:eastAsia="en-US"/>
              </w:rPr>
              <w:t>10,106</w:t>
            </w:r>
          </w:p>
        </w:tc>
        <w:tc>
          <w:tcPr>
            <w:tcW w:w="2160" w:type="dxa"/>
            <w:tcBorders>
              <w:top w:val="single" w:sz="6" w:space="0" w:color="DDDDDD"/>
            </w:tcBorders>
            <w:shd w:val="clear" w:color="auto" w:fill="FFFFFF"/>
            <w:tcMar>
              <w:top w:w="75" w:type="dxa"/>
              <w:left w:w="75" w:type="dxa"/>
              <w:bottom w:w="75" w:type="dxa"/>
              <w:right w:w="75" w:type="dxa"/>
            </w:tcMar>
            <w:hideMark/>
          </w:tcPr>
          <w:p w14:paraId="5C02A233" w14:textId="77777777" w:rsidR="0017397D" w:rsidRPr="0017397D" w:rsidRDefault="0017397D" w:rsidP="004852DD">
            <w:pPr>
              <w:pStyle w:val="BodyText"/>
              <w:spacing w:after="0" w:line="240" w:lineRule="auto"/>
              <w:rPr>
                <w:lang w:eastAsia="en-US"/>
              </w:rPr>
            </w:pPr>
            <w:r w:rsidRPr="0017397D">
              <w:rPr>
                <w:lang w:eastAsia="en-US"/>
              </w:rPr>
              <w:t>-1,087</w:t>
            </w:r>
          </w:p>
        </w:tc>
      </w:tr>
    </w:tbl>
    <w:p w14:paraId="6174517A" w14:textId="0EFE41C9" w:rsidR="0017397D" w:rsidRPr="006445EA" w:rsidRDefault="006445EA" w:rsidP="004852DD">
      <w:pPr>
        <w:pStyle w:val="BodyText"/>
        <w:spacing w:line="240" w:lineRule="auto"/>
        <w:rPr>
          <w:i/>
          <w:iCs/>
          <w:lang w:eastAsia="en-US"/>
        </w:rPr>
      </w:pPr>
      <w:r>
        <w:rPr>
          <w:i/>
          <w:iCs/>
          <w:lang w:eastAsia="en-US"/>
        </w:rPr>
        <w:t>Source: U.S. Decennial Censuses for 2000, 2010, and 2020. Totals may differ from those shown in the charts above, which are based on Census’ Population Estimates. Those estimates better account for undercounting of youth populations.</w:t>
      </w:r>
    </w:p>
    <w:p w14:paraId="3DA6CA66" w14:textId="76D37986" w:rsidR="00053D1C" w:rsidRDefault="006445EA" w:rsidP="004852DD">
      <w:pPr>
        <w:pStyle w:val="Heading1"/>
        <w:spacing w:line="240" w:lineRule="auto"/>
      </w:pPr>
      <w:r>
        <w:t>But why are there more children?</w:t>
      </w:r>
    </w:p>
    <w:p w14:paraId="0A877D25" w14:textId="77777777" w:rsidR="008E6D24" w:rsidRDefault="008E6D24" w:rsidP="004852DD">
      <w:pPr>
        <w:pStyle w:val="BodyText"/>
        <w:spacing w:after="0" w:line="240" w:lineRule="auto"/>
        <w:rPr>
          <w:lang w:eastAsia="en-US"/>
        </w:rPr>
      </w:pPr>
    </w:p>
    <w:p w14:paraId="0ED7A3A5" w14:textId="40E77530" w:rsidR="002812B4" w:rsidRDefault="002812B4" w:rsidP="004852DD">
      <w:pPr>
        <w:pStyle w:val="BodyText"/>
        <w:spacing w:after="0" w:line="240" w:lineRule="auto"/>
        <w:rPr>
          <w:lang w:eastAsia="en-US"/>
        </w:rPr>
      </w:pPr>
      <w:r>
        <w:rPr>
          <w:lang w:eastAsia="en-US"/>
        </w:rPr>
        <w:t xml:space="preserve">The clever people at the </w:t>
      </w:r>
      <w:r w:rsidRPr="002812B4">
        <w:rPr>
          <w:lang w:eastAsia="en-US"/>
        </w:rPr>
        <w:t>University of Wisconsin’s </w:t>
      </w:r>
      <w:hyperlink r:id="rId14" w:history="1">
        <w:r w:rsidRPr="002812B4">
          <w:rPr>
            <w:rStyle w:val="Hyperlink"/>
            <w:lang w:eastAsia="en-US"/>
          </w:rPr>
          <w:t>Applied Population Laboratory</w:t>
        </w:r>
      </w:hyperlink>
      <w:r w:rsidRPr="002812B4">
        <w:rPr>
          <w:lang w:eastAsia="en-US"/>
        </w:rPr>
        <w:t> </w:t>
      </w:r>
      <w:r w:rsidR="00160B05">
        <w:rPr>
          <w:lang w:eastAsia="en-US"/>
        </w:rPr>
        <w:t xml:space="preserve">use a combination of Census data and </w:t>
      </w:r>
      <w:r w:rsidR="00AB223B">
        <w:rPr>
          <w:lang w:eastAsia="en-US"/>
        </w:rPr>
        <w:t xml:space="preserve">birth and death records </w:t>
      </w:r>
      <w:r w:rsidRPr="002812B4">
        <w:rPr>
          <w:lang w:eastAsia="en-US"/>
        </w:rPr>
        <w:t>to decompose</w:t>
      </w:r>
      <w:r w:rsidR="00DB7F27">
        <w:rPr>
          <w:lang w:eastAsia="en-US"/>
        </w:rPr>
        <w:t xml:space="preserve"> youth</w:t>
      </w:r>
      <w:r w:rsidR="00AB223B">
        <w:rPr>
          <w:lang w:eastAsia="en-US"/>
        </w:rPr>
        <w:t xml:space="preserve"> population</w:t>
      </w:r>
      <w:r w:rsidRPr="002812B4">
        <w:rPr>
          <w:lang w:eastAsia="en-US"/>
        </w:rPr>
        <w:t xml:space="preserve"> changes in </w:t>
      </w:r>
      <w:r w:rsidR="00AB223B">
        <w:rPr>
          <w:lang w:eastAsia="en-US"/>
        </w:rPr>
        <w:t xml:space="preserve">American states </w:t>
      </w:r>
      <w:r w:rsidRPr="002812B4">
        <w:rPr>
          <w:lang w:eastAsia="en-US"/>
        </w:rPr>
        <w:t xml:space="preserve">into three </w:t>
      </w:r>
      <w:r w:rsidR="006470AC">
        <w:rPr>
          <w:lang w:eastAsia="en-US"/>
        </w:rPr>
        <w:t>causes</w:t>
      </w:r>
      <w:r w:rsidRPr="002812B4">
        <w:rPr>
          <w:lang w:eastAsia="en-US"/>
        </w:rPr>
        <w:t>:</w:t>
      </w:r>
    </w:p>
    <w:p w14:paraId="31A2E03A" w14:textId="77777777" w:rsidR="00DB7F27" w:rsidRPr="002812B4" w:rsidRDefault="00DB7F27" w:rsidP="004852DD">
      <w:pPr>
        <w:pStyle w:val="BodyText"/>
        <w:spacing w:after="0" w:line="240" w:lineRule="auto"/>
        <w:rPr>
          <w:lang w:eastAsia="en-US"/>
        </w:rPr>
      </w:pPr>
    </w:p>
    <w:p w14:paraId="01ADB043" w14:textId="20268E68" w:rsidR="002812B4" w:rsidRDefault="006470AC" w:rsidP="004852DD">
      <w:pPr>
        <w:pStyle w:val="BodyText"/>
        <w:numPr>
          <w:ilvl w:val="0"/>
          <w:numId w:val="1"/>
        </w:numPr>
        <w:spacing w:after="0" w:line="240" w:lineRule="auto"/>
        <w:rPr>
          <w:lang w:eastAsia="en-US"/>
        </w:rPr>
      </w:pPr>
      <w:r>
        <w:rPr>
          <w:lang w:eastAsia="en-US"/>
        </w:rPr>
        <w:t>Births</w:t>
      </w:r>
    </w:p>
    <w:p w14:paraId="0596D6E0" w14:textId="7D2839A8" w:rsidR="006470AC" w:rsidRDefault="00DB7F27" w:rsidP="004852DD">
      <w:pPr>
        <w:pStyle w:val="ListParagraph"/>
        <w:numPr>
          <w:ilvl w:val="0"/>
          <w:numId w:val="1"/>
        </w:numPr>
        <w:spacing w:after="0" w:line="240" w:lineRule="auto"/>
        <w:rPr>
          <w:lang w:eastAsia="en-US"/>
        </w:rPr>
      </w:pPr>
      <w:r>
        <w:rPr>
          <w:lang w:eastAsia="en-US"/>
        </w:rPr>
        <w:t>C</w:t>
      </w:r>
      <w:r w:rsidR="006470AC" w:rsidRPr="006470AC">
        <w:rPr>
          <w:lang w:eastAsia="en-US"/>
        </w:rPr>
        <w:t>hildren aging out of childhood</w:t>
      </w:r>
      <w:r w:rsidR="006470AC">
        <w:rPr>
          <w:lang w:eastAsia="en-US"/>
        </w:rPr>
        <w:t xml:space="preserve"> (they grow up so fast!)</w:t>
      </w:r>
    </w:p>
    <w:p w14:paraId="2FF4B168" w14:textId="211641BE" w:rsidR="006470AC" w:rsidRDefault="00E0314E" w:rsidP="004852DD">
      <w:pPr>
        <w:pStyle w:val="ListParagraph"/>
        <w:numPr>
          <w:ilvl w:val="0"/>
          <w:numId w:val="1"/>
        </w:numPr>
        <w:spacing w:after="0" w:line="240" w:lineRule="auto"/>
        <w:rPr>
          <w:lang w:eastAsia="en-US"/>
        </w:rPr>
      </w:pPr>
      <w:r>
        <w:rPr>
          <w:lang w:eastAsia="en-US"/>
        </w:rPr>
        <w:t>Net m</w:t>
      </w:r>
      <w:r w:rsidR="00DB7F27">
        <w:rPr>
          <w:lang w:eastAsia="en-US"/>
        </w:rPr>
        <w:t>igration</w:t>
      </w:r>
    </w:p>
    <w:p w14:paraId="1CB745BF" w14:textId="77777777" w:rsidR="000F3EAF" w:rsidRDefault="000F3EAF" w:rsidP="004852DD">
      <w:pPr>
        <w:spacing w:after="0" w:line="240" w:lineRule="auto"/>
        <w:rPr>
          <w:lang w:eastAsia="en-US"/>
        </w:rPr>
      </w:pPr>
    </w:p>
    <w:p w14:paraId="229FE171" w14:textId="07BE4B1B" w:rsidR="000F3EAF" w:rsidRPr="006470AC" w:rsidRDefault="00857E2A" w:rsidP="004852DD">
      <w:pPr>
        <w:spacing w:after="0" w:line="240" w:lineRule="auto"/>
        <w:rPr>
          <w:lang w:eastAsia="en-US"/>
        </w:rPr>
      </w:pPr>
      <w:r>
        <w:rPr>
          <w:lang w:eastAsia="en-US"/>
        </w:rPr>
        <w:t>Each of these explains roughly 1/3</w:t>
      </w:r>
      <w:r w:rsidRPr="00857E2A">
        <w:rPr>
          <w:vertAlign w:val="superscript"/>
          <w:lang w:eastAsia="en-US"/>
        </w:rPr>
        <w:t>rd</w:t>
      </w:r>
      <w:r>
        <w:rPr>
          <w:lang w:eastAsia="en-US"/>
        </w:rPr>
        <w:t xml:space="preserve"> of DC’s recent youth population increase. </w:t>
      </w:r>
      <w:r w:rsidR="000F3EAF">
        <w:rPr>
          <w:lang w:eastAsia="en-US"/>
        </w:rPr>
        <w:t xml:space="preserve">Let’s take each </w:t>
      </w:r>
      <w:r>
        <w:rPr>
          <w:lang w:eastAsia="en-US"/>
        </w:rPr>
        <w:t>in turn.</w:t>
      </w:r>
    </w:p>
    <w:p w14:paraId="413AAE58" w14:textId="29EA1041" w:rsidR="00060C70" w:rsidRDefault="00060C70" w:rsidP="004852DD">
      <w:pPr>
        <w:pStyle w:val="BodyText"/>
        <w:spacing w:line="240" w:lineRule="auto"/>
        <w:rPr>
          <w:i/>
          <w:iCs/>
          <w:lang w:eastAsia="en-US"/>
        </w:rPr>
      </w:pPr>
    </w:p>
    <w:p w14:paraId="3B1C5537" w14:textId="1623069E" w:rsidR="00981066" w:rsidRDefault="00BC1B19" w:rsidP="004852DD">
      <w:pPr>
        <w:pStyle w:val="BodyText"/>
        <w:spacing w:line="240" w:lineRule="auto"/>
        <w:rPr>
          <w:lang w:eastAsia="en-US"/>
        </w:rPr>
      </w:pPr>
      <w:r w:rsidRPr="00BC1B19">
        <w:rPr>
          <w:lang w:eastAsia="en-US"/>
        </w:rPr>
        <w:t>(</w:t>
      </w:r>
      <w:r>
        <w:rPr>
          <w:lang w:eastAsia="en-US"/>
        </w:rPr>
        <w:t xml:space="preserve">A quick methodology note: </w:t>
      </w:r>
      <w:r w:rsidRPr="00BC1B19">
        <w:rPr>
          <w:lang w:eastAsia="en-US"/>
        </w:rPr>
        <w:t xml:space="preserve">APL </w:t>
      </w:r>
      <w:r>
        <w:rPr>
          <w:lang w:eastAsia="en-US"/>
        </w:rPr>
        <w:t xml:space="preserve">bins people into </w:t>
      </w:r>
      <w:r w:rsidRPr="00BC1B19">
        <w:rPr>
          <w:lang w:eastAsia="en-US"/>
        </w:rPr>
        <w:t>five-year age groups, so 0–14 is the last age bracket that does not include adults. The next group up, 15–19, mixes children with college-age adults</w:t>
      </w:r>
      <w:r>
        <w:rPr>
          <w:lang w:eastAsia="en-US"/>
        </w:rPr>
        <w:t>. For this reason, we end the “child” groups at age 14 in the analysis below.</w:t>
      </w:r>
      <w:r w:rsidRPr="00BC1B19">
        <w:rPr>
          <w:lang w:eastAsia="en-US"/>
        </w:rPr>
        <w:t>)</w:t>
      </w:r>
    </w:p>
    <w:p w14:paraId="17FCD1BC" w14:textId="77777777" w:rsidR="00981066" w:rsidRDefault="00981066" w:rsidP="004852DD">
      <w:pPr>
        <w:pStyle w:val="BodyText"/>
        <w:spacing w:line="240" w:lineRule="auto"/>
        <w:rPr>
          <w:lang w:eastAsia="en-US"/>
        </w:rPr>
      </w:pPr>
    </w:p>
    <w:p w14:paraId="4EBE8A4F" w14:textId="6AFCD96C" w:rsidR="00981066" w:rsidRDefault="00981066" w:rsidP="004852DD">
      <w:pPr>
        <w:pStyle w:val="BodyText"/>
        <w:spacing w:line="240" w:lineRule="auto"/>
        <w:rPr>
          <w:lang w:eastAsia="en-US"/>
        </w:rPr>
      </w:pPr>
      <w:r w:rsidRPr="00981066">
        <w:rPr>
          <w:lang w:eastAsia="en-US"/>
        </w:rPr>
        <w:lastRenderedPageBreak/>
        <w:t xml:space="preserve">The chart below shows how each of these </w:t>
      </w:r>
      <w:r>
        <w:rPr>
          <w:lang w:eastAsia="en-US"/>
        </w:rPr>
        <w:t>three factors</w:t>
      </w:r>
      <w:r w:rsidRPr="00981066">
        <w:rPr>
          <w:lang w:eastAsia="en-US"/>
        </w:rPr>
        <w:t xml:space="preserve"> added or subtracted from DC’s population between 2010 and 2020. Overall, child net migration was negative (-17,800)</w:t>
      </w:r>
      <w:r>
        <w:rPr>
          <w:lang w:eastAsia="en-US"/>
        </w:rPr>
        <w:t>. In other words, more children moved out of DC than moved into DC</w:t>
      </w:r>
      <w:r w:rsidRPr="00981066">
        <w:rPr>
          <w:lang w:eastAsia="en-US"/>
        </w:rPr>
        <w:t>. The age-out term will always be negative; roughly 51,100 people who were children in 2010 were 15 or older by 2020. But these subtractions were outweighed by births (+93,200), so the total youth population was roughly 24,300 higher by the end of the decade.</w:t>
      </w:r>
    </w:p>
    <w:p w14:paraId="59D25806" w14:textId="77777777" w:rsidR="00981066" w:rsidRDefault="00981066" w:rsidP="004852DD">
      <w:pPr>
        <w:pStyle w:val="BodyText"/>
        <w:spacing w:line="240" w:lineRule="auto"/>
        <w:rPr>
          <w:lang w:eastAsia="en-US"/>
        </w:rPr>
      </w:pPr>
    </w:p>
    <w:p w14:paraId="71B71FF1" w14:textId="65832409" w:rsidR="00981066" w:rsidRDefault="00981066" w:rsidP="004852DD">
      <w:pPr>
        <w:pStyle w:val="BodyText"/>
        <w:spacing w:line="240" w:lineRule="auto"/>
        <w:rPr>
          <w:lang w:eastAsia="en-US"/>
        </w:rPr>
      </w:pPr>
      <w:r>
        <w:rPr>
          <w:noProof/>
        </w:rPr>
        <w:drawing>
          <wp:inline distT="0" distB="0" distL="0" distR="0" wp14:anchorId="31A9585A" wp14:editId="1359579F">
            <wp:extent cx="6400800" cy="4572000"/>
            <wp:effectExtent l="0" t="0" r="0" b="0"/>
            <wp:docPr id="1083017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D2E6524" w14:textId="77777777" w:rsidR="00981066" w:rsidRDefault="00981066" w:rsidP="004852DD">
      <w:pPr>
        <w:pStyle w:val="BodyText"/>
        <w:spacing w:line="240" w:lineRule="auto"/>
        <w:rPr>
          <w:lang w:eastAsia="en-US"/>
        </w:rPr>
      </w:pPr>
    </w:p>
    <w:p w14:paraId="0060DE4E" w14:textId="209910D7" w:rsidR="00981066" w:rsidRDefault="00981066" w:rsidP="004852DD">
      <w:pPr>
        <w:pStyle w:val="BodyText"/>
        <w:spacing w:line="240" w:lineRule="auto"/>
        <w:rPr>
          <w:lang w:eastAsia="en-US"/>
        </w:rPr>
      </w:pPr>
      <w:r w:rsidRPr="00981066">
        <w:rPr>
          <w:lang w:eastAsia="en-US"/>
        </w:rPr>
        <w:t>The sections below unpack each of these three contributions to the District’s 2010s youth population increase.</w:t>
      </w:r>
    </w:p>
    <w:p w14:paraId="2440CEE1" w14:textId="77777777" w:rsidR="00981066" w:rsidRDefault="00981066" w:rsidP="004852DD">
      <w:pPr>
        <w:pStyle w:val="BodyText"/>
        <w:spacing w:line="240" w:lineRule="auto"/>
        <w:rPr>
          <w:lang w:eastAsia="en-US"/>
        </w:rPr>
      </w:pPr>
    </w:p>
    <w:p w14:paraId="637D621A" w14:textId="2669868E" w:rsidR="00981066" w:rsidRDefault="00981066" w:rsidP="004852DD">
      <w:pPr>
        <w:pStyle w:val="Heading1"/>
      </w:pPr>
      <w:r>
        <w:t>Births</w:t>
      </w:r>
    </w:p>
    <w:p w14:paraId="0E09CA20" w14:textId="6C6B3562" w:rsidR="00981066" w:rsidRPr="00981066" w:rsidRDefault="00981066" w:rsidP="004852DD">
      <w:pPr>
        <w:pStyle w:val="BodyText"/>
        <w:spacing w:line="240" w:lineRule="auto"/>
        <w:rPr>
          <w:lang w:eastAsia="en-US"/>
        </w:rPr>
      </w:pPr>
      <w:r w:rsidRPr="00981066">
        <w:rPr>
          <w:lang w:eastAsia="en-US"/>
        </w:rPr>
        <w:t>DC’s overall population increas</w:t>
      </w:r>
      <w:r w:rsidR="005D2028">
        <w:rPr>
          <w:lang w:eastAsia="en-US"/>
        </w:rPr>
        <w:t>ed</w:t>
      </w:r>
      <w:r w:rsidRPr="00981066">
        <w:rPr>
          <w:lang w:eastAsia="en-US"/>
        </w:rPr>
        <w:t xml:space="preserve"> during the 2010s. All else equal, adult population increases will lead to youth population increases, because some of those additional adults will have </w:t>
      </w:r>
      <w:r w:rsidRPr="00981066">
        <w:rPr>
          <w:lang w:eastAsia="en-US"/>
        </w:rPr>
        <w:lastRenderedPageBreak/>
        <w:t>children. Indeed, births in DC increased during the 2010s, relative to the 2000s. Note however, that the number of births during the 1990s was comparable to the number during the 2010s: 92,816 versus 93,184, respectively. So in one sense, 2010s births were more of a return to 1990s levels than a novel increase (although as discussed below, the demographics of the 2010s increase are different).</w:t>
      </w:r>
    </w:p>
    <w:p w14:paraId="0D2E4A6A" w14:textId="3FD5F95C" w:rsidR="00981066" w:rsidRDefault="00981066" w:rsidP="004852DD">
      <w:pPr>
        <w:pStyle w:val="BodyText"/>
        <w:spacing w:line="240" w:lineRule="auto"/>
        <w:rPr>
          <w:lang w:eastAsia="en-US"/>
        </w:rPr>
      </w:pPr>
      <w:r>
        <w:rPr>
          <w:noProof/>
        </w:rPr>
        <w:drawing>
          <wp:inline distT="0" distB="0" distL="0" distR="0" wp14:anchorId="72588CA4" wp14:editId="5CBC5356">
            <wp:extent cx="6400800" cy="4572000"/>
            <wp:effectExtent l="0" t="0" r="0" b="0"/>
            <wp:docPr id="1251141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8F09B4F" w14:textId="77777777" w:rsidR="00981066" w:rsidRDefault="00981066" w:rsidP="004852DD">
      <w:pPr>
        <w:pStyle w:val="BodyText"/>
        <w:spacing w:line="240" w:lineRule="auto"/>
        <w:rPr>
          <w:lang w:eastAsia="en-US"/>
        </w:rPr>
      </w:pPr>
    </w:p>
    <w:p w14:paraId="133E6DDD" w14:textId="3ED988AC" w:rsidR="00981066" w:rsidRPr="00981066" w:rsidRDefault="00981066" w:rsidP="004852DD">
      <w:pPr>
        <w:pStyle w:val="BodyText"/>
        <w:spacing w:line="240" w:lineRule="auto"/>
        <w:rPr>
          <w:lang w:eastAsia="en-US"/>
        </w:rPr>
      </w:pPr>
      <w:r w:rsidRPr="00981066">
        <w:rPr>
          <w:lang w:eastAsia="en-US"/>
        </w:rPr>
        <w:t>Part of the increase in births during the 2010s can be traced to a specific driver: net in-migration of people in their 30s increased significantly during the decade. There were more people living in DC at the age when many people start families. The line chart in the net-migration section below shows how net migration changed across all age groups over the decades in DC. Note the upward jumps in the 25-39 groups.</w:t>
      </w:r>
    </w:p>
    <w:p w14:paraId="5D0980CA" w14:textId="3A77CE0D" w:rsidR="00981066" w:rsidRPr="00981066" w:rsidRDefault="00981066" w:rsidP="004852DD">
      <w:pPr>
        <w:pStyle w:val="BodyText"/>
        <w:spacing w:line="240" w:lineRule="auto"/>
        <w:rPr>
          <w:lang w:eastAsia="en-US"/>
        </w:rPr>
      </w:pPr>
      <w:r w:rsidRPr="00981066">
        <w:rPr>
          <w:lang w:eastAsia="en-US"/>
        </w:rPr>
        <w:t xml:space="preserve">There was also a significant drop in infant mortality in DC between the 2000s and 2020. According to the DC Department of Health, there were roughly 8 deaths per 1,000 live births in DC in the early 2010s; this fell to 5.5 deaths per 1,000 live births in the 2019-2023 period. While this is a huge improvement (and literally a matter of life and death!) it accounts for a relatively small share of DC’s total population increase during the 2010s. A drop in infant mortality of 2.5 deaths per 1,000 live births represents roughly 233 additional births, using the 2010s-era 93,184 births as a baseline. That’s about 0.25% of all births during that period. </w:t>
      </w:r>
      <w:r w:rsidR="00893E85">
        <w:rPr>
          <w:lang w:eastAsia="en-US"/>
        </w:rPr>
        <w:t>W</w:t>
      </w:r>
      <w:r w:rsidRPr="00981066">
        <w:rPr>
          <w:lang w:eastAsia="en-US"/>
        </w:rPr>
        <w:t>hile this drop in infant mortality is obviously a good thing, it is not a major driver of DC’s 2010’s population increase.</w:t>
      </w:r>
    </w:p>
    <w:p w14:paraId="509EA67D" w14:textId="5499C4FC" w:rsidR="00981066" w:rsidRDefault="00981066" w:rsidP="004852DD">
      <w:pPr>
        <w:pStyle w:val="BodyText"/>
        <w:spacing w:line="240" w:lineRule="auto"/>
        <w:rPr>
          <w:lang w:eastAsia="en-US"/>
        </w:rPr>
      </w:pPr>
      <w:r w:rsidRPr="00981066">
        <w:rPr>
          <w:lang w:eastAsia="en-US"/>
        </w:rPr>
        <w:lastRenderedPageBreak/>
        <w:t>It is also worth noting that the rise in births wasn’t due to an increase in the fertility rate (i.e. the likelihood that a given person decides to have children). DC’s fertility rate has fallen almost every year since the mid-2000s, which itself represented a decline from the early 1990s. Demographers calculate the “general fertility rate” by dividing the number of births by the female population ages 15 to 44, and multiplying by 1,000. The chart below shows DC’s GFR over time. This has steadily fallen.</w:t>
      </w:r>
    </w:p>
    <w:p w14:paraId="7F163173" w14:textId="310980AA" w:rsidR="000E4646" w:rsidRPr="00981066" w:rsidRDefault="000E4646" w:rsidP="004852DD">
      <w:pPr>
        <w:pStyle w:val="BodyText"/>
        <w:spacing w:line="240" w:lineRule="auto"/>
        <w:rPr>
          <w:lang w:eastAsia="en-US"/>
        </w:rPr>
      </w:pPr>
      <w:r>
        <w:rPr>
          <w:noProof/>
        </w:rPr>
        <w:drawing>
          <wp:inline distT="0" distB="0" distL="0" distR="0" wp14:anchorId="5FCF2F46" wp14:editId="5F2BDEA6">
            <wp:extent cx="6400800" cy="4572000"/>
            <wp:effectExtent l="0" t="0" r="0" b="0"/>
            <wp:docPr id="13776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C46E3A3" w14:textId="77777777" w:rsidR="00981066" w:rsidRDefault="00981066" w:rsidP="004852DD">
      <w:pPr>
        <w:pStyle w:val="BodyText"/>
        <w:spacing w:line="240" w:lineRule="auto"/>
        <w:rPr>
          <w:lang w:eastAsia="en-US"/>
        </w:rPr>
      </w:pPr>
    </w:p>
    <w:p w14:paraId="2C423EE5" w14:textId="4AF8D505" w:rsidR="000E4646" w:rsidRDefault="000E4646" w:rsidP="004852DD">
      <w:pPr>
        <w:pStyle w:val="BodyText"/>
        <w:spacing w:line="240" w:lineRule="auto"/>
        <w:rPr>
          <w:lang w:eastAsia="en-US"/>
        </w:rPr>
      </w:pPr>
      <w:r w:rsidRPr="000E4646">
        <w:rPr>
          <w:lang w:eastAsia="en-US"/>
        </w:rPr>
        <w:t>DC’s GFR is also on the lower end among large U.S. citie</w:t>
      </w:r>
      <w:r>
        <w:rPr>
          <w:lang w:eastAsia="en-US"/>
        </w:rPr>
        <w:t>s</w:t>
      </w:r>
      <w:r w:rsidRPr="000E4646">
        <w:rPr>
          <w:lang w:eastAsia="en-US"/>
        </w:rPr>
        <w:t>.</w:t>
      </w:r>
    </w:p>
    <w:p w14:paraId="645F7D2A" w14:textId="77777777" w:rsidR="000E4646" w:rsidRDefault="000E4646" w:rsidP="004852DD">
      <w:pPr>
        <w:pStyle w:val="BodyText"/>
        <w:spacing w:line="240" w:lineRule="auto"/>
        <w:rPr>
          <w:lang w:eastAsia="en-US"/>
        </w:rPr>
      </w:pPr>
    </w:p>
    <w:p w14:paraId="7027FF50" w14:textId="78890CBE" w:rsidR="000E4646" w:rsidRDefault="000E4646" w:rsidP="004852DD">
      <w:pPr>
        <w:pStyle w:val="BodyText"/>
        <w:spacing w:line="240" w:lineRule="auto"/>
        <w:rPr>
          <w:lang w:eastAsia="en-US"/>
        </w:rPr>
      </w:pPr>
      <w:r>
        <w:rPr>
          <w:noProof/>
        </w:rPr>
        <w:lastRenderedPageBreak/>
        <w:drawing>
          <wp:inline distT="0" distB="0" distL="0" distR="0" wp14:anchorId="07E3EF8D" wp14:editId="32761ED1">
            <wp:extent cx="6400800" cy="4572000"/>
            <wp:effectExtent l="0" t="0" r="0" b="0"/>
            <wp:docPr id="217271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11DF9F9" w14:textId="77777777" w:rsidR="000E4646" w:rsidRDefault="000E4646" w:rsidP="004852DD">
      <w:pPr>
        <w:pStyle w:val="BodyText"/>
        <w:spacing w:line="240" w:lineRule="auto"/>
        <w:rPr>
          <w:lang w:eastAsia="en-US"/>
        </w:rPr>
      </w:pPr>
    </w:p>
    <w:p w14:paraId="45B4C930" w14:textId="4623EAF8" w:rsidR="00B17B47" w:rsidRDefault="00B17B47" w:rsidP="004852DD">
      <w:pPr>
        <w:pStyle w:val="Heading1"/>
      </w:pPr>
      <w:r>
        <w:t>Net Migration</w:t>
      </w:r>
    </w:p>
    <w:p w14:paraId="34B7FA49" w14:textId="18837BAB" w:rsidR="001E48A1" w:rsidRDefault="000E4646" w:rsidP="004852DD">
      <w:pPr>
        <w:pStyle w:val="BodyText"/>
        <w:spacing w:line="240" w:lineRule="auto"/>
        <w:rPr>
          <w:lang w:eastAsia="en-US"/>
        </w:rPr>
      </w:pPr>
      <w:r>
        <w:rPr>
          <w:lang w:eastAsia="en-US"/>
        </w:rPr>
        <w:t>T</w:t>
      </w:r>
      <w:r w:rsidRPr="000E4646">
        <w:rPr>
          <w:lang w:eastAsia="en-US"/>
        </w:rPr>
        <w:t>he line chart below</w:t>
      </w:r>
      <w:r>
        <w:rPr>
          <w:lang w:eastAsia="en-US"/>
        </w:rPr>
        <w:t>, based on APL analysis</w:t>
      </w:r>
      <w:r w:rsidRPr="000E4646">
        <w:rPr>
          <w:lang w:eastAsia="en-US"/>
        </w:rPr>
        <w:t xml:space="preserve">, </w:t>
      </w:r>
      <w:r>
        <w:rPr>
          <w:lang w:eastAsia="en-US"/>
        </w:rPr>
        <w:t>shows how the</w:t>
      </w:r>
      <w:r w:rsidRPr="000E4646">
        <w:rPr>
          <w:lang w:eastAsia="en-US"/>
        </w:rPr>
        <w:t xml:space="preserve"> 2010s saw less negative youth net migration, though it was still negative for all under-15 groups.</w:t>
      </w:r>
      <w:r w:rsidR="001E48A1">
        <w:rPr>
          <w:lang w:eastAsia="en-US"/>
        </w:rPr>
        <w:t xml:space="preserve"> Again, note that net migration for people in their late-20s and 30s increased; these are the age groups when people tend to have children.</w:t>
      </w:r>
      <w:r w:rsidRPr="000E4646">
        <w:rPr>
          <w:lang w:eastAsia="en-US"/>
        </w:rPr>
        <w:t xml:space="preserve"> (Net migration for 20-somethings has been positive for the last three decades, as young adults attend university or start a first job). </w:t>
      </w:r>
    </w:p>
    <w:p w14:paraId="5B0FB7E1" w14:textId="110981D6" w:rsidR="000E4646" w:rsidRDefault="000E4646" w:rsidP="004852DD">
      <w:pPr>
        <w:pStyle w:val="BodyText"/>
        <w:spacing w:line="240" w:lineRule="auto"/>
        <w:rPr>
          <w:lang w:eastAsia="en-US"/>
        </w:rPr>
      </w:pPr>
      <w:r w:rsidRPr="000E4646">
        <w:rPr>
          <w:lang w:eastAsia="en-US"/>
        </w:rPr>
        <w:t>It is possible that some of the increase in net-migration among very young children is due to policies like universal pre-kindergarten; in analysis not shown here, we attempt to test this hypothesis, by comparing migration rates for very young children to migration rates for pre-teens, whose migration rates would theoretically be less impacted by the pre-k policy change. We do not observe a divergence in migration rates between the two groups, but the data are quite noisy, so it is difficult to draw any real conclusions from the data.</w:t>
      </w:r>
    </w:p>
    <w:p w14:paraId="55C7AA91" w14:textId="77777777" w:rsidR="000E4646" w:rsidRDefault="000E4646" w:rsidP="004852DD">
      <w:pPr>
        <w:pStyle w:val="BodyText"/>
        <w:spacing w:line="240" w:lineRule="auto"/>
        <w:rPr>
          <w:lang w:eastAsia="en-US"/>
        </w:rPr>
      </w:pPr>
    </w:p>
    <w:p w14:paraId="329E043A" w14:textId="1589C779" w:rsidR="000E4646" w:rsidRDefault="000E4646" w:rsidP="004852DD">
      <w:pPr>
        <w:pStyle w:val="BodyText"/>
        <w:spacing w:line="240" w:lineRule="auto"/>
        <w:rPr>
          <w:lang w:eastAsia="en-US"/>
        </w:rPr>
      </w:pPr>
      <w:r>
        <w:rPr>
          <w:noProof/>
        </w:rPr>
        <w:lastRenderedPageBreak/>
        <w:drawing>
          <wp:inline distT="0" distB="0" distL="0" distR="0" wp14:anchorId="4B728E9B" wp14:editId="098384C9">
            <wp:extent cx="6400800" cy="4572000"/>
            <wp:effectExtent l="0" t="0" r="0" b="0"/>
            <wp:docPr id="1877943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7147B236" w14:textId="77777777" w:rsidR="00981066" w:rsidRDefault="00981066" w:rsidP="004852DD">
      <w:pPr>
        <w:pStyle w:val="BodyText"/>
        <w:spacing w:line="240" w:lineRule="auto"/>
        <w:rPr>
          <w:lang w:eastAsia="en-US"/>
        </w:rPr>
      </w:pPr>
    </w:p>
    <w:p w14:paraId="3BE8568E" w14:textId="65F6D133" w:rsidR="000E4646" w:rsidRDefault="000E4646" w:rsidP="004852DD">
      <w:pPr>
        <w:pStyle w:val="Heading1"/>
        <w:spacing w:before="0" w:after="0"/>
      </w:pPr>
      <w:r>
        <w:t>Children aging-out</w:t>
      </w:r>
    </w:p>
    <w:p w14:paraId="1BF1996B" w14:textId="204E357D" w:rsidR="000E4646" w:rsidRPr="000E4646" w:rsidRDefault="000E4646" w:rsidP="004852DD">
      <w:pPr>
        <w:pStyle w:val="BodyText"/>
        <w:spacing w:line="240" w:lineRule="auto"/>
        <w:rPr>
          <w:lang w:eastAsia="en-US"/>
        </w:rPr>
      </w:pPr>
      <w:r w:rsidRPr="000E4646">
        <w:rPr>
          <w:lang w:eastAsia="en-US"/>
        </w:rPr>
        <w:t xml:space="preserve">If you </w:t>
      </w:r>
      <w:r w:rsidR="00B17B47" w:rsidRPr="000E4646">
        <w:rPr>
          <w:lang w:eastAsia="en-US"/>
        </w:rPr>
        <w:t>refer</w:t>
      </w:r>
      <w:r w:rsidRPr="000E4646">
        <w:rPr>
          <w:lang w:eastAsia="en-US"/>
        </w:rPr>
        <w:t xml:space="preserve"> to the </w:t>
      </w:r>
      <w:r w:rsidR="00B17B47">
        <w:rPr>
          <w:lang w:eastAsia="en-US"/>
        </w:rPr>
        <w:t xml:space="preserve">second </w:t>
      </w:r>
      <w:r w:rsidRPr="000E4646">
        <w:rPr>
          <w:lang w:eastAsia="en-US"/>
        </w:rPr>
        <w:t xml:space="preserve">chart in this report, you will notice that 2010 marked the lowest point in DC’s youth population in the last </w:t>
      </w:r>
      <w:r w:rsidR="00B17B47">
        <w:rPr>
          <w:lang w:eastAsia="en-US"/>
        </w:rPr>
        <w:t>8</w:t>
      </w:r>
      <w:r w:rsidRPr="000E4646">
        <w:rPr>
          <w:lang w:eastAsia="en-US"/>
        </w:rPr>
        <w:t>5 years. In other words, there were not that many children, relatively speaking, living in DC in 2010. This means that any increase in the child population after 2010 would look proportionately larger than if the initial child population had been bigger in 2010. This is sometimes called the “low base effect.”</w:t>
      </w:r>
      <w:r w:rsidR="00A84655" w:rsidRPr="000E4646">
        <w:rPr>
          <w:lang w:eastAsia="en-US"/>
        </w:rPr>
        <w:t xml:space="preserve"> </w:t>
      </w:r>
    </w:p>
    <w:p w14:paraId="1E975086" w14:textId="47A7978D" w:rsidR="000E4646" w:rsidRDefault="000E4646" w:rsidP="004852DD">
      <w:pPr>
        <w:pStyle w:val="BodyText"/>
        <w:spacing w:line="240" w:lineRule="auto"/>
        <w:rPr>
          <w:lang w:eastAsia="en-US"/>
        </w:rPr>
      </w:pPr>
      <w:r w:rsidRPr="000E4646">
        <w:rPr>
          <w:lang w:eastAsia="en-US"/>
        </w:rPr>
        <w:t xml:space="preserve">In this case, the relatively small number of children in 2010 also means, mechanically, that there were fewer children in the 2010s aging past 14. So some of the large 2010s increase in DC’s youth population </w:t>
      </w:r>
      <w:r w:rsidR="0005083B">
        <w:rPr>
          <w:lang w:eastAsia="en-US"/>
        </w:rPr>
        <w:t xml:space="preserve">appears </w:t>
      </w:r>
      <w:r w:rsidR="0005083B" w:rsidRPr="000E4646">
        <w:rPr>
          <w:lang w:eastAsia="en-US"/>
        </w:rPr>
        <w:t>because</w:t>
      </w:r>
      <w:r w:rsidRPr="000E4646">
        <w:rPr>
          <w:lang w:eastAsia="en-US"/>
        </w:rPr>
        <w:t xml:space="preserve"> there weren’t as many existing children aging out of childhood. Put another way: if there had been a much larger number of youth in DC in 2010, that had then aged past 14 by 2020, this would look like a big decline in the youth population, even if the number of births and net migration were held constant.</w:t>
      </w:r>
    </w:p>
    <w:p w14:paraId="000BB06A" w14:textId="77777777" w:rsidR="006E7202" w:rsidRDefault="006E7202" w:rsidP="004852DD">
      <w:pPr>
        <w:pStyle w:val="BodyText"/>
        <w:spacing w:line="240" w:lineRule="auto"/>
        <w:rPr>
          <w:lang w:eastAsia="en-US"/>
        </w:rPr>
      </w:pPr>
    </w:p>
    <w:p w14:paraId="3255E71F" w14:textId="2EF16680" w:rsidR="006E7202" w:rsidRDefault="006E7202" w:rsidP="004852DD">
      <w:pPr>
        <w:pStyle w:val="Heading1"/>
      </w:pPr>
      <w:r>
        <w:lastRenderedPageBreak/>
        <w:t>Putting it all together</w:t>
      </w:r>
    </w:p>
    <w:p w14:paraId="2C098F25" w14:textId="4F862764" w:rsidR="006E7202" w:rsidRDefault="006E7202" w:rsidP="004852DD">
      <w:pPr>
        <w:pStyle w:val="BodyText"/>
        <w:spacing w:line="240" w:lineRule="auto"/>
        <w:rPr>
          <w:lang w:eastAsia="en-US"/>
        </w:rPr>
      </w:pPr>
      <w:r w:rsidRPr="006E7202">
        <w:rPr>
          <w:lang w:eastAsia="en-US"/>
        </w:rPr>
        <w:t xml:space="preserve">The chart below </w:t>
      </w:r>
      <w:r w:rsidR="009114C8">
        <w:rPr>
          <w:lang w:eastAsia="en-US"/>
        </w:rPr>
        <w:t xml:space="preserve">compiles </w:t>
      </w:r>
      <w:r w:rsidR="00A8311F">
        <w:rPr>
          <w:lang w:eastAsia="en-US"/>
        </w:rPr>
        <w:t>the</w:t>
      </w:r>
      <w:r w:rsidR="009114C8">
        <w:rPr>
          <w:lang w:eastAsia="en-US"/>
        </w:rPr>
        <w:t xml:space="preserve"> APL estimates to </w:t>
      </w:r>
      <w:r w:rsidRPr="006E7202">
        <w:rPr>
          <w:lang w:eastAsia="en-US"/>
        </w:rPr>
        <w:t xml:space="preserve">how much each </w:t>
      </w:r>
      <w:r>
        <w:rPr>
          <w:lang w:eastAsia="en-US"/>
        </w:rPr>
        <w:t xml:space="preserve">of these three </w:t>
      </w:r>
      <w:r w:rsidRPr="006E7202">
        <w:rPr>
          <w:lang w:eastAsia="en-US"/>
        </w:rPr>
        <w:t>factor</w:t>
      </w:r>
      <w:r>
        <w:rPr>
          <w:lang w:eastAsia="en-US"/>
        </w:rPr>
        <w:t>s</w:t>
      </w:r>
      <w:r w:rsidRPr="006E7202">
        <w:rPr>
          <w:lang w:eastAsia="en-US"/>
        </w:rPr>
        <w:t xml:space="preserve"> contributed to the total net change in youth population in DC</w:t>
      </w:r>
      <w:r w:rsidR="00561E15">
        <w:rPr>
          <w:lang w:eastAsia="en-US"/>
        </w:rPr>
        <w:t>, by decade</w:t>
      </w:r>
      <w:r w:rsidRPr="006E7202">
        <w:rPr>
          <w:lang w:eastAsia="en-US"/>
        </w:rPr>
        <w:t>. As discussed above, more births, fewer age-outs, and less negative net migration each accounted for roughly a third of the swing from youth population decline in the 2000s to growth in the 2010s.</w:t>
      </w:r>
    </w:p>
    <w:p w14:paraId="7077AA05" w14:textId="20D24935" w:rsidR="00C15CA3" w:rsidRDefault="00C15CA3" w:rsidP="004852DD">
      <w:pPr>
        <w:pStyle w:val="BodyText"/>
        <w:spacing w:line="240" w:lineRule="auto"/>
        <w:rPr>
          <w:lang w:eastAsia="en-US"/>
        </w:rPr>
      </w:pPr>
      <w:r>
        <w:rPr>
          <w:noProof/>
        </w:rPr>
        <w:drawing>
          <wp:inline distT="0" distB="0" distL="0" distR="0" wp14:anchorId="3E4F4740" wp14:editId="026D49A8">
            <wp:extent cx="6400800" cy="4572000"/>
            <wp:effectExtent l="0" t="0" r="0" b="0"/>
            <wp:docPr id="1935848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2E79426" w14:textId="77777777" w:rsidR="00C15CA3" w:rsidRDefault="00C15CA3" w:rsidP="004852DD">
      <w:pPr>
        <w:pStyle w:val="BodyText"/>
        <w:spacing w:line="240" w:lineRule="auto"/>
        <w:rPr>
          <w:lang w:eastAsia="en-US"/>
        </w:rPr>
      </w:pPr>
    </w:p>
    <w:p w14:paraId="04EF64EC" w14:textId="77777777" w:rsidR="00350DBF" w:rsidRDefault="00350DBF" w:rsidP="004852DD">
      <w:pPr>
        <w:pStyle w:val="BodyText"/>
        <w:spacing w:line="240" w:lineRule="auto"/>
        <w:rPr>
          <w:lang w:eastAsia="en-US"/>
        </w:rPr>
      </w:pPr>
    </w:p>
    <w:p w14:paraId="55F4A4A2" w14:textId="79D7923A" w:rsidR="00350DBF" w:rsidRDefault="00350DBF" w:rsidP="004852DD">
      <w:pPr>
        <w:pStyle w:val="Heading1"/>
      </w:pPr>
      <w:r w:rsidRPr="00350DBF">
        <w:t>Decomposing youth population changes: race</w:t>
      </w:r>
    </w:p>
    <w:p w14:paraId="0C4F373B" w14:textId="7909B847" w:rsidR="00C15CA3" w:rsidRPr="00C15CA3" w:rsidRDefault="00C15CA3" w:rsidP="004852DD">
      <w:pPr>
        <w:pStyle w:val="BodyText"/>
        <w:spacing w:line="240" w:lineRule="auto"/>
        <w:rPr>
          <w:lang w:eastAsia="en-US"/>
        </w:rPr>
      </w:pPr>
      <w:r w:rsidRPr="00C15CA3">
        <w:rPr>
          <w:lang w:eastAsia="en-US"/>
        </w:rPr>
        <w:t>The sections above tell a broad statistical story about why the District’s youth population increased during the 2010s. The next two sections break down this increase along race and income lines.</w:t>
      </w:r>
    </w:p>
    <w:p w14:paraId="560690B3" w14:textId="1EACF00E" w:rsidR="00C15CA3" w:rsidRDefault="00C15CA3" w:rsidP="004852DD">
      <w:pPr>
        <w:pStyle w:val="BodyText"/>
        <w:spacing w:line="240" w:lineRule="auto"/>
        <w:rPr>
          <w:lang w:eastAsia="en-US"/>
        </w:rPr>
      </w:pPr>
      <w:r w:rsidRPr="00C15CA3">
        <w:rPr>
          <w:lang w:eastAsia="en-US"/>
        </w:rPr>
        <w:lastRenderedPageBreak/>
        <w:t>While the numbers of Hispanic and Non-Hispanic White children have risen in DC since 2010, the number of Black children has continued to fall.</w:t>
      </w:r>
      <w:r w:rsidR="00350DBF">
        <w:rPr>
          <w:lang w:eastAsia="en-US"/>
        </w:rPr>
        <w:t xml:space="preserve"> (Note that the totals shown below differ slightly from some of the charts above, which are based on Census’ Population Estimates. Again, those estimates better account for youth undercounts</w:t>
      </w:r>
      <w:r w:rsidR="006E0F05">
        <w:rPr>
          <w:lang w:eastAsia="en-US"/>
        </w:rPr>
        <w:t xml:space="preserve"> in the Decennial Census</w:t>
      </w:r>
      <w:r w:rsidR="00350DBF">
        <w:rPr>
          <w:lang w:eastAsia="en-US"/>
        </w:rPr>
        <w:t>).</w:t>
      </w:r>
    </w:p>
    <w:p w14:paraId="143EC1A5" w14:textId="06D2D051" w:rsidR="00217AAF" w:rsidRDefault="00217AAF" w:rsidP="004852DD">
      <w:pPr>
        <w:pStyle w:val="BodyText"/>
        <w:spacing w:line="240" w:lineRule="auto"/>
        <w:rPr>
          <w:lang w:eastAsia="en-US"/>
        </w:rPr>
      </w:pPr>
      <w:r>
        <w:rPr>
          <w:noProof/>
        </w:rPr>
        <w:drawing>
          <wp:inline distT="0" distB="0" distL="0" distR="0" wp14:anchorId="608E67B9" wp14:editId="522E1C2B">
            <wp:extent cx="6400800" cy="4572000"/>
            <wp:effectExtent l="0" t="0" r="0" b="0"/>
            <wp:docPr id="597362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1749C36" w14:textId="5992A050" w:rsidR="00217AAF" w:rsidRDefault="00217AAF" w:rsidP="004852DD">
      <w:pPr>
        <w:pStyle w:val="BodyText"/>
        <w:spacing w:line="240" w:lineRule="auto"/>
        <w:rPr>
          <w:lang w:eastAsia="en-US"/>
        </w:rPr>
      </w:pPr>
      <w:r w:rsidRPr="00217AAF">
        <w:rPr>
          <w:lang w:eastAsia="en-US"/>
        </w:rPr>
        <w:t xml:space="preserve">Part of what is happening here is that non-Hispanic </w:t>
      </w:r>
      <w:r>
        <w:rPr>
          <w:lang w:eastAsia="en-US"/>
        </w:rPr>
        <w:t>W</w:t>
      </w:r>
      <w:r w:rsidRPr="00217AAF">
        <w:rPr>
          <w:lang w:eastAsia="en-US"/>
        </w:rPr>
        <w:t xml:space="preserve">hite parents </w:t>
      </w:r>
      <w:r>
        <w:rPr>
          <w:lang w:eastAsia="en-US"/>
        </w:rPr>
        <w:t xml:space="preserve">were </w:t>
      </w:r>
      <w:r w:rsidRPr="00217AAF">
        <w:rPr>
          <w:lang w:eastAsia="en-US"/>
        </w:rPr>
        <w:t xml:space="preserve">more likely to move to the District </w:t>
      </w:r>
      <w:r w:rsidR="006E0F05" w:rsidRPr="00217AAF">
        <w:rPr>
          <w:lang w:eastAsia="en-US"/>
        </w:rPr>
        <w:t xml:space="preserve">than they were 40 years ago </w:t>
      </w:r>
      <w:r w:rsidRPr="00217AAF">
        <w:rPr>
          <w:lang w:eastAsia="en-US"/>
        </w:rPr>
        <w:t>(or remain in DC, if they were existing residents). This would be part of a broader trend: the reversal of white flight in large U.S. urban areas. Meanwhile, higher housing costs have led (or financially forced) many Black residents to move to the suburbs.</w:t>
      </w:r>
    </w:p>
    <w:p w14:paraId="08F7C5F5" w14:textId="2ACD0414" w:rsidR="00154FC0" w:rsidRDefault="00154FC0" w:rsidP="004852DD">
      <w:pPr>
        <w:pStyle w:val="BodyText"/>
        <w:spacing w:line="240" w:lineRule="auto"/>
        <w:rPr>
          <w:lang w:eastAsia="en-US"/>
        </w:rPr>
      </w:pPr>
      <w:r>
        <w:rPr>
          <w:noProof/>
        </w:rPr>
        <w:lastRenderedPageBreak/>
        <w:drawing>
          <wp:inline distT="0" distB="0" distL="0" distR="0" wp14:anchorId="1622416B" wp14:editId="3B346AA8">
            <wp:extent cx="6400800" cy="4572000"/>
            <wp:effectExtent l="0" t="0" r="0" b="0"/>
            <wp:docPr id="138113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19BC872" w14:textId="77777777" w:rsidR="00154FC0" w:rsidRDefault="00154FC0" w:rsidP="004852DD">
      <w:pPr>
        <w:pStyle w:val="BodyText"/>
        <w:spacing w:line="240" w:lineRule="auto"/>
        <w:rPr>
          <w:lang w:eastAsia="en-US"/>
        </w:rPr>
      </w:pPr>
    </w:p>
    <w:p w14:paraId="5FD5F57F" w14:textId="01509DF2" w:rsidR="00154FC0" w:rsidRDefault="00154FC0" w:rsidP="004852DD">
      <w:pPr>
        <w:pStyle w:val="Heading1"/>
      </w:pPr>
      <w:r w:rsidRPr="00154FC0">
        <w:t>Decomposing youth population changes: income</w:t>
      </w:r>
    </w:p>
    <w:p w14:paraId="3F881FEC" w14:textId="32FEE0B5" w:rsidR="00350DBF" w:rsidRDefault="00154FC0" w:rsidP="004852DD">
      <w:pPr>
        <w:pStyle w:val="BodyText"/>
        <w:spacing w:line="240" w:lineRule="auto"/>
        <w:rPr>
          <w:lang w:eastAsia="en-US"/>
        </w:rPr>
      </w:pPr>
      <w:r w:rsidRPr="00154FC0">
        <w:rPr>
          <w:lang w:eastAsia="en-US"/>
        </w:rPr>
        <w:t>The average District youth is now also more likely to come from a high-income family. Since the mid-2000s, the proportion of DC children in higher-income families rose from 10% in 2007 to 20% in 2024.</w:t>
      </w:r>
    </w:p>
    <w:p w14:paraId="6F9FDFC9" w14:textId="576535C5" w:rsidR="00CD2B22" w:rsidRDefault="00CD2B22" w:rsidP="004852DD">
      <w:pPr>
        <w:pStyle w:val="BodyText"/>
        <w:spacing w:line="240" w:lineRule="auto"/>
        <w:rPr>
          <w:lang w:eastAsia="en-US"/>
        </w:rPr>
      </w:pPr>
      <w:r>
        <w:rPr>
          <w:noProof/>
        </w:rPr>
        <w:lastRenderedPageBreak/>
        <w:drawing>
          <wp:inline distT="0" distB="0" distL="0" distR="0" wp14:anchorId="60CCAA4B" wp14:editId="26ADF662">
            <wp:extent cx="6400800" cy="4572000"/>
            <wp:effectExtent l="0" t="0" r="0" b="0"/>
            <wp:docPr id="1234236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5DD2FF24" w14:textId="77777777" w:rsidR="009114C8" w:rsidRDefault="009114C8" w:rsidP="004852DD">
      <w:pPr>
        <w:pStyle w:val="BodyText"/>
        <w:spacing w:line="240" w:lineRule="auto"/>
        <w:rPr>
          <w:lang w:eastAsia="en-US"/>
        </w:rPr>
      </w:pPr>
    </w:p>
    <w:p w14:paraId="6D26BA97" w14:textId="7D025710" w:rsidR="00CD2B22" w:rsidRDefault="00CD2B22" w:rsidP="004852DD">
      <w:pPr>
        <w:pStyle w:val="BodyText"/>
        <w:spacing w:line="240" w:lineRule="auto"/>
        <w:rPr>
          <w:lang w:eastAsia="en-US"/>
        </w:rPr>
      </w:pPr>
      <w:r w:rsidRPr="00CD2B22">
        <w:rPr>
          <w:lang w:eastAsia="en-US"/>
        </w:rPr>
        <w:t>Data from individual income tax filings, charted below, show a similar trend. The upper quintile of households increasingly represent a larger share of children in the District.</w:t>
      </w:r>
    </w:p>
    <w:p w14:paraId="6863D2B2" w14:textId="77777777" w:rsidR="00CD2B22" w:rsidRDefault="00CD2B22" w:rsidP="004852DD">
      <w:pPr>
        <w:pStyle w:val="BodyText"/>
        <w:spacing w:line="240" w:lineRule="auto"/>
        <w:rPr>
          <w:lang w:eastAsia="en-US"/>
        </w:rPr>
      </w:pPr>
    </w:p>
    <w:p w14:paraId="48EB8675" w14:textId="66061288" w:rsidR="00CD2B22" w:rsidRDefault="00CD2B22" w:rsidP="004852DD">
      <w:pPr>
        <w:pStyle w:val="BodyText"/>
        <w:spacing w:line="240" w:lineRule="auto"/>
        <w:rPr>
          <w:lang w:eastAsia="en-US"/>
        </w:rPr>
      </w:pPr>
      <w:r>
        <w:rPr>
          <w:noProof/>
        </w:rPr>
        <w:lastRenderedPageBreak/>
        <w:drawing>
          <wp:inline distT="0" distB="0" distL="0" distR="0" wp14:anchorId="1201C70C" wp14:editId="693DD074">
            <wp:extent cx="7216140" cy="4735830"/>
            <wp:effectExtent l="0" t="0" r="3810" b="7620"/>
            <wp:docPr id="148675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16140" cy="4735830"/>
                    </a:xfrm>
                    <a:prstGeom prst="rect">
                      <a:avLst/>
                    </a:prstGeom>
                    <a:noFill/>
                    <a:ln>
                      <a:noFill/>
                    </a:ln>
                  </pic:spPr>
                </pic:pic>
              </a:graphicData>
            </a:graphic>
          </wp:inline>
        </w:drawing>
      </w:r>
    </w:p>
    <w:p w14:paraId="2F421A16" w14:textId="77777777" w:rsidR="00CD2B22" w:rsidRDefault="00CD2B22" w:rsidP="004852DD">
      <w:pPr>
        <w:pStyle w:val="BodyText"/>
        <w:rPr>
          <w:lang w:eastAsia="en-US"/>
        </w:rPr>
      </w:pPr>
    </w:p>
    <w:p w14:paraId="1624DF26" w14:textId="5896E0FC" w:rsidR="00CD2B22" w:rsidRDefault="00CD2B22" w:rsidP="004852DD">
      <w:pPr>
        <w:pStyle w:val="Heading1"/>
      </w:pPr>
      <w:r w:rsidRPr="00CD2B22">
        <w:t>In summary</w:t>
      </w:r>
    </w:p>
    <w:p w14:paraId="1BA9D137" w14:textId="49B9F566" w:rsidR="00AB6F11" w:rsidRDefault="00AB6F11" w:rsidP="004852DD">
      <w:pPr>
        <w:pStyle w:val="BodyText"/>
        <w:numPr>
          <w:ilvl w:val="0"/>
          <w:numId w:val="3"/>
        </w:numPr>
        <w:spacing w:line="240" w:lineRule="auto"/>
        <w:rPr>
          <w:lang w:eastAsia="en-US"/>
        </w:rPr>
      </w:pPr>
      <w:r>
        <w:rPr>
          <w:lang w:eastAsia="en-US"/>
        </w:rPr>
        <w:t>In the mid-20</w:t>
      </w:r>
      <w:r w:rsidRPr="00AB6F11">
        <w:rPr>
          <w:vertAlign w:val="superscript"/>
          <w:lang w:eastAsia="en-US"/>
        </w:rPr>
        <w:t>th</w:t>
      </w:r>
      <w:r>
        <w:rPr>
          <w:lang w:eastAsia="en-US"/>
        </w:rPr>
        <w:t xml:space="preserve"> century, the District had many more children than it has today.</w:t>
      </w:r>
    </w:p>
    <w:p w14:paraId="5E891E7D" w14:textId="5355BFBE" w:rsidR="00CD2B22" w:rsidRPr="00CD2B22" w:rsidRDefault="00CD2B22" w:rsidP="004852DD">
      <w:pPr>
        <w:pStyle w:val="BodyText"/>
        <w:numPr>
          <w:ilvl w:val="0"/>
          <w:numId w:val="3"/>
        </w:numPr>
        <w:spacing w:line="240" w:lineRule="auto"/>
        <w:rPr>
          <w:lang w:eastAsia="en-US"/>
        </w:rPr>
      </w:pPr>
      <w:r>
        <w:rPr>
          <w:lang w:eastAsia="en-US"/>
        </w:rPr>
        <w:t>A significant share of the</w:t>
      </w:r>
      <w:r w:rsidRPr="00CD2B22">
        <w:rPr>
          <w:lang w:eastAsia="en-US"/>
        </w:rPr>
        <w:t xml:space="preserve"> 2010s growth </w:t>
      </w:r>
      <w:r>
        <w:rPr>
          <w:lang w:eastAsia="en-US"/>
        </w:rPr>
        <w:t xml:space="preserve">in DC’s youth population </w:t>
      </w:r>
      <w:r w:rsidRPr="00CD2B22">
        <w:rPr>
          <w:lang w:eastAsia="en-US"/>
        </w:rPr>
        <w:t xml:space="preserve">is a return to the child population DC had around </w:t>
      </w:r>
      <w:r>
        <w:rPr>
          <w:lang w:eastAsia="en-US"/>
        </w:rPr>
        <w:t>1995</w:t>
      </w:r>
      <w:r w:rsidRPr="00CD2B22">
        <w:rPr>
          <w:lang w:eastAsia="en-US"/>
        </w:rPr>
        <w:t>.</w:t>
      </w:r>
    </w:p>
    <w:p w14:paraId="4D638690" w14:textId="77777777" w:rsidR="00CD2B22" w:rsidRPr="00CD2B22" w:rsidRDefault="00CD2B22" w:rsidP="004852DD">
      <w:pPr>
        <w:pStyle w:val="BodyText"/>
        <w:numPr>
          <w:ilvl w:val="0"/>
          <w:numId w:val="3"/>
        </w:numPr>
        <w:spacing w:line="240" w:lineRule="auto"/>
        <w:rPr>
          <w:lang w:eastAsia="en-US"/>
        </w:rPr>
      </w:pPr>
      <w:r w:rsidRPr="00CD2B22">
        <w:rPr>
          <w:lang w:eastAsia="en-US"/>
        </w:rPr>
        <w:t>Some of DC’s 2010s child population growth came from more births. That happened because more adults of childbearing age lived here, not because fertility rose (it fell).</w:t>
      </w:r>
    </w:p>
    <w:p w14:paraId="7E2E2464" w14:textId="77777777" w:rsidR="00CD2B22" w:rsidRPr="00CD2B22" w:rsidRDefault="00CD2B22" w:rsidP="004852DD">
      <w:pPr>
        <w:pStyle w:val="BodyText"/>
        <w:numPr>
          <w:ilvl w:val="0"/>
          <w:numId w:val="3"/>
        </w:numPr>
        <w:spacing w:line="240" w:lineRule="auto"/>
        <w:rPr>
          <w:lang w:eastAsia="en-US"/>
        </w:rPr>
      </w:pPr>
      <w:r w:rsidRPr="00CD2B22">
        <w:rPr>
          <w:lang w:eastAsia="en-US"/>
        </w:rPr>
        <w:t>Child net out-migration also shrank, though it remained negative at every child age.</w:t>
      </w:r>
    </w:p>
    <w:p w14:paraId="4B37079D" w14:textId="77777777" w:rsidR="00CD2B22" w:rsidRPr="00CD2B22" w:rsidRDefault="00CD2B22" w:rsidP="004852DD">
      <w:pPr>
        <w:pStyle w:val="BodyText"/>
        <w:numPr>
          <w:ilvl w:val="0"/>
          <w:numId w:val="3"/>
        </w:numPr>
        <w:spacing w:line="240" w:lineRule="auto"/>
        <w:rPr>
          <w:lang w:eastAsia="en-US"/>
        </w:rPr>
      </w:pPr>
      <w:r w:rsidRPr="00CD2B22">
        <w:rPr>
          <w:lang w:eastAsia="en-US"/>
        </w:rPr>
        <w:t>Roughly a third of the swing from population decline in the 2000s to growth in the 2010s came from a smaller cohort aging out, a legacy of the 2000s’ low point in youth population.</w:t>
      </w:r>
    </w:p>
    <w:p w14:paraId="192BF278" w14:textId="77777777" w:rsidR="00CD2B22" w:rsidRPr="00CD2B22" w:rsidRDefault="00CD2B22" w:rsidP="004852DD">
      <w:pPr>
        <w:pStyle w:val="BodyText"/>
        <w:numPr>
          <w:ilvl w:val="0"/>
          <w:numId w:val="3"/>
        </w:numPr>
        <w:spacing w:line="240" w:lineRule="auto"/>
        <w:rPr>
          <w:lang w:eastAsia="en-US"/>
        </w:rPr>
      </w:pPr>
      <w:r w:rsidRPr="00CD2B22">
        <w:rPr>
          <w:lang w:eastAsia="en-US"/>
        </w:rPr>
        <w:lastRenderedPageBreak/>
        <w:t>The population gains were concentrated among Hispanic, non-Hispanic White, and higher-income families. The number of Black children fell.</w:t>
      </w:r>
    </w:p>
    <w:p w14:paraId="762325B0" w14:textId="77777777" w:rsidR="00CD2B22" w:rsidRDefault="00CD2B22" w:rsidP="004852DD">
      <w:pPr>
        <w:pStyle w:val="BodyText"/>
        <w:rPr>
          <w:lang w:eastAsia="en-US"/>
        </w:rPr>
      </w:pPr>
    </w:p>
    <w:p w14:paraId="608EF865" w14:textId="3466B982" w:rsidR="00CD2B22" w:rsidRDefault="00CD2B22" w:rsidP="004852DD">
      <w:pPr>
        <w:pStyle w:val="BodyText"/>
        <w:spacing w:line="240" w:lineRule="auto"/>
        <w:rPr>
          <w:lang w:eastAsia="en-US"/>
        </w:rPr>
      </w:pPr>
    </w:p>
    <w:p w14:paraId="23D0DF61" w14:textId="154D5AC9" w:rsidR="00350DBF" w:rsidRPr="00C15CA3" w:rsidRDefault="00350DBF" w:rsidP="004852DD">
      <w:pPr>
        <w:pStyle w:val="BodyText"/>
        <w:spacing w:line="240" w:lineRule="auto"/>
        <w:rPr>
          <w:lang w:eastAsia="en-US"/>
        </w:rPr>
      </w:pPr>
    </w:p>
    <w:p w14:paraId="76DD41BB" w14:textId="0F2BCEA7" w:rsidR="00C15CA3" w:rsidRPr="000E4646" w:rsidRDefault="00C15CA3" w:rsidP="004852DD">
      <w:pPr>
        <w:pStyle w:val="BodyText"/>
        <w:spacing w:line="240" w:lineRule="auto"/>
        <w:rPr>
          <w:lang w:eastAsia="en-US"/>
        </w:rPr>
      </w:pPr>
    </w:p>
    <w:p w14:paraId="360C5C25" w14:textId="77777777" w:rsidR="000E4646" w:rsidRDefault="000E4646" w:rsidP="004852DD">
      <w:pPr>
        <w:pStyle w:val="BodyText"/>
        <w:rPr>
          <w:lang w:eastAsia="en-US"/>
        </w:rPr>
      </w:pPr>
    </w:p>
    <w:p w14:paraId="1EABB30A" w14:textId="4D314BA5" w:rsidR="00C15CA3" w:rsidRDefault="00C15CA3" w:rsidP="004852DD">
      <w:pPr>
        <w:pStyle w:val="BodyText"/>
        <w:rPr>
          <w:lang w:eastAsia="en-US"/>
        </w:rPr>
      </w:pPr>
    </w:p>
    <w:p w14:paraId="511A42A2" w14:textId="77777777" w:rsidR="00C15CA3" w:rsidRDefault="00C15CA3" w:rsidP="004852DD">
      <w:pPr>
        <w:pStyle w:val="BodyText"/>
        <w:rPr>
          <w:lang w:eastAsia="en-US"/>
        </w:rPr>
      </w:pPr>
    </w:p>
    <w:p w14:paraId="49FDBB7D" w14:textId="77777777" w:rsidR="00C15CA3" w:rsidRPr="000E4646" w:rsidRDefault="00C15CA3" w:rsidP="004852DD">
      <w:pPr>
        <w:pStyle w:val="BodyText"/>
        <w:rPr>
          <w:lang w:eastAsia="en-US"/>
        </w:rPr>
      </w:pPr>
    </w:p>
    <w:sectPr w:rsidR="00C15CA3" w:rsidRPr="000E46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 Edward (OCFO)" w:date="2026-09-11T16:49:00Z" w:initials="ER">
    <w:p w14:paraId="391335C0" w14:textId="77777777" w:rsidR="00523119" w:rsidRDefault="00056384" w:rsidP="00523119">
      <w:pPr>
        <w:pStyle w:val="CommentText"/>
      </w:pPr>
      <w:r>
        <w:rPr>
          <w:rStyle w:val="CommentReference"/>
        </w:rPr>
        <w:annotationRef/>
      </w:r>
      <w:r w:rsidR="00523119">
        <w:rPr>
          <w:color w:val="859900"/>
        </w:rPr>
        <w:t>(2025 # - 1990 #) / 1990 #</w:t>
      </w:r>
      <w:r w:rsidR="00523119">
        <w:rPr>
          <w:color w:val="859900"/>
        </w:rPr>
        <w:br/>
        <w:t xml:space="preserve">(124070 - 112632) / 112632 </w:t>
      </w:r>
      <w:r w:rsidR="00523119">
        <w:t xml:space="preserve">= 0.101552 </w:t>
      </w:r>
    </w:p>
    <w:p w14:paraId="3101DF64" w14:textId="77777777" w:rsidR="00523119" w:rsidRDefault="00523119" w:rsidP="00523119">
      <w:pPr>
        <w:pStyle w:val="CommentText"/>
      </w:pPr>
    </w:p>
    <w:p w14:paraId="2FE3D499" w14:textId="77777777" w:rsidR="00523119" w:rsidRDefault="00523119" w:rsidP="00523119">
      <w:pPr>
        <w:pStyle w:val="CommentText"/>
      </w:pPr>
      <w:r>
        <w:rPr>
          <w:color w:val="859900"/>
        </w:rPr>
        <w:t>(2025 # - 2010 #) / 2010 #</w:t>
      </w:r>
      <w:r>
        <w:rPr>
          <w:color w:val="859900"/>
        </w:rPr>
        <w:br/>
        <w:t xml:space="preserve">(124070 - 101266) / 101266 </w:t>
      </w:r>
      <w:r>
        <w:t>= 0.2251891</w:t>
      </w:r>
    </w:p>
    <w:p w14:paraId="525FC02E" w14:textId="77777777" w:rsidR="00523119" w:rsidRDefault="00523119" w:rsidP="00523119">
      <w:pPr>
        <w:pStyle w:val="CommentText"/>
      </w:pPr>
    </w:p>
    <w:p w14:paraId="05DA6CDC" w14:textId="77777777" w:rsidR="00523119" w:rsidRDefault="00523119" w:rsidP="00523119">
      <w:pPr>
        <w:pStyle w:val="CommentText"/>
      </w:pPr>
      <w:hyperlink r:id="rId1" w:anchor="detailed/3/any/false/575,1096,2545,1095,2048,574,1729,37,871,870/14,15,65/421,422" w:history="1">
        <w:r w:rsidRPr="007A514E">
          <w:rPr>
            <w:rStyle w:val="Hyperlink"/>
          </w:rPr>
          <w:t>https://datacenter.aecf.org/data/tables/102-child-population-by-gender?loc=10&amp;loct=3#detailed/3/any/false/575,1096,2545,1095,2048,574,1729,37,871,870/14,15,65/421,422</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DA6C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49206B" w16cex:dateUtc="2026-09-11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DA6CDC" w16cid:durableId="084920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0230D"/>
    <w:multiLevelType w:val="multilevel"/>
    <w:tmpl w:val="18746E48"/>
    <w:lvl w:ilvl="0">
      <w:start w:val="1"/>
      <w:numFmt w:val="decimal"/>
      <w:lvlText w:val="%1."/>
      <w:lvlJc w:val="left"/>
      <w:pPr>
        <w:tabs>
          <w:tab w:val="num" w:pos="720"/>
        </w:tabs>
        <w:ind w:left="720" w:hanging="360"/>
      </w:pPr>
      <w:rPr>
        <w:rFonts w:ascii="Times New Roman" w:eastAsiaTheme="minorEastAsia" w:hAnsi="Times New Roman"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33BE8"/>
    <w:multiLevelType w:val="multilevel"/>
    <w:tmpl w:val="EF30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F4A34"/>
    <w:multiLevelType w:val="multilevel"/>
    <w:tmpl w:val="F48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264372">
    <w:abstractNumId w:val="0"/>
  </w:num>
  <w:num w:numId="2" w16cid:durableId="325061029">
    <w:abstractNumId w:val="1"/>
  </w:num>
  <w:num w:numId="3" w16cid:durableId="5951411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 Edward (OCFO)">
    <w15:presenceInfo w15:providerId="AD" w15:userId="S::edward.rodrigue@dc.gov::59c44113-6a0e-476a-a558-7651afa949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7F"/>
    <w:rsid w:val="0005083B"/>
    <w:rsid w:val="00053D1C"/>
    <w:rsid w:val="00056384"/>
    <w:rsid w:val="00060C70"/>
    <w:rsid w:val="000C1F37"/>
    <w:rsid w:val="000E4646"/>
    <w:rsid w:val="000E7B44"/>
    <w:rsid w:val="000F05EB"/>
    <w:rsid w:val="000F2D6C"/>
    <w:rsid w:val="000F3EAF"/>
    <w:rsid w:val="00112D68"/>
    <w:rsid w:val="001236E2"/>
    <w:rsid w:val="00123D11"/>
    <w:rsid w:val="00126C52"/>
    <w:rsid w:val="0015476E"/>
    <w:rsid w:val="00154FC0"/>
    <w:rsid w:val="00160B05"/>
    <w:rsid w:val="0017397D"/>
    <w:rsid w:val="001E48A1"/>
    <w:rsid w:val="002112AB"/>
    <w:rsid w:val="00217AAF"/>
    <w:rsid w:val="00223A7D"/>
    <w:rsid w:val="00234004"/>
    <w:rsid w:val="002812B4"/>
    <w:rsid w:val="0028333A"/>
    <w:rsid w:val="002B339E"/>
    <w:rsid w:val="002B5E72"/>
    <w:rsid w:val="002C138E"/>
    <w:rsid w:val="002D1A13"/>
    <w:rsid w:val="002F352B"/>
    <w:rsid w:val="003174B4"/>
    <w:rsid w:val="0032306B"/>
    <w:rsid w:val="00350DBF"/>
    <w:rsid w:val="003613A8"/>
    <w:rsid w:val="0038622A"/>
    <w:rsid w:val="00390B7F"/>
    <w:rsid w:val="00416BBA"/>
    <w:rsid w:val="0046182D"/>
    <w:rsid w:val="004628A5"/>
    <w:rsid w:val="004852DD"/>
    <w:rsid w:val="004A76BB"/>
    <w:rsid w:val="004F46E1"/>
    <w:rsid w:val="00511F79"/>
    <w:rsid w:val="00523119"/>
    <w:rsid w:val="00561E15"/>
    <w:rsid w:val="005B5C89"/>
    <w:rsid w:val="005D02F5"/>
    <w:rsid w:val="005D2028"/>
    <w:rsid w:val="00625302"/>
    <w:rsid w:val="0062553F"/>
    <w:rsid w:val="006445EA"/>
    <w:rsid w:val="006470AC"/>
    <w:rsid w:val="00660DC8"/>
    <w:rsid w:val="00665F8E"/>
    <w:rsid w:val="006822B8"/>
    <w:rsid w:val="006A6E96"/>
    <w:rsid w:val="006D7975"/>
    <w:rsid w:val="006D7ADC"/>
    <w:rsid w:val="006E0F05"/>
    <w:rsid w:val="006E7202"/>
    <w:rsid w:val="00701FA2"/>
    <w:rsid w:val="00716E86"/>
    <w:rsid w:val="00726769"/>
    <w:rsid w:val="007521AB"/>
    <w:rsid w:val="007606FD"/>
    <w:rsid w:val="00790C2C"/>
    <w:rsid w:val="007B64C7"/>
    <w:rsid w:val="007E60BB"/>
    <w:rsid w:val="00807B58"/>
    <w:rsid w:val="00822FDC"/>
    <w:rsid w:val="00854E81"/>
    <w:rsid w:val="00857821"/>
    <w:rsid w:val="00857E2A"/>
    <w:rsid w:val="008642B2"/>
    <w:rsid w:val="00893E85"/>
    <w:rsid w:val="008C3F95"/>
    <w:rsid w:val="008E6D24"/>
    <w:rsid w:val="008F6A8A"/>
    <w:rsid w:val="009114C8"/>
    <w:rsid w:val="00911D28"/>
    <w:rsid w:val="00927FAD"/>
    <w:rsid w:val="009628BB"/>
    <w:rsid w:val="00973572"/>
    <w:rsid w:val="00976D38"/>
    <w:rsid w:val="00981066"/>
    <w:rsid w:val="009D0345"/>
    <w:rsid w:val="009D7470"/>
    <w:rsid w:val="00A04213"/>
    <w:rsid w:val="00A809F9"/>
    <w:rsid w:val="00A8311F"/>
    <w:rsid w:val="00A84655"/>
    <w:rsid w:val="00AB223B"/>
    <w:rsid w:val="00AB6F11"/>
    <w:rsid w:val="00AE2044"/>
    <w:rsid w:val="00B015C2"/>
    <w:rsid w:val="00B17B47"/>
    <w:rsid w:val="00BB4D2C"/>
    <w:rsid w:val="00BC1B19"/>
    <w:rsid w:val="00BE34D7"/>
    <w:rsid w:val="00C11341"/>
    <w:rsid w:val="00C15CA3"/>
    <w:rsid w:val="00C241C0"/>
    <w:rsid w:val="00C71CE0"/>
    <w:rsid w:val="00C72F8F"/>
    <w:rsid w:val="00C8017B"/>
    <w:rsid w:val="00CD2B22"/>
    <w:rsid w:val="00CE15BB"/>
    <w:rsid w:val="00CF0C27"/>
    <w:rsid w:val="00D55D7A"/>
    <w:rsid w:val="00DB5A3E"/>
    <w:rsid w:val="00DB7F27"/>
    <w:rsid w:val="00DD3433"/>
    <w:rsid w:val="00E0314E"/>
    <w:rsid w:val="00E066F9"/>
    <w:rsid w:val="00E556B7"/>
    <w:rsid w:val="00E66FEB"/>
    <w:rsid w:val="00E91196"/>
    <w:rsid w:val="00E9767A"/>
    <w:rsid w:val="00F75310"/>
    <w:rsid w:val="00F86C7E"/>
    <w:rsid w:val="00F919F1"/>
    <w:rsid w:val="00F9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D509"/>
  <w15:chartTrackingRefBased/>
  <w15:docId w15:val="{62F66CF6-3ED3-4B00-A89D-DDC5630C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196"/>
    <w:pPr>
      <w:spacing w:after="200" w:line="480" w:lineRule="auto"/>
    </w:pPr>
    <w:rPr>
      <w:rFonts w:ascii="Times New Roman" w:eastAsiaTheme="minorEastAsia" w:hAnsi="Times New Roman"/>
      <w:kern w:val="0"/>
      <w:lang w:eastAsia="zh-CN"/>
      <w14:ligatures w14:val="none"/>
    </w:rPr>
  </w:style>
  <w:style w:type="paragraph" w:styleId="Heading1">
    <w:name w:val="heading 1"/>
    <w:basedOn w:val="Normal"/>
    <w:next w:val="BodyText"/>
    <w:link w:val="Heading1Char"/>
    <w:uiPriority w:val="9"/>
    <w:qFormat/>
    <w:rsid w:val="00857821"/>
    <w:pPr>
      <w:keepNext/>
      <w:keepLines/>
      <w:spacing w:before="360" w:after="80"/>
      <w:outlineLvl w:val="0"/>
    </w:pPr>
    <w:rPr>
      <w:rFonts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BodyText"/>
    <w:link w:val="Heading2Char"/>
    <w:uiPriority w:val="9"/>
    <w:semiHidden/>
    <w:unhideWhenUsed/>
    <w:qFormat/>
    <w:rsid w:val="00857821"/>
    <w:pPr>
      <w:keepNext/>
      <w:keepLines/>
      <w:spacing w:before="160" w:after="80"/>
      <w:outlineLvl w:val="1"/>
    </w:pPr>
    <w:rPr>
      <w:rFonts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BodyText"/>
    <w:link w:val="Heading3Char"/>
    <w:uiPriority w:val="9"/>
    <w:semiHidden/>
    <w:unhideWhenUsed/>
    <w:qFormat/>
    <w:rsid w:val="00857821"/>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BodyText"/>
    <w:link w:val="Heading4Char"/>
    <w:uiPriority w:val="9"/>
    <w:semiHidden/>
    <w:unhideWhenUsed/>
    <w:qFormat/>
    <w:rsid w:val="00857821"/>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90B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0B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B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B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B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821"/>
    <w:rPr>
      <w:rFonts w:ascii="Times New Roman" w:eastAsiaTheme="majorEastAsia" w:hAnsi="Times New Roman" w:cstheme="majorBidi"/>
      <w:color w:val="0F4761" w:themeColor="accent1" w:themeShade="BF"/>
      <w:sz w:val="40"/>
      <w:szCs w:val="40"/>
    </w:rPr>
  </w:style>
  <w:style w:type="paragraph" w:styleId="BodyText">
    <w:name w:val="Body Text"/>
    <w:basedOn w:val="Normal"/>
    <w:link w:val="BodyTextChar"/>
    <w:uiPriority w:val="99"/>
    <w:semiHidden/>
    <w:unhideWhenUsed/>
    <w:rsid w:val="00857821"/>
    <w:pPr>
      <w:spacing w:after="120"/>
    </w:pPr>
  </w:style>
  <w:style w:type="character" w:customStyle="1" w:styleId="BodyTextChar">
    <w:name w:val="Body Text Char"/>
    <w:basedOn w:val="DefaultParagraphFont"/>
    <w:link w:val="BodyText"/>
    <w:uiPriority w:val="99"/>
    <w:semiHidden/>
    <w:rsid w:val="00857821"/>
    <w:rPr>
      <w:rFonts w:ascii="Times New Roman" w:eastAsiaTheme="minorEastAsia" w:hAnsi="Times New Roman"/>
      <w:kern w:val="0"/>
      <w:lang w:eastAsia="zh-CN"/>
      <w14:ligatures w14:val="none"/>
    </w:rPr>
  </w:style>
  <w:style w:type="character" w:customStyle="1" w:styleId="Heading2Char">
    <w:name w:val="Heading 2 Char"/>
    <w:basedOn w:val="DefaultParagraphFont"/>
    <w:link w:val="Heading2"/>
    <w:uiPriority w:val="9"/>
    <w:semiHidden/>
    <w:rsid w:val="00857821"/>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821"/>
    <w:rPr>
      <w:rFonts w:eastAsiaTheme="majorEastAsia" w:cstheme="majorBidi"/>
      <w:i/>
      <w:iCs/>
      <w:color w:val="0F4761" w:themeColor="accent1" w:themeShade="BF"/>
    </w:rPr>
  </w:style>
  <w:style w:type="paragraph" w:styleId="Title">
    <w:name w:val="Title"/>
    <w:basedOn w:val="Normal"/>
    <w:next w:val="BodyText"/>
    <w:link w:val="TitleChar"/>
    <w:uiPriority w:val="10"/>
    <w:qFormat/>
    <w:rsid w:val="006A6E96"/>
    <w:pPr>
      <w:spacing w:after="80" w:line="240" w:lineRule="auto"/>
      <w:contextualSpacing/>
      <w:jc w:val="center"/>
    </w:pPr>
    <w:rPr>
      <w:rFonts w:eastAsiaTheme="majorEastAsia" w:cstheme="majorBidi"/>
      <w:kern w:val="2"/>
      <w:sz w:val="56"/>
      <w:szCs w:val="56"/>
      <w:lang w:eastAsia="en-US"/>
      <w14:ligatures w14:val="standardContextual"/>
    </w:rPr>
  </w:style>
  <w:style w:type="character" w:customStyle="1" w:styleId="TitleChar">
    <w:name w:val="Title Char"/>
    <w:basedOn w:val="DefaultParagraphFont"/>
    <w:link w:val="Title"/>
    <w:uiPriority w:val="10"/>
    <w:rsid w:val="006A6E96"/>
    <w:rPr>
      <w:rFonts w:ascii="Times New Roman" w:eastAsiaTheme="majorEastAsia" w:hAnsi="Times New Roman" w:cstheme="majorBidi"/>
      <w:sz w:val="56"/>
      <w:szCs w:val="56"/>
    </w:rPr>
  </w:style>
  <w:style w:type="table" w:customStyle="1" w:styleId="Table">
    <w:name w:val="Table"/>
    <w:semiHidden/>
    <w:unhideWhenUsed/>
    <w:qFormat/>
    <w:rsid w:val="00E66FEB"/>
    <w:pPr>
      <w:spacing w:after="0" w:line="240" w:lineRule="auto"/>
    </w:pPr>
    <w:rPr>
      <w:rFonts w:ascii="Times New Roman" w:eastAsiaTheme="minorEastAsia" w:hAnsi="Times New Roman"/>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5Char">
    <w:name w:val="Heading 5 Char"/>
    <w:basedOn w:val="DefaultParagraphFont"/>
    <w:link w:val="Heading5"/>
    <w:uiPriority w:val="9"/>
    <w:semiHidden/>
    <w:rsid w:val="00390B7F"/>
    <w:rPr>
      <w:rFonts w:eastAsiaTheme="majorEastAsia" w:cstheme="majorBidi"/>
      <w:color w:val="0F4761" w:themeColor="accent1" w:themeShade="BF"/>
      <w:kern w:val="0"/>
      <w:lang w:eastAsia="zh-CN"/>
      <w14:ligatures w14:val="none"/>
    </w:rPr>
  </w:style>
  <w:style w:type="character" w:customStyle="1" w:styleId="Heading6Char">
    <w:name w:val="Heading 6 Char"/>
    <w:basedOn w:val="DefaultParagraphFont"/>
    <w:link w:val="Heading6"/>
    <w:uiPriority w:val="9"/>
    <w:semiHidden/>
    <w:rsid w:val="00390B7F"/>
    <w:rPr>
      <w:rFonts w:eastAsiaTheme="majorEastAsia" w:cstheme="majorBidi"/>
      <w:i/>
      <w:iCs/>
      <w:color w:val="595959" w:themeColor="text1" w:themeTint="A6"/>
      <w:kern w:val="0"/>
      <w:lang w:eastAsia="zh-CN"/>
      <w14:ligatures w14:val="none"/>
    </w:rPr>
  </w:style>
  <w:style w:type="character" w:customStyle="1" w:styleId="Heading7Char">
    <w:name w:val="Heading 7 Char"/>
    <w:basedOn w:val="DefaultParagraphFont"/>
    <w:link w:val="Heading7"/>
    <w:uiPriority w:val="9"/>
    <w:semiHidden/>
    <w:rsid w:val="00390B7F"/>
    <w:rPr>
      <w:rFonts w:eastAsiaTheme="majorEastAsia" w:cstheme="majorBidi"/>
      <w:color w:val="595959" w:themeColor="text1" w:themeTint="A6"/>
      <w:kern w:val="0"/>
      <w:lang w:eastAsia="zh-CN"/>
      <w14:ligatures w14:val="none"/>
    </w:rPr>
  </w:style>
  <w:style w:type="character" w:customStyle="1" w:styleId="Heading8Char">
    <w:name w:val="Heading 8 Char"/>
    <w:basedOn w:val="DefaultParagraphFont"/>
    <w:link w:val="Heading8"/>
    <w:uiPriority w:val="9"/>
    <w:semiHidden/>
    <w:rsid w:val="00390B7F"/>
    <w:rPr>
      <w:rFonts w:eastAsiaTheme="majorEastAsia" w:cstheme="majorBidi"/>
      <w:i/>
      <w:iCs/>
      <w:color w:val="272727" w:themeColor="text1" w:themeTint="D8"/>
      <w:kern w:val="0"/>
      <w:lang w:eastAsia="zh-CN"/>
      <w14:ligatures w14:val="none"/>
    </w:rPr>
  </w:style>
  <w:style w:type="character" w:customStyle="1" w:styleId="Heading9Char">
    <w:name w:val="Heading 9 Char"/>
    <w:basedOn w:val="DefaultParagraphFont"/>
    <w:link w:val="Heading9"/>
    <w:uiPriority w:val="9"/>
    <w:semiHidden/>
    <w:rsid w:val="00390B7F"/>
    <w:rPr>
      <w:rFonts w:eastAsiaTheme="majorEastAsia" w:cstheme="majorBidi"/>
      <w:color w:val="272727" w:themeColor="text1" w:themeTint="D8"/>
      <w:kern w:val="0"/>
      <w:lang w:eastAsia="zh-CN"/>
      <w14:ligatures w14:val="none"/>
    </w:rPr>
  </w:style>
  <w:style w:type="paragraph" w:styleId="Subtitle">
    <w:name w:val="Subtitle"/>
    <w:basedOn w:val="Normal"/>
    <w:next w:val="Normal"/>
    <w:link w:val="SubtitleChar"/>
    <w:uiPriority w:val="11"/>
    <w:qFormat/>
    <w:rsid w:val="00390B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7F"/>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390B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0B7F"/>
    <w:rPr>
      <w:rFonts w:ascii="Times New Roman" w:eastAsiaTheme="minorEastAsia" w:hAnsi="Times New Roman"/>
      <w:i/>
      <w:iCs/>
      <w:color w:val="404040" w:themeColor="text1" w:themeTint="BF"/>
      <w:kern w:val="0"/>
      <w:lang w:eastAsia="zh-CN"/>
      <w14:ligatures w14:val="none"/>
    </w:rPr>
  </w:style>
  <w:style w:type="paragraph" w:styleId="ListParagraph">
    <w:name w:val="List Paragraph"/>
    <w:basedOn w:val="Normal"/>
    <w:uiPriority w:val="34"/>
    <w:qFormat/>
    <w:rsid w:val="00390B7F"/>
    <w:pPr>
      <w:ind w:left="720"/>
      <w:contextualSpacing/>
    </w:pPr>
  </w:style>
  <w:style w:type="character" w:styleId="IntenseEmphasis">
    <w:name w:val="Intense Emphasis"/>
    <w:basedOn w:val="DefaultParagraphFont"/>
    <w:uiPriority w:val="21"/>
    <w:qFormat/>
    <w:rsid w:val="00390B7F"/>
    <w:rPr>
      <w:i/>
      <w:iCs/>
      <w:color w:val="0F4761" w:themeColor="accent1" w:themeShade="BF"/>
    </w:rPr>
  </w:style>
  <w:style w:type="paragraph" w:styleId="IntenseQuote">
    <w:name w:val="Intense Quote"/>
    <w:basedOn w:val="Normal"/>
    <w:next w:val="Normal"/>
    <w:link w:val="IntenseQuoteChar"/>
    <w:uiPriority w:val="30"/>
    <w:qFormat/>
    <w:rsid w:val="0039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7F"/>
    <w:rPr>
      <w:rFonts w:ascii="Times New Roman" w:eastAsiaTheme="minorEastAsia" w:hAnsi="Times New Roman"/>
      <w:i/>
      <w:iCs/>
      <w:color w:val="0F4761" w:themeColor="accent1" w:themeShade="BF"/>
      <w:kern w:val="0"/>
      <w:lang w:eastAsia="zh-CN"/>
      <w14:ligatures w14:val="none"/>
    </w:rPr>
  </w:style>
  <w:style w:type="character" w:styleId="IntenseReference">
    <w:name w:val="Intense Reference"/>
    <w:basedOn w:val="DefaultParagraphFont"/>
    <w:uiPriority w:val="32"/>
    <w:qFormat/>
    <w:rsid w:val="00390B7F"/>
    <w:rPr>
      <w:b/>
      <w:bCs/>
      <w:smallCaps/>
      <w:color w:val="0F4761" w:themeColor="accent1" w:themeShade="BF"/>
      <w:spacing w:val="5"/>
    </w:rPr>
  </w:style>
  <w:style w:type="character" w:styleId="CommentReference">
    <w:name w:val="annotation reference"/>
    <w:basedOn w:val="DefaultParagraphFont"/>
    <w:uiPriority w:val="99"/>
    <w:semiHidden/>
    <w:unhideWhenUsed/>
    <w:rsid w:val="00056384"/>
    <w:rPr>
      <w:sz w:val="16"/>
      <w:szCs w:val="16"/>
    </w:rPr>
  </w:style>
  <w:style w:type="paragraph" w:styleId="CommentText">
    <w:name w:val="annotation text"/>
    <w:basedOn w:val="Normal"/>
    <w:link w:val="CommentTextChar"/>
    <w:uiPriority w:val="99"/>
    <w:unhideWhenUsed/>
    <w:rsid w:val="00056384"/>
    <w:pPr>
      <w:spacing w:line="240" w:lineRule="auto"/>
    </w:pPr>
    <w:rPr>
      <w:sz w:val="20"/>
      <w:szCs w:val="20"/>
    </w:rPr>
  </w:style>
  <w:style w:type="character" w:customStyle="1" w:styleId="CommentTextChar">
    <w:name w:val="Comment Text Char"/>
    <w:basedOn w:val="DefaultParagraphFont"/>
    <w:link w:val="CommentText"/>
    <w:uiPriority w:val="99"/>
    <w:rsid w:val="00056384"/>
    <w:rPr>
      <w:rFonts w:ascii="Times New Roman" w:eastAsiaTheme="minorEastAsia" w:hAnsi="Times New Roman"/>
      <w:kern w:val="0"/>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056384"/>
    <w:rPr>
      <w:b/>
      <w:bCs/>
    </w:rPr>
  </w:style>
  <w:style w:type="character" w:customStyle="1" w:styleId="CommentSubjectChar">
    <w:name w:val="Comment Subject Char"/>
    <w:basedOn w:val="CommentTextChar"/>
    <w:link w:val="CommentSubject"/>
    <w:uiPriority w:val="99"/>
    <w:semiHidden/>
    <w:rsid w:val="00056384"/>
    <w:rPr>
      <w:rFonts w:ascii="Times New Roman" w:eastAsiaTheme="minorEastAsia" w:hAnsi="Times New Roman"/>
      <w:b/>
      <w:bCs/>
      <w:kern w:val="0"/>
      <w:sz w:val="20"/>
      <w:szCs w:val="20"/>
      <w:lang w:eastAsia="zh-CN"/>
      <w14:ligatures w14:val="none"/>
    </w:rPr>
  </w:style>
  <w:style w:type="character" w:styleId="Hyperlink">
    <w:name w:val="Hyperlink"/>
    <w:basedOn w:val="DefaultParagraphFont"/>
    <w:uiPriority w:val="99"/>
    <w:unhideWhenUsed/>
    <w:rsid w:val="00056384"/>
    <w:rPr>
      <w:color w:val="467886" w:themeColor="hyperlink"/>
      <w:u w:val="single"/>
    </w:rPr>
  </w:style>
  <w:style w:type="character" w:styleId="UnresolvedMention">
    <w:name w:val="Unresolved Mention"/>
    <w:basedOn w:val="DefaultParagraphFont"/>
    <w:uiPriority w:val="99"/>
    <w:semiHidden/>
    <w:unhideWhenUsed/>
    <w:rsid w:val="00056384"/>
    <w:rPr>
      <w:color w:val="605E5C"/>
      <w:shd w:val="clear" w:color="auto" w:fill="E1DFDD"/>
    </w:rPr>
  </w:style>
  <w:style w:type="paragraph" w:styleId="NormalWeb">
    <w:name w:val="Normal (Web)"/>
    <w:basedOn w:val="Normal"/>
    <w:uiPriority w:val="99"/>
    <w:semiHidden/>
    <w:unhideWhenUsed/>
    <w:rsid w:val="002812B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atacenter.aecf.org/data/tables/102-child-population-by-gender?loc=10&amp;loct=3"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wsj.com/us-news/cities-losing-families-children-a860a9b1?eafs_enabled=false"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netmigration.wisc.edu/"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C1B58-8CE7-49A8-8E4B-FF690C7E4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Edward (OCFO)</dc:creator>
  <cp:keywords/>
  <dc:description/>
  <cp:lastModifiedBy>Rodrigue, Edward (OCFO)</cp:lastModifiedBy>
  <cp:revision>3</cp:revision>
  <dcterms:created xsi:type="dcterms:W3CDTF">2026-09-24T13:53:00Z</dcterms:created>
  <dcterms:modified xsi:type="dcterms:W3CDTF">2026-09-24T13:53:00Z</dcterms:modified>
</cp:coreProperties>
</file>