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0"/>
      </w:pPr>
      <w:r>
        <w:rPr>
          <w:rFonts w:ascii="Arial" w:cs="Arial" w:eastAsia="Arial" w:hAnsi="Arial"/>
          <w:b w:val="false"/>
          <w:bCs w:val="false"/>
          <w:i w:val="false"/>
          <w:iCs w:val="false"/>
          <w:color w:val="000000"/>
          <w:sz w:val="22"/>
          <w:szCs w:val="22"/>
        </w:rPr>
        <w:t xml:space="preserve">Bigram Language Model</w:t>
      </w:r>
    </w:p>
    <w:p>
      <w:pPr>
        <w:spacing w:after="240" w:before="0"/>
      </w:pPr>
      <w:r>
        <w:rPr>
          <w:rFonts w:ascii="Arial" w:cs="Arial" w:eastAsia="Arial" w:hAnsi="Arial"/>
          <w:b w:val="false"/>
          <w:bCs w:val="false"/>
          <w:i/>
          <w:iCs/>
          <w:color w:val="555555"/>
          <w:sz w:val="22"/>
          <w:szCs w:val="22"/>
        </w:rPr>
        <w:t xml:space="preserve">An educational demonstration of how trained language models work</w:t>
      </w:r>
    </w:p>
    <w:p>
      <w:pPr>
        <w:pStyle w:val="Heading2"/>
        <w:spacing w:after="100" w:before="160"/>
      </w:pPr>
      <w:r>
        <w:rPr>
          <w:rFonts w:ascii="Arial" w:cs="Arial" w:eastAsia="Arial" w:hAnsi="Arial"/>
          <w:b w:val="false"/>
          <w:bCs w:val="false"/>
          <w:i w:val="false"/>
          <w:iCs w:val="false"/>
          <w:color w:val="000000"/>
          <w:sz w:val="22"/>
          <w:szCs w:val="22"/>
        </w:rPr>
        <w:t xml:space="preserve">Overview</w:t>
      </w:r>
    </w:p>
    <w:p>
      <w:pPr>
        <w:spacing w:after="120" w:before="160"/>
      </w:pPr>
      <w:r>
        <w:rPr>
          <w:rFonts w:ascii="Arial" w:cs="Arial" w:eastAsia="Arial" w:hAnsi="Arial"/>
          <w:b w:val="false"/>
          <w:bCs w:val="false"/>
          <w:i w:val="false"/>
          <w:iCs w:val="false"/>
          <w:color w:val="000000"/>
          <w:sz w:val="22"/>
          <w:szCs w:val="22"/>
        </w:rPr>
        <w:t xml:space="preserve">This program is the simplest possible demonstration of a trained language model. It implements a bigram model: given a corpus of training text, it learns which words tend to follow which other words, and uses those learned probabilities to generate new text one word at a time.</w:t>
      </w:r>
    </w:p>
    <w:p>
      <w:pPr>
        <w:spacing w:after="240" w:before="160"/>
      </w:pPr>
      <w:r>
        <w:rPr>
          <w:rFonts w:ascii="Arial" w:cs="Arial" w:eastAsia="Arial" w:hAnsi="Arial"/>
          <w:b w:val="false"/>
          <w:bCs w:val="false"/>
          <w:i w:val="false"/>
          <w:iCs w:val="false"/>
          <w:color w:val="000000"/>
          <w:sz w:val="22"/>
          <w:szCs w:val="22"/>
        </w:rPr>
        <w:t xml:space="preserve">The goal is to make the core mechanics of language model inference visible and interactive, before introducing the additional complexity of neural networks and transformers.</w:t>
      </w:r>
    </w:p>
    <w:p>
      <w:pPr>
        <w:pStyle w:val="Heading2"/>
        <w:spacing w:after="100" w:before="160"/>
      </w:pPr>
      <w:r>
        <w:rPr>
          <w:rFonts w:ascii="Arial" w:cs="Arial" w:eastAsia="Arial" w:hAnsi="Arial"/>
          <w:b w:val="false"/>
          <w:bCs w:val="false"/>
          <w:i w:val="false"/>
          <w:iCs w:val="false"/>
          <w:color w:val="000000"/>
          <w:sz w:val="22"/>
          <w:szCs w:val="22"/>
        </w:rPr>
        <w:t xml:space="preserve">How it works</w:t>
      </w:r>
    </w:p>
    <w:p>
      <w:pPr>
        <w:pStyle w:val="Heading3"/>
        <w:spacing w:after="100" w:before="160"/>
      </w:pPr>
      <w:r>
        <w:rPr>
          <w:rFonts w:ascii="Arial" w:cs="Arial" w:eastAsia="Arial" w:hAnsi="Arial"/>
          <w:b w:val="false"/>
          <w:bCs w:val="false"/>
          <w:i w:val="false"/>
          <w:iCs w:val="false"/>
          <w:color w:val="000000"/>
          <w:sz w:val="22"/>
          <w:szCs w:val="22"/>
        </w:rPr>
        <w:t xml:space="preserve">Step 1: Training</w:t>
      </w:r>
    </w:p>
    <w:p>
      <w:pPr>
        <w:spacing w:after="80" w:before="160"/>
      </w:pPr>
      <w:r>
        <w:rPr>
          <w:rFonts w:ascii="Arial" w:cs="Arial" w:eastAsia="Arial" w:hAnsi="Arial"/>
          <w:b w:val="false"/>
          <w:bCs w:val="false"/>
          <w:i w:val="false"/>
          <w:iCs w:val="false"/>
          <w:color w:val="000000"/>
          <w:sz w:val="22"/>
          <w:szCs w:val="22"/>
        </w:rPr>
        <w:t xml:space="preserve">Training consists of two operations on the corpus text:</w:t>
      </w:r>
    </w:p>
    <w:p>
      <w:pPr>
        <w:pStyle w:val="ListParagraph"/>
        <w:numPr>
          <w:ilvl w:val="0"/>
          <w:numId w:val="2"/>
        </w:numPr>
        <w:spacing w:after="60" w:before="60"/>
      </w:pPr>
      <w:r>
        <w:rPr>
          <w:rFonts w:ascii="Arial" w:cs="Arial" w:eastAsia="Arial" w:hAnsi="Arial"/>
          <w:sz w:val="20"/>
          <w:szCs w:val="20"/>
        </w:rPr>
        <w:t xml:space="preserve">Count co-occurrences: scan every adjacent word pair (bigram) in the corpus and record how many times each pair appears.</w:t>
      </w:r>
    </w:p>
    <w:p>
      <w:pPr>
        <w:pStyle w:val="ListParagraph"/>
        <w:numPr>
          <w:ilvl w:val="0"/>
          <w:numId w:val="2"/>
        </w:numPr>
        <w:spacing w:after="60" w:before="60"/>
      </w:pPr>
      <w:r>
        <w:rPr>
          <w:rFonts w:ascii="Arial" w:cs="Arial" w:eastAsia="Arial" w:hAnsi="Arial"/>
          <w:sz w:val="20"/>
          <w:szCs w:val="20"/>
        </w:rPr>
        <w:t xml:space="preserve">Normalise by row total: divide each count by the total number of times that word appeared as a predecessor. This converts raw counts into probabilities.</w:t>
      </w:r>
    </w:p>
    <w:p>
      <w:pPr>
        <w:spacing w:after="240" w:before="120"/>
      </w:pPr>
      <w:r>
        <w:rPr>
          <w:rFonts w:ascii="Arial" w:cs="Arial" w:eastAsia="Arial" w:hAnsi="Arial"/>
          <w:b w:val="false"/>
          <w:bCs w:val="false"/>
          <w:i w:val="false"/>
          <w:iCs w:val="false"/>
          <w:color w:val="000000"/>
          <w:sz w:val="22"/>
          <w:szCs w:val="22"/>
        </w:rPr>
        <w:t xml:space="preserve">The result is a V × V matrix (where V is the vocabulary size) in which each row sums to 1.0. This matrix is the model. There is no optimisation loop, no gradient descent — training is a single pass of counting and dividing.</w:t>
      </w:r>
    </w:p>
    <w:p>
      <w:pPr>
        <w:pStyle w:val="Heading3"/>
        <w:spacing w:after="100" w:before="160"/>
      </w:pPr>
      <w:r>
        <w:rPr>
          <w:rFonts w:ascii="Arial" w:cs="Arial" w:eastAsia="Arial" w:hAnsi="Arial"/>
          <w:b w:val="false"/>
          <w:bCs w:val="false"/>
          <w:i w:val="false"/>
          <w:iCs w:val="false"/>
          <w:color w:val="000000"/>
          <w:sz w:val="22"/>
          <w:szCs w:val="22"/>
        </w:rPr>
        <w:t xml:space="preserve">Step 2: Inference (generation)</w:t>
      </w:r>
    </w:p>
    <w:p>
      <w:pPr>
        <w:spacing w:after="80" w:before="160"/>
      </w:pPr>
      <w:r>
        <w:rPr>
          <w:rFonts w:ascii="Arial" w:cs="Arial" w:eastAsia="Arial" w:hAnsi="Arial"/>
          <w:b w:val="false"/>
          <w:bCs w:val="false"/>
          <w:i w:val="false"/>
          <w:iCs w:val="false"/>
          <w:color w:val="000000"/>
          <w:sz w:val="22"/>
          <w:szCs w:val="22"/>
        </w:rPr>
        <w:t xml:space="preserve">Generation repeats the following loop:</w:t>
      </w:r>
    </w:p>
    <w:p>
      <w:pPr>
        <w:pStyle w:val="ListParagraph"/>
        <w:numPr>
          <w:ilvl w:val="0"/>
          <w:numId w:val="2"/>
        </w:numPr>
        <w:spacing w:after="60" w:before="60"/>
      </w:pPr>
      <w:r>
        <w:rPr>
          <w:rFonts w:ascii="Arial" w:cs="Arial" w:eastAsia="Arial" w:hAnsi="Arial"/>
          <w:sz w:val="20"/>
          <w:szCs w:val="20"/>
        </w:rPr>
        <w:t xml:space="preserve">Look up the current token in the probability matrix to get a distribution over all possible next tokens.</w:t>
      </w:r>
    </w:p>
    <w:p>
      <w:pPr>
        <w:pStyle w:val="ListParagraph"/>
        <w:numPr>
          <w:ilvl w:val="0"/>
          <w:numId w:val="2"/>
        </w:numPr>
        <w:spacing w:after="60" w:before="60"/>
      </w:pPr>
      <w:r>
        <w:rPr>
          <w:rFonts w:ascii="Arial" w:cs="Arial" w:eastAsia="Arial" w:hAnsi="Arial"/>
          <w:sz w:val="20"/>
          <w:szCs w:val="20"/>
        </w:rPr>
        <w:t xml:space="preserve">Draw a random number and use it to sample one token from that distribution — tokens with higher probability are more likely to be chosen, but any token with non-zero probability can be selected.</w:t>
      </w:r>
    </w:p>
    <w:p>
      <w:pPr>
        <w:pStyle w:val="ListParagraph"/>
        <w:numPr>
          <w:ilvl w:val="0"/>
          <w:numId w:val="2"/>
        </w:numPr>
        <w:spacing w:after="60" w:before="60"/>
      </w:pPr>
      <w:r>
        <w:rPr>
          <w:rFonts w:ascii="Arial" w:cs="Arial" w:eastAsia="Arial" w:hAnsi="Arial"/>
          <w:sz w:val="20"/>
          <w:szCs w:val="20"/>
        </w:rPr>
        <w:t xml:space="preserve">Append the chosen token to the sequence and repeat, using the new token as the current token.</w:t>
      </w:r>
    </w:p>
    <w:p>
      <w:pPr>
        <w:spacing w:after="240" w:before="120"/>
      </w:pPr>
      <w:r>
        <w:rPr>
          <w:rFonts w:ascii="Arial" w:cs="Arial" w:eastAsia="Arial" w:hAnsi="Arial"/>
          <w:b w:val="false"/>
          <w:bCs w:val="false"/>
          <w:i w:val="false"/>
          <w:iCs w:val="false"/>
          <w:color w:val="000000"/>
          <w:sz w:val="22"/>
          <w:szCs w:val="22"/>
        </w:rPr>
        <w:t xml:space="preserve">This process is called autoregressive generation. The same loop is used in all modern large language models, including GPT-4 and Claude.</w:t>
      </w:r>
    </w:p>
    <w:p>
      <w:pPr>
        <w:pStyle w:val="Heading2"/>
        <w:spacing w:after="100" w:before="160"/>
      </w:pPr>
      <w:r>
        <w:rPr>
          <w:rFonts w:ascii="Arial" w:cs="Arial" w:eastAsia="Arial" w:hAnsi="Arial"/>
          <w:b w:val="false"/>
          <w:bCs w:val="false"/>
          <w:i w:val="false"/>
          <w:iCs w:val="false"/>
          <w:color w:val="000000"/>
          <w:sz w:val="22"/>
          <w:szCs w:val="22"/>
        </w:rPr>
        <w:t xml:space="preserve">The three panels</w:t>
      </w:r>
    </w:p>
    <w:p>
      <w:pPr>
        <w:pStyle w:val="Heading3"/>
        <w:spacing w:after="100" w:before="160"/>
      </w:pPr>
      <w:r>
        <w:rPr>
          <w:rFonts w:ascii="Arial" w:cs="Arial" w:eastAsia="Arial" w:hAnsi="Arial"/>
          <w:b w:val="false"/>
          <w:bCs w:val="false"/>
          <w:i w:val="false"/>
          <w:iCs w:val="false"/>
          <w:color w:val="000000"/>
          <w:sz w:val="22"/>
          <w:szCs w:val="22"/>
        </w:rPr>
        <w:t xml:space="preserve">Training corpus (left)</w:t>
      </w:r>
    </w:p>
    <w:p>
      <w:pPr>
        <w:spacing w:after="200" w:before="160"/>
      </w:pPr>
      <w:r>
        <w:rPr>
          <w:rFonts w:ascii="Arial" w:cs="Arial" w:eastAsia="Arial" w:hAnsi="Arial"/>
          <w:b w:val="false"/>
          <w:bCs w:val="false"/>
          <w:i w:val="false"/>
          <w:iCs w:val="false"/>
          <w:color w:val="000000"/>
          <w:sz w:val="22"/>
          <w:szCs w:val="22"/>
        </w:rPr>
        <w:t xml:space="preserve">Contains the text the model learns from. Edit it freely and click Train model to rebuild the probability table from scratch. The token and vocabulary counts update immediately. Try adding repeated phrases to watch their probabilities increase in the matrix.</w:t>
      </w:r>
    </w:p>
    <w:p>
      <w:pPr>
        <w:pStyle w:val="Heading3"/>
        <w:spacing w:after="100" w:before="160"/>
      </w:pPr>
      <w:r>
        <w:rPr>
          <w:rFonts w:ascii="Arial" w:cs="Arial" w:eastAsia="Arial" w:hAnsi="Arial"/>
          <w:b w:val="false"/>
          <w:bCs w:val="false"/>
          <w:i w:val="false"/>
          <w:iCs w:val="false"/>
          <w:color w:val="000000"/>
          <w:sz w:val="22"/>
          <w:szCs w:val="22"/>
        </w:rPr>
        <w:t xml:space="preserve">Model weights (centre)</w:t>
      </w:r>
    </w:p>
    <w:p>
      <w:pPr>
        <w:spacing w:after="200" w:before="160"/>
      </w:pPr>
      <w:r>
        <w:rPr>
          <w:rFonts w:ascii="Arial" w:cs="Arial" w:eastAsia="Arial" w:hAnsi="Arial"/>
          <w:b w:val="false"/>
          <w:bCs w:val="false"/>
          <w:i w:val="false"/>
          <w:iCs w:val="false"/>
          <w:color w:val="000000"/>
          <w:sz w:val="22"/>
          <w:szCs w:val="22"/>
        </w:rPr>
        <w:t xml:space="preserve">Displays the probability matrix directly. Each row is a vocabulary word; each column is a possible successor. Cell colour intensity encodes probability — darker means more likely. Clicking any row label sets that word as the seed in the generator and displays its distribution in the right panel.</w:t>
      </w:r>
    </w:p>
    <w:p>
      <w:pPr>
        <w:pStyle w:val="Heading3"/>
        <w:spacing w:after="100" w:before="160"/>
      </w:pPr>
      <w:r>
        <w:rPr>
          <w:rFonts w:ascii="Arial" w:cs="Arial" w:eastAsia="Arial" w:hAnsi="Arial"/>
          <w:b w:val="false"/>
          <w:bCs w:val="false"/>
          <w:i w:val="false"/>
          <w:iCs w:val="false"/>
          <w:color w:val="000000"/>
          <w:sz w:val="22"/>
          <w:szCs w:val="22"/>
        </w:rPr>
        <w:t xml:space="preserve">Generator (right)</w:t>
      </w:r>
    </w:p>
    <w:p>
      <w:pPr>
        <w:spacing w:after="240" w:before="160"/>
      </w:pPr>
      <w:r>
        <w:rPr>
          <w:rFonts w:ascii="Arial" w:cs="Arial" w:eastAsia="Arial" w:hAnsi="Arial"/>
          <w:b w:val="false"/>
          <w:bCs w:val="false"/>
          <w:i w:val="false"/>
          <w:iCs w:val="false"/>
          <w:color w:val="000000"/>
          <w:sz w:val="22"/>
          <w:szCs w:val="22"/>
        </w:rPr>
        <w:t xml:space="preserve">Select a seed word and use Step to advance one token at a time, or Auto to run continuously. The distribution panel shows all possible next tokens and their probabilities for the current token. The sequence display shows the full generated text, with the most recently added token highlighted.</w:t>
      </w:r>
    </w:p>
    <w:p>
      <w:pPr>
        <w:pStyle w:val="Heading2"/>
        <w:spacing w:after="100" w:before="160"/>
      </w:pPr>
      <w:r>
        <w:rPr>
          <w:rFonts w:ascii="Arial" w:cs="Arial" w:eastAsia="Arial" w:hAnsi="Arial"/>
          <w:b w:val="false"/>
          <w:bCs w:val="false"/>
          <w:i w:val="false"/>
          <w:iCs w:val="false"/>
          <w:color w:val="000000"/>
          <w:sz w:val="22"/>
          <w:szCs w:val="22"/>
        </w:rPr>
        <w:t xml:space="preserve">A note on parameter count</w:t>
      </w:r>
    </w:p>
    <w:p>
      <w:pPr>
        <w:spacing w:after="120" w:before="160"/>
      </w:pPr>
      <w:r>
        <w:rPr>
          <w:rFonts w:ascii="Arial" w:cs="Arial" w:eastAsia="Arial" w:hAnsi="Arial"/>
          <w:b w:val="false"/>
          <w:bCs w:val="false"/>
          <w:i w:val="false"/>
          <w:iCs w:val="false"/>
          <w:color w:val="000000"/>
          <w:sz w:val="22"/>
          <w:szCs w:val="22"/>
        </w:rPr>
        <w:t xml:space="preserve">This model does not have a fixed number of parameters independent of the data. The weights are the probability table itself, so parameter count equals V² (vocabulary size squared). With the default 12-word corpus that is 144 cells. With a 50,000-word vocabulary it would be 2.5 billion — GPT-2 scale.</w:t>
      </w:r>
    </w:p>
    <w:p>
      <w:pPr>
        <w:spacing w:after="240" w:before="160"/>
      </w:pPr>
      <w:r>
        <w:rPr>
          <w:rFonts w:ascii="Arial" w:cs="Arial" w:eastAsia="Arial" w:hAnsi="Arial"/>
          <w:b w:val="false"/>
          <w:bCs w:val="false"/>
          <w:i w:val="false"/>
          <w:iCs w:val="false"/>
          <w:color w:val="000000"/>
          <w:sz w:val="22"/>
          <w:szCs w:val="22"/>
        </w:rPr>
        <w:t xml:space="preserve">The important distinction is not size but depth. This model has depth 1: one lookup, no layered computation, no learned representations. Large language models stack many layers of matrix multiplications, allowing information from early in a sequence to influence predictions hundreds of tokens later.</w:t>
      </w:r>
    </w:p>
    <w:p>
      <w:pPr>
        <w:pStyle w:val="Heading2"/>
        <w:spacing w:after="100" w:before="160"/>
      </w:pPr>
      <w:r>
        <w:rPr>
          <w:rFonts w:ascii="Arial" w:cs="Arial" w:eastAsia="Arial" w:hAnsi="Arial"/>
          <w:b w:val="false"/>
          <w:bCs w:val="false"/>
          <w:i w:val="false"/>
          <w:iCs w:val="false"/>
          <w:color w:val="000000"/>
          <w:sz w:val="22"/>
          <w:szCs w:val="22"/>
        </w:rPr>
        <w:t xml:space="preserve">Comparison with large language models</w:t>
      </w:r>
    </w:p>
    <w:p>
      <w:pPr>
        <w:spacing w:after="160" w:before="160"/>
      </w:pPr>
      <w:r>
        <w:rPr>
          <w:rFonts w:ascii="Arial" w:cs="Arial" w:eastAsia="Arial" w:hAnsi="Arial"/>
          <w:b w:val="false"/>
          <w:bCs w:val="false"/>
          <w:i w:val="false"/>
          <w:iCs w:val="false"/>
          <w:color w:val="000000"/>
          <w:sz w:val="22"/>
          <w:szCs w:val="22"/>
        </w:rPr>
        <w:t xml:space="preserve">The table below summarises what this model shares with production LLMs and where the key differences lie.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This bigram model</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Large language model (e.g. GPT-4)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Core task</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40"/>
            </w:pPr>
            <w:r>
              <w:rPr>
                <w:rFonts w:ascii="Arial" w:cs="Arial" w:eastAsia="Arial" w:hAnsi="Arial"/>
                <w:b/>
                <w:bCs/>
                <w:color w:val="2E7D32"/>
                <w:sz w:val="16"/>
                <w:szCs w:val="16"/>
              </w:rPr>
              <w:t xml:space="preserve">Same principle</w:t>
            </w:r>
          </w:p>
          <w:p>
            <w:r>
              <w:rPr>
                <w:rFonts w:ascii="Arial" w:cs="Arial" w:eastAsia="Arial" w:hAnsi="Arial"/>
                <w:sz w:val="18"/>
                <w:szCs w:val="18"/>
              </w:rPr>
              <w:t xml:space="preserve">Predict a probability distribution over the next token.</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18"/>
                <w:szCs w:val="18"/>
              </w:rPr>
              <w:t xml:space="preserve">Predict a probability distribution over the next token.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Generation loop</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40"/>
            </w:pPr>
            <w:r>
              <w:rPr>
                <w:rFonts w:ascii="Arial" w:cs="Arial" w:eastAsia="Arial" w:hAnsi="Arial"/>
                <w:b/>
                <w:bCs/>
                <w:color w:val="2E7D32"/>
                <w:sz w:val="16"/>
                <w:szCs w:val="16"/>
              </w:rPr>
              <w:t xml:space="preserve">Same principle</w:t>
            </w:r>
          </w:p>
          <w:p>
            <w:r>
              <w:rPr>
                <w:rFonts w:ascii="Arial" w:cs="Arial" w:eastAsia="Arial" w:hAnsi="Arial"/>
                <w:sz w:val="18"/>
                <w:szCs w:val="18"/>
              </w:rPr>
              <w:t xml:space="preserve">Autoregressive: feed output back as input, repeat.</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18"/>
                <w:szCs w:val="18"/>
              </w:rPr>
              <w:t xml:space="preserve">Autoregressive: feed output back as input, repeat.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Output at each step</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40"/>
            </w:pPr>
            <w:r>
              <w:rPr>
                <w:rFonts w:ascii="Arial" w:cs="Arial" w:eastAsia="Arial" w:hAnsi="Arial"/>
                <w:b/>
                <w:bCs/>
                <w:color w:val="2E7D32"/>
                <w:sz w:val="16"/>
                <w:szCs w:val="16"/>
              </w:rPr>
              <w:t xml:space="preserve">Same principle</w:t>
            </w:r>
          </w:p>
          <w:p>
            <w:r>
              <w:rPr>
                <w:rFonts w:ascii="Arial" w:cs="Arial" w:eastAsia="Arial" w:hAnsi="Arial"/>
                <w:sz w:val="18"/>
                <w:szCs w:val="18"/>
              </w:rPr>
              <w:t xml:space="preserve">Sample one token from the distribution.</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18"/>
                <w:szCs w:val="18"/>
              </w:rPr>
              <w:t xml:space="preserve">Sample one token from the distribution.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How weights are produced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Counting and dividing. One pass through the data, no optimisation.</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40"/>
            </w:pPr>
            <w:r>
              <w:rPr>
                <w:rFonts w:ascii="Arial" w:cs="Arial" w:eastAsia="Arial" w:hAnsi="Arial"/>
                <w:b/>
                <w:bCs/>
                <w:color w:val="7d4e00"/>
                <w:sz w:val="16"/>
                <w:szCs w:val="16"/>
              </w:rPr>
              <w:t xml:space="preserve">Key difference</w:t>
            </w:r>
          </w:p>
          <w:p>
            <w:r>
              <w:rPr>
                <w:rFonts w:ascii="Arial" w:cs="Arial" w:eastAsia="Arial" w:hAnsi="Arial"/>
                <w:sz w:val="18"/>
                <w:szCs w:val="18"/>
              </w:rPr>
              <w:t xml:space="preserve">Gradient descent over billions of examples. Weights adjusted iteratively to minimise prediction error.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What the weights are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 V×V probability table. The weights are the distribution itself.</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40"/>
            </w:pPr>
            <w:r>
              <w:rPr>
                <w:rFonts w:ascii="Arial" w:cs="Arial" w:eastAsia="Arial" w:hAnsi="Arial"/>
                <w:b/>
                <w:bCs/>
                <w:color w:val="7d4e00"/>
                <w:sz w:val="16"/>
                <w:szCs w:val="16"/>
              </w:rPr>
              <w:t xml:space="preserve">Key difference</w:t>
            </w:r>
          </w:p>
          <w:p>
            <w:r>
              <w:rPr>
                <w:rFonts w:ascii="Arial" w:cs="Arial" w:eastAsia="Arial" w:hAnsi="Arial"/>
                <w:sz w:val="18"/>
                <w:szCs w:val="18"/>
              </w:rPr>
              <w:t xml:space="preserve">Numbers inside neural network matrix multiplications. The weights compute a distribution; they are not the distribution.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Context used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token. Only the immediately preceding word influences the prediction.</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40"/>
            </w:pPr>
            <w:r>
              <w:rPr>
                <w:rFonts w:ascii="Arial" w:cs="Arial" w:eastAsia="Arial" w:hAnsi="Arial"/>
                <w:b/>
                <w:bCs/>
                <w:color w:val="7d4e00"/>
                <w:sz w:val="16"/>
                <w:szCs w:val="16"/>
              </w:rPr>
              <w:t xml:space="preserve">Key difference</w:t>
            </w:r>
          </w:p>
          <w:p>
            <w:r>
              <w:rPr>
                <w:rFonts w:ascii="Arial" w:cs="Arial" w:eastAsia="Arial" w:hAnsi="Arial"/>
                <w:sz w:val="18"/>
                <w:szCs w:val="18"/>
              </w:rPr>
              <w:t xml:space="preserve">Thousands of tokens. The full preceding context is considered simultaneously via the attention mechanism.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Parameter count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V² — grows with vocabulary, always depth 1.</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40"/>
            </w:pPr>
            <w:r>
              <w:rPr>
                <w:rFonts w:ascii="Arial" w:cs="Arial" w:eastAsia="Arial" w:hAnsi="Arial"/>
                <w:b/>
                <w:bCs/>
                <w:color w:val="7d4e00"/>
                <w:sz w:val="16"/>
                <w:szCs w:val="16"/>
              </w:rPr>
              <w:t xml:space="preserve">Key difference</w:t>
            </w:r>
          </w:p>
          <w:p>
            <w:r>
              <w:rPr>
                <w:rFonts w:ascii="Arial" w:cs="Arial" w:eastAsia="Arial" w:hAnsi="Arial"/>
                <w:sz w:val="18"/>
                <w:szCs w:val="18"/>
              </w:rPr>
              <w:t xml:space="preserve">Fixed architecture; scale comes from depth and width. GPT-2: 1.5B. GPT-4: estimated ~1.8T.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What is learned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Pairwise word co-occurrence frequencies. No grammar, meaning, or structure.</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40"/>
            </w:pPr>
            <w:r>
              <w:rPr>
                <w:rFonts w:ascii="Arial" w:cs="Arial" w:eastAsia="Arial" w:hAnsi="Arial"/>
                <w:b/>
                <w:bCs/>
                <w:color w:val="7d4e00"/>
                <w:sz w:val="16"/>
                <w:szCs w:val="16"/>
              </w:rPr>
              <w:t xml:space="preserve">Key difference</w:t>
            </w:r>
          </w:p>
          <w:p>
            <w:r>
              <w:rPr>
                <w:rFonts w:ascii="Arial" w:cs="Arial" w:eastAsia="Arial" w:hAnsi="Arial"/>
                <w:sz w:val="18"/>
                <w:szCs w:val="18"/>
              </w:rPr>
              <w:t xml:space="preserve">Syntax, semantics, factual associations, and reasoning patterns — emergent from scale and depth.</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Vocabulary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Whole words from the corpus. Unseen words end generation silently.</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40"/>
            </w:pPr>
            <w:r>
              <w:rPr>
                <w:rFonts w:ascii="Arial" w:cs="Arial" w:eastAsia="Arial" w:hAnsi="Arial"/>
                <w:b/>
                <w:bCs/>
                <w:color w:val="7d4e00"/>
                <w:sz w:val="16"/>
                <w:szCs w:val="16"/>
              </w:rPr>
              <w:t xml:space="preserve">Key difference</w:t>
            </w:r>
          </w:p>
          <w:p>
            <w:r>
              <w:rPr>
                <w:rFonts w:ascii="Arial" w:cs="Arial" w:eastAsia="Arial" w:hAnsi="Arial"/>
                <w:sz w:val="18"/>
                <w:szCs w:val="18"/>
              </w:rPr>
              <w:t xml:space="preserve">Sub-word tokens (BPE). ~50–100k tokens covers virtually any text including novel words.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Inspectability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Fully transparent. Every weight is directly human-readable.</w:t>
            </w:r>
          </w:p>
        </w:tc>
        <w:tc>
          <w:tcPr>
            <w:tcW w:type="dxa" w:w="3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40"/>
            </w:pPr>
            <w:r>
              <w:rPr>
                <w:rFonts w:ascii="Arial" w:cs="Arial" w:eastAsia="Arial" w:hAnsi="Arial"/>
                <w:b/>
                <w:bCs/>
                <w:color w:val="7d4e00"/>
                <w:sz w:val="16"/>
                <w:szCs w:val="16"/>
              </w:rPr>
              <w:t xml:space="preserve">Key difference</w:t>
            </w:r>
          </w:p>
          <w:p>
            <w:r>
              <w:rPr>
                <w:rFonts w:ascii="Arial" w:cs="Arial" w:eastAsia="Arial" w:hAnsi="Arial"/>
                <w:sz w:val="18"/>
                <w:szCs w:val="18"/>
              </w:rPr>
              <w:t xml:space="preserve">Opaque. Individual weights are uninterpretable. Active research area (mechanistic interpretability).</w:t>
            </w:r>
          </w:p>
        </w:tc>
      </w:tr>
    </w:tbl>
    <w:p>
      <w:pPr>
        <w:spacing w:after="0" w:before="240"/>
      </w:pPr>
      <w:r>
        <w:rPr>
          <w:rFonts w:ascii="Arial" w:cs="Arial" w:eastAsia="Arial" w:hAnsi="Arial"/>
          <w:b w:val="false"/>
          <w:bCs w:val="false"/>
          <w:i w:val="false"/>
          <w:iCs w:val="false"/>
          <w:color w:val="000000"/>
          <w:sz w:val="22"/>
          <w:szCs w:val="22"/>
        </w:rPr>
        <w:t xml:space="preserve"/>
      </w:r>
    </w:p>
    <w:p>
      <w:pPr>
        <w:pStyle w:val="Heading2"/>
        <w:spacing w:after="100" w:before="160"/>
      </w:pPr>
      <w:r>
        <w:rPr>
          <w:rFonts w:ascii="Arial" w:cs="Arial" w:eastAsia="Arial" w:hAnsi="Arial"/>
          <w:b w:val="false"/>
          <w:bCs w:val="false"/>
          <w:i w:val="false"/>
          <w:iCs w:val="false"/>
          <w:color w:val="000000"/>
          <w:sz w:val="22"/>
          <w:szCs w:val="22"/>
        </w:rPr>
        <w:t xml:space="preserve">Further reading</w:t>
      </w:r>
    </w:p>
    <w:p>
      <w:pPr>
        <w:spacing w:after="80" w:before="160"/>
      </w:pPr>
      <w:r>
        <w:rPr>
          <w:rFonts w:ascii="Arial" w:cs="Arial" w:eastAsia="Arial" w:hAnsi="Arial"/>
          <w:b w:val="false"/>
          <w:bCs w:val="false"/>
          <w:i w:val="false"/>
          <w:iCs w:val="false"/>
          <w:color w:val="000000"/>
          <w:sz w:val="22"/>
          <w:szCs w:val="22"/>
        </w:rPr>
        <w:t xml:space="preserve">To go deeper on the concepts demonstrated here:</w:t>
      </w:r>
    </w:p>
    <w:p>
      <w:pPr>
        <w:pStyle w:val="ListParagraph"/>
        <w:numPr>
          <w:ilvl w:val="0"/>
          <w:numId w:val="2"/>
        </w:numPr>
        <w:spacing w:after="60" w:before="60"/>
      </w:pPr>
      <w:r>
        <w:rPr>
          <w:rFonts w:ascii="Arial" w:cs="Arial" w:eastAsia="Arial" w:hAnsi="Arial"/>
          <w:sz w:val="20"/>
          <w:szCs w:val="20"/>
        </w:rPr>
        <w:t xml:space="preserve">Andrej Karpathy — makemore series (builds progressively from bigrams to transformers)</w:t>
      </w:r>
    </w:p>
    <w:p>
      <w:pPr>
        <w:pStyle w:val="ListParagraph"/>
        <w:numPr>
          <w:ilvl w:val="0"/>
          <w:numId w:val="2"/>
        </w:numPr>
        <w:spacing w:after="60" w:before="60"/>
      </w:pPr>
      <w:r>
        <w:rPr>
          <w:rFonts w:ascii="Arial" w:cs="Arial" w:eastAsia="Arial" w:hAnsi="Arial"/>
          <w:sz w:val="20"/>
          <w:szCs w:val="20"/>
        </w:rPr>
        <w:t xml:space="preserve">The Illustrated Transformer — Jay Alammar (visual explanation of the attention mechanism)</w:t>
      </w:r>
    </w:p>
    <w:p>
      <w:pPr>
        <w:pStyle w:val="ListParagraph"/>
        <w:numPr>
          <w:ilvl w:val="0"/>
          <w:numId w:val="2"/>
        </w:numPr>
        <w:spacing w:after="60" w:before="60"/>
      </w:pPr>
      <w:r>
        <w:rPr>
          <w:rFonts w:ascii="Arial" w:cs="Arial" w:eastAsia="Arial" w:hAnsi="Arial"/>
          <w:sz w:val="20"/>
          <w:szCs w:val="20"/>
        </w:rPr>
        <w:t xml:space="preserve">Attention Is All You Need — Vaswani et al. 2017 (the transformer architecture paper)</w:t>
      </w:r>
    </w:p>
    <w:p>
      <w:pPr>
        <w:pStyle w:val="ListParagraph"/>
        <w:numPr>
          <w:ilvl w:val="0"/>
          <w:numId w:val="2"/>
        </w:numPr>
        <w:spacing w:after="60" w:before="60"/>
      </w:pPr>
      <w:r>
        <w:rPr>
          <w:rFonts w:ascii="Arial" w:cs="Arial" w:eastAsia="Arial" w:hAnsi="Arial"/>
          <w:sz w:val="20"/>
          <w:szCs w:val="20"/>
        </w:rPr>
        <w:t xml:space="preserve">Language Models are Few-Shot Learners — Brown et al. 2020 (original GPT-3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2026-05-13T21:38:54.674Z</dcterms:created>
  <dcterms:modified xsi:type="dcterms:W3CDTF">2026-05-13T21:38:54.674Z</dcterms:modified>
</cp:coreProperties>
</file>

<file path=docProps/custom.xml><?xml version="1.0" encoding="utf-8"?>
<Properties xmlns="http://schemas.openxmlformats.org/officeDocument/2006/custom-properties" xmlns:vt="http://schemas.openxmlformats.org/officeDocument/2006/docPropsVTypes"/>
</file>