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0" w:line="276"/>
      </w:pPr>
      <w:r>
        <w:rPr>
          <w:rFonts w:ascii="Arial" w:cs="Arial" w:eastAsia="Arial" w:hAnsi="Arial"/>
          <w:b w:val="false"/>
          <w:bCs w:val="false"/>
          <w:i w:val="false"/>
          <w:iCs w:val="false"/>
          <w:color w:val="000000"/>
          <w:sz w:val="22"/>
          <w:szCs w:val="22"/>
        </w:rPr>
        <w:t xml:space="preserve">From Word Prediction to Useful Intelligence</w:t>
      </w:r>
    </w:p>
    <w:p>
      <w:pPr>
        <w:spacing w:after="280" w:before="0" w:line="276"/>
      </w:pPr>
      <w:r>
        <w:rPr>
          <w:rFonts w:ascii="Arial" w:cs="Arial" w:eastAsia="Arial" w:hAnsi="Arial"/>
          <w:b w:val="false"/>
          <w:bCs w:val="false"/>
          <w:i/>
          <w:iCs/>
          <w:color w:val="555555"/>
          <w:sz w:val="22"/>
          <w:szCs w:val="22"/>
        </w:rPr>
        <w:t xml:space="preserve">A learning supplement for the language model demonstration tools</w:t>
      </w:r>
    </w:p>
    <w:p>
      <w:pPr>
        <w:pStyle w:val="Heading2"/>
        <w:spacing w:after="100" w:before="140" w:line="276"/>
      </w:pPr>
      <w:r>
        <w:rPr>
          <w:rFonts w:ascii="Arial" w:cs="Arial" w:eastAsia="Arial" w:hAnsi="Arial"/>
          <w:b w:val="false"/>
          <w:bCs w:val="false"/>
          <w:i w:val="false"/>
          <w:iCs w:val="false"/>
          <w:color w:val="000000"/>
          <w:sz w:val="22"/>
          <w:szCs w:val="22"/>
        </w:rPr>
        <w:t xml:space="preserve">Introduction</w:t>
      </w:r>
    </w:p>
    <w:p>
      <w:pPr>
        <w:spacing w:after="120" w:before="140" w:line="276"/>
      </w:pPr>
      <w:r>
        <w:rPr>
          <w:rFonts w:ascii="Arial" w:cs="Arial" w:eastAsia="Arial" w:hAnsi="Arial"/>
          <w:b w:val="false"/>
          <w:bCs w:val="false"/>
          <w:i w:val="false"/>
          <w:iCs w:val="false"/>
          <w:color w:val="000000"/>
          <w:sz w:val="22"/>
          <w:szCs w:val="22"/>
        </w:rPr>
        <w:t xml:space="preserve">The tools in this collection — the bigram model, the probability matrix viewer, and the Ollama logprobs inspector — demonstrate the fundamental mechanic at the heart of every language model: predicting the next token as a probability distribution, then sampling from that distribution one token at a time.</w:t>
      </w:r>
    </w:p>
    <w:p>
      <w:pPr>
        <w:spacing w:after="280" w:before="140" w:line="276"/>
      </w:pPr>
      <w:r>
        <w:rPr>
          <w:rFonts w:ascii="Arial" w:cs="Arial" w:eastAsia="Arial" w:hAnsi="Arial"/>
          <w:b w:val="false"/>
          <w:bCs w:val="false"/>
          <w:i w:val="false"/>
          <w:iCs w:val="false"/>
          <w:color w:val="000000"/>
          <w:sz w:val="22"/>
          <w:szCs w:val="22"/>
        </w:rPr>
        <w:t xml:space="preserve">What they do not show is the enormous distance between that bare mechanic and a system capable of writing, debugging, and reasoning about code. This document explains that distance: the successive layers of technique developed since the earliest GPT models that transform a statistical text-completion engine into a practical and aligned assistant.</w:t>
      </w:r>
    </w:p>
    <w:p>
      <w:pPr>
        <w:pStyle w:val="Heading2"/>
        <w:spacing w:after="100" w:before="140" w:line="276"/>
      </w:pPr>
      <w:r>
        <w:rPr>
          <w:rFonts w:ascii="Arial" w:cs="Arial" w:eastAsia="Arial" w:hAnsi="Arial"/>
          <w:b w:val="false"/>
          <w:bCs w:val="false"/>
          <w:i w:val="false"/>
          <w:iCs w:val="false"/>
          <w:color w:val="000000"/>
          <w:sz w:val="22"/>
          <w:szCs w:val="22"/>
        </w:rPr>
        <w:t xml:space="preserve">1.  The foundation: transformers and scale</w:t>
      </w:r>
    </w:p>
    <w:p>
      <w:pPr>
        <w:spacing w:after="120" w:before="140" w:line="276"/>
      </w:pPr>
      <w:r>
        <w:rPr>
          <w:rFonts w:ascii="Arial" w:cs="Arial" w:eastAsia="Arial" w:hAnsi="Arial"/>
          <w:b w:val="false"/>
          <w:bCs w:val="false"/>
          <w:i w:val="false"/>
          <w:iCs w:val="false"/>
          <w:color w:val="000000"/>
          <w:sz w:val="22"/>
          <w:szCs w:val="22"/>
        </w:rPr>
        <w:t xml:space="preserve">The transformer architecture, introduced in the 2017 paper Attention Is All You Need, replaced earlier sequential models (RNNs, LSTMs) with a mechanism that lets every token in a sequence directly attend to every other token. This is the key structural reason that language models can reason about information that appeared thousands of tokens earlier in a document — something earlier architectures could not do reliably.</w:t>
      </w:r>
    </w:p>
    <w:p>
      <w:pPr>
        <w:spacing w:after="120" w:before="140" w:line="276"/>
      </w:pPr>
      <w:r>
        <w:rPr>
          <w:rFonts w:ascii="Arial" w:cs="Arial" w:eastAsia="Arial" w:hAnsi="Arial"/>
          <w:b w:val="false"/>
          <w:bCs w:val="false"/>
          <w:i w:val="false"/>
          <w:iCs w:val="false"/>
          <w:color w:val="000000"/>
          <w:sz w:val="22"/>
          <w:szCs w:val="22"/>
        </w:rPr>
        <w:t xml:space="preserve">Early GPT models (2018–2020) applied this architecture to next-token prediction at increasing scale. The results revealed something unexpected: as model size crossed certain thresholds, qualitatively new capabilities appeared that had not been present at smaller scales. Arithmetic, analogical reasoning, code completion, and multi-step problem-solving all emerged from scale alone, without being explicitly trained for. This suggested that the objective of predicting text well forces a model to internalise deep structure about how the world works, because that structure is implicit in the text humans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pPr>
            <w:r>
              <w:rPr>
                <w:rFonts w:ascii="Arial" w:cs="Arial" w:eastAsia="Arial" w:hAnsi="Arial"/>
                <w:b/>
                <w:bCs/>
                <w:color w:val="1F3864"/>
                <w:sz w:val="18"/>
                <w:szCs w:val="18"/>
              </w:rPr>
              <w:t xml:space="preserve">Key insight</w:t>
            </w:r>
          </w:p>
          <w:p>
            <w:pPr>
              <w:spacing w:after="0" w:before="0" w:line="276"/>
            </w:pPr>
            <w:r>
              <w:rPr>
                <w:rFonts w:ascii="Arial" w:cs="Arial" w:eastAsia="Arial" w:hAnsi="Arial"/>
                <w:sz w:val="20"/>
                <w:szCs w:val="20"/>
              </w:rPr>
              <w:t xml:space="preserve">A sufficiently large model trained to predict text must learn grammar, facts, reasoning patterns, and causal relationships — not because these were programmed in, but because they are necessary for accurate prediction. Scale is not just quantitative improvement; past certain thresholds it produces qualitatively new behaviour.</w:t>
            </w:r>
          </w:p>
        </w:tc>
      </w:tr>
    </w:tbl>
    <w:p>
      <w:pPr>
        <w:spacing w:after="100" w:before="0" w:line="276"/>
      </w:pPr>
      <w:r>
        <w:rPr>
          <w:rFonts w:ascii="Arial" w:cs="Arial" w:eastAsia="Arial" w:hAnsi="Arial"/>
          <w:b w:val="false"/>
          <w:bCs w:val="false"/>
          <w:i w:val="false"/>
          <w:iCs w:val="false"/>
          <w:color w:val="000000"/>
          <w:sz w:val="22"/>
          <w:szCs w:val="22"/>
        </w:rPr>
        <w:t xml:space="preserve"/>
      </w:r>
    </w:p>
    <w:p>
      <w:pPr>
        <w:spacing w:after="280" w:before="140" w:line="276"/>
      </w:pPr>
      <w:r>
        <w:rPr>
          <w:rFonts w:ascii="Arial" w:cs="Arial" w:eastAsia="Arial" w:hAnsi="Arial"/>
          <w:b w:val="false"/>
          <w:bCs w:val="false"/>
          <w:i w:val="false"/>
          <w:iCs w:val="false"/>
          <w:color w:val="000000"/>
          <w:sz w:val="22"/>
          <w:szCs w:val="22"/>
        </w:rPr>
        <w:t xml:space="preserve">Modern models including Claude are built on this foundation, with refined architectures, better data curation pipelines, and context windows orders of magnitude larger than early GPT models (512 tokens in GPT-1; hundreds of thousands in current models). Longer context is not merely convenient — it is what allows a model to read an entire codebase, track a long conversation, or reason about a complex multi-part document.</w:t>
      </w:r>
    </w:p>
    <w:p>
      <w:pPr>
        <w:pStyle w:val="Heading2"/>
        <w:spacing w:after="100" w:before="140" w:line="276"/>
      </w:pPr>
      <w:r>
        <w:rPr>
          <w:rFonts w:ascii="Arial" w:cs="Arial" w:eastAsia="Arial" w:hAnsi="Arial"/>
          <w:b w:val="false"/>
          <w:bCs w:val="false"/>
          <w:i w:val="false"/>
          <w:iCs w:val="false"/>
          <w:color w:val="000000"/>
          <w:sz w:val="22"/>
          <w:szCs w:val="22"/>
        </w:rPr>
        <w:t xml:space="preserve">2.  Instruction tuning: from text completion to assistance</w:t>
      </w:r>
    </w:p>
    <w:p>
      <w:pPr>
        <w:spacing w:after="120" w:before="140" w:line="276"/>
      </w:pPr>
      <w:r>
        <w:rPr>
          <w:rFonts w:ascii="Arial" w:cs="Arial" w:eastAsia="Arial" w:hAnsi="Arial"/>
          <w:b w:val="false"/>
          <w:bCs w:val="false"/>
          <w:i w:val="false"/>
          <w:iCs w:val="false"/>
          <w:color w:val="000000"/>
          <w:sz w:val="22"/>
          <w:szCs w:val="22"/>
        </w:rPr>
        <w:t xml:space="preserve">A base model trained purely on next-token prediction has no concept of being an assistant. Ask it a question and it may generate more questions, because that is what tends to follow questions in text corpora. It completes text — it does not respond to intent.</w:t>
      </w:r>
    </w:p>
    <w:p>
      <w:pPr>
        <w:spacing w:after="120" w:before="140" w:line="276"/>
      </w:pPr>
      <w:r>
        <w:rPr>
          <w:rFonts w:ascii="Arial" w:cs="Arial" w:eastAsia="Arial" w:hAnsi="Arial"/>
          <w:b w:val="false"/>
          <w:bCs w:val="false"/>
          <w:i w:val="false"/>
          <w:iCs w:val="false"/>
          <w:color w:val="000000"/>
          <w:sz w:val="22"/>
          <w:szCs w:val="22"/>
        </w:rPr>
        <w:t xml:space="preserve">Instruction tuning fine-tunes the base model on a curated dataset of (instruction, good response) pairs, demonstrated by human writers. The model learns that when its input looks like a user asking for something, the appropriate next-token distribution should produce a helpful answer. Critically, this is still next-token prediction — only the training distribution has changed.</w:t>
      </w:r>
    </w:p>
    <w:p>
      <w:pPr>
        <w:spacing w:after="280" w:before="140" w:line="276"/>
      </w:pPr>
      <w:r>
        <w:rPr>
          <w:rFonts w:ascii="Arial" w:cs="Arial" w:eastAsia="Arial" w:hAnsi="Arial"/>
          <w:b w:val="false"/>
          <w:bCs w:val="false"/>
          <w:i w:val="false"/>
          <w:iCs w:val="false"/>
          <w:color w:val="000000"/>
          <w:sz w:val="22"/>
          <w:szCs w:val="22"/>
        </w:rPr>
        <w:t xml:space="preserve">Instruction tuning produces models that are dramatically more useful for practical tasks, but it has limits. Human-written demonstrations are expensive to produce at scale, and they do not capture the full range of quality judgements that separate adequate responses from genuinely good ones.</w:t>
      </w:r>
    </w:p>
    <w:p>
      <w:pPr>
        <w:pStyle w:val="Heading2"/>
        <w:spacing w:after="100" w:before="140" w:line="276"/>
      </w:pPr>
      <w:r>
        <w:rPr>
          <w:rFonts w:ascii="Arial" w:cs="Arial" w:eastAsia="Arial" w:hAnsi="Arial"/>
          <w:b w:val="false"/>
          <w:bCs w:val="false"/>
          <w:i w:val="false"/>
          <w:iCs w:val="false"/>
          <w:color w:val="000000"/>
          <w:sz w:val="22"/>
          <w:szCs w:val="22"/>
        </w:rPr>
        <w:t xml:space="preserve">3.  RLHF: learning from human preferences</w:t>
      </w:r>
    </w:p>
    <w:p>
      <w:pPr>
        <w:spacing w:after="120" w:before="140" w:line="276"/>
      </w:pPr>
      <w:r>
        <w:rPr>
          <w:rFonts w:ascii="Arial" w:cs="Arial" w:eastAsia="Arial" w:hAnsi="Arial"/>
          <w:b w:val="false"/>
          <w:bCs w:val="false"/>
          <w:i w:val="false"/>
          <w:iCs w:val="false"/>
          <w:color w:val="000000"/>
          <w:sz w:val="22"/>
          <w:szCs w:val="22"/>
        </w:rPr>
        <w:t xml:space="preserve">Reinforcement Learning from Human Feedback (RLHF), introduced prominently with InstructGPT in 2022, adds a further training stage. Rather than demonstrating good responses directly, human labellers compare pairs of model outputs and indicate which is better. A separate reward model is trained on these comparisons to predict human preference scores. The language model is then fine-tuned using reinforcement learning to maximise the reward model's score.</w:t>
      </w:r>
    </w:p>
    <w:p>
      <w:pPr>
        <w:spacing w:after="80" w:before="140" w:line="276"/>
      </w:pPr>
      <w:r>
        <w:rPr>
          <w:rFonts w:ascii="Arial" w:cs="Arial" w:eastAsia="Arial" w:hAnsi="Arial"/>
          <w:b w:val="false"/>
          <w:bCs w:val="false"/>
          <w:i w:val="false"/>
          <w:iCs w:val="false"/>
          <w:color w:val="000000"/>
          <w:sz w:val="22"/>
          <w:szCs w:val="22"/>
        </w:rPr>
        <w:t xml:space="preserve">RLHF is where much of the practical usefulness of current models comes from. It shapes behaviours that are difficult to specify through demonstration alone:</w:t>
      </w:r>
    </w:p>
    <w:p>
      <w:pPr>
        <w:pStyle w:val="ListParagraph"/>
        <w:numPr>
          <w:ilvl w:val="0"/>
          <w:numId w:val="2"/>
        </w:numPr>
        <w:spacing w:after="60" w:before="60" w:line="276"/>
      </w:pPr>
      <w:r>
        <w:rPr>
          <w:rFonts w:ascii="Arial" w:cs="Arial" w:eastAsia="Arial" w:hAnsi="Arial"/>
          <w:sz w:val="22"/>
          <w:szCs w:val="22"/>
        </w:rPr>
        <w:t xml:space="preserve">Giving complete, well-structured answers rather than trailing off</w:t>
      </w:r>
    </w:p>
    <w:p>
      <w:pPr>
        <w:pStyle w:val="ListParagraph"/>
        <w:numPr>
          <w:ilvl w:val="0"/>
          <w:numId w:val="2"/>
        </w:numPr>
        <w:spacing w:after="60" w:before="60" w:line="276"/>
      </w:pPr>
      <w:r>
        <w:rPr>
          <w:rFonts w:ascii="Arial" w:cs="Arial" w:eastAsia="Arial" w:hAnsi="Arial"/>
          <w:sz w:val="22"/>
          <w:szCs w:val="22"/>
        </w:rPr>
        <w:t xml:space="preserve">Declining to fabricate information when uncertain</w:t>
      </w:r>
    </w:p>
    <w:p>
      <w:pPr>
        <w:pStyle w:val="ListParagraph"/>
        <w:numPr>
          <w:ilvl w:val="0"/>
          <w:numId w:val="2"/>
        </w:numPr>
        <w:spacing w:after="60" w:before="60" w:line="276"/>
      </w:pPr>
      <w:r>
        <w:rPr>
          <w:rFonts w:ascii="Arial" w:cs="Arial" w:eastAsia="Arial" w:hAnsi="Arial"/>
          <w:sz w:val="22"/>
          <w:szCs w:val="22"/>
        </w:rPr>
        <w:t xml:space="preserve">Calibrating verbosity appropriately to the complexity of the request</w:t>
      </w:r>
    </w:p>
    <w:p>
      <w:pPr>
        <w:pStyle w:val="ListParagraph"/>
        <w:numPr>
          <w:ilvl w:val="0"/>
          <w:numId w:val="2"/>
        </w:numPr>
        <w:spacing w:after="60" w:before="60" w:line="276"/>
      </w:pPr>
      <w:r>
        <w:rPr>
          <w:rFonts w:ascii="Arial" w:cs="Arial" w:eastAsia="Arial" w:hAnsi="Arial"/>
          <w:sz w:val="22"/>
          <w:szCs w:val="22"/>
        </w:rPr>
        <w:t xml:space="preserve">Formatting output in ways that are readable and useful</w:t>
      </w:r>
    </w:p>
    <w:p>
      <w:pPr>
        <w:pStyle w:val="ListParagraph"/>
        <w:numPr>
          <w:ilvl w:val="0"/>
          <w:numId w:val="2"/>
        </w:numPr>
        <w:spacing w:after="60" w:before="60" w:line="276"/>
      </w:pPr>
      <w:r>
        <w:rPr>
          <w:rFonts w:ascii="Arial" w:cs="Arial" w:eastAsia="Arial" w:hAnsi="Arial"/>
          <w:sz w:val="22"/>
          <w:szCs w:val="22"/>
        </w:rPr>
        <w:t xml:space="preserve">Avoiding harmful, misleading, or inappropriate content</w:t>
      </w:r>
    </w:p>
    <w:p>
      <w:pPr>
        <w:spacing w:after="280" w:before="120" w:line="276"/>
      </w:pPr>
      <w:r>
        <w:rPr>
          <w:rFonts w:ascii="Arial" w:cs="Arial" w:eastAsia="Arial" w:hAnsi="Arial"/>
          <w:b w:val="false"/>
          <w:bCs w:val="false"/>
          <w:i w:val="false"/>
          <w:iCs w:val="false"/>
          <w:color w:val="000000"/>
          <w:sz w:val="22"/>
          <w:szCs w:val="22"/>
        </w:rPr>
        <w:t xml:space="preserve">These are not rules programmed in explicitly — they are patterns the model learns because they consistently receive higher human preference scores during training.</w:t>
      </w:r>
    </w:p>
    <w:p>
      <w:pPr>
        <w:pStyle w:val="Heading2"/>
        <w:spacing w:after="100" w:before="140" w:line="276"/>
      </w:pPr>
      <w:r>
        <w:rPr>
          <w:rFonts w:ascii="Arial" w:cs="Arial" w:eastAsia="Arial" w:hAnsi="Arial"/>
          <w:b w:val="false"/>
          <w:bCs w:val="false"/>
          <w:i w:val="false"/>
          <w:iCs w:val="false"/>
          <w:color w:val="000000"/>
          <w:sz w:val="22"/>
          <w:szCs w:val="22"/>
        </w:rPr>
        <w:t xml:space="preserve">4.  Constitutional AI and scalable alignment</w:t>
      </w:r>
    </w:p>
    <w:p>
      <w:pPr>
        <w:spacing w:after="120" w:before="140" w:line="276"/>
      </w:pPr>
      <w:r>
        <w:rPr>
          <w:rFonts w:ascii="Arial" w:cs="Arial" w:eastAsia="Arial" w:hAnsi="Arial"/>
          <w:b w:val="false"/>
          <w:bCs w:val="false"/>
          <w:i w:val="false"/>
          <w:iCs w:val="false"/>
          <w:color w:val="000000"/>
          <w:sz w:val="22"/>
          <w:szCs w:val="22"/>
        </w:rPr>
        <w:t xml:space="preserve">Pure RLHF has a practical bottleneck: it depends on human labellers to evaluate every response comparison. At the scale required to train frontier models, this becomes expensive, slow, and inconsistent.</w:t>
      </w:r>
    </w:p>
    <w:p>
      <w:pPr>
        <w:spacing w:after="120" w:before="140" w:line="276"/>
      </w:pPr>
      <w:r>
        <w:rPr>
          <w:rFonts w:ascii="Arial" w:cs="Arial" w:eastAsia="Arial" w:hAnsi="Arial"/>
          <w:b w:val="false"/>
          <w:bCs w:val="false"/>
          <w:i w:val="false"/>
          <w:iCs w:val="false"/>
          <w:color w:val="000000"/>
          <w:sz w:val="22"/>
          <w:szCs w:val="22"/>
        </w:rPr>
        <w:t xml:space="preserve">Anthropic's Constitutional AI (CAI) approach addresses this by giving the model an explicit set of principles (a “constitution”) and using the model itself to critique and revise its own outputs against those principles. This generates preference data without requiring human labellers for every comparison — a technique called Reinforcement Learning from AI Feedback (RLAIF).</w:t>
      </w:r>
    </w:p>
    <w:p>
      <w:pPr>
        <w:spacing w:after="280" w:before="140" w:line="276"/>
      </w:pPr>
      <w:r>
        <w:rPr>
          <w:rFonts w:ascii="Arial" w:cs="Arial" w:eastAsia="Arial" w:hAnsi="Arial"/>
          <w:b w:val="false"/>
          <w:bCs w:val="false"/>
          <w:i w:val="false"/>
          <w:iCs w:val="false"/>
          <w:color w:val="000000"/>
          <w:sz w:val="22"/>
          <w:szCs w:val="22"/>
        </w:rPr>
        <w:t xml:space="preserve">The advantages are practical and principled. Practically, it scales: the model can generate far more training signal than human labellers can produce. Principally, it makes alignment more transparent — the values being trained into the model are explicitly stated rather than implicit in the judgements of a pool of labellers whose preferences may vary.</w:t>
      </w:r>
    </w:p>
    <w:p>
      <w:pPr>
        <w:pStyle w:val="Heading2"/>
        <w:spacing w:after="100" w:before="140" w:line="276"/>
      </w:pPr>
      <w:r>
        <w:rPr>
          <w:rFonts w:ascii="Arial" w:cs="Arial" w:eastAsia="Arial" w:hAnsi="Arial"/>
          <w:b w:val="false"/>
          <w:bCs w:val="false"/>
          <w:i w:val="false"/>
          <w:iCs w:val="false"/>
          <w:color w:val="000000"/>
          <w:sz w:val="22"/>
          <w:szCs w:val="22"/>
        </w:rPr>
        <w:t xml:space="preserve">5.  Tool use and agentic behaviour</w:t>
      </w:r>
    </w:p>
    <w:p>
      <w:pPr>
        <w:spacing w:after="120" w:before="140" w:line="276"/>
      </w:pPr>
      <w:r>
        <w:rPr>
          <w:rFonts w:ascii="Arial" w:cs="Arial" w:eastAsia="Arial" w:hAnsi="Arial"/>
          <w:b w:val="false"/>
          <w:bCs w:val="false"/>
          <w:i w:val="false"/>
          <w:iCs w:val="false"/>
          <w:color w:val="000000"/>
          <w:sz w:val="22"/>
          <w:szCs w:val="22"/>
        </w:rPr>
        <w:t xml:space="preserve">The models described so far are still fundamentally text-in, text-out systems. A further capability layer allows models to use tools: to search the web, execute code, read and write files, or call external APIs. The model learns to decide when a tool call is appropriate, to interpret the results, and to incorporate them into its ongoing response.</w:t>
      </w:r>
    </w:p>
    <w:p>
      <w:pPr>
        <w:spacing w:after="280" w:before="140" w:line="276"/>
      </w:pPr>
      <w:r>
        <w:rPr>
          <w:rFonts w:ascii="Arial" w:cs="Arial" w:eastAsia="Arial" w:hAnsi="Arial"/>
          <w:b w:val="false"/>
          <w:bCs w:val="false"/>
          <w:i w:val="false"/>
          <w:iCs w:val="false"/>
          <w:color w:val="000000"/>
          <w:sz w:val="22"/>
          <w:szCs w:val="22"/>
        </w:rPr>
        <w:t xml:space="preserve">This transforms the model from a conversational system into an agent capable of taking actions and observing their consequences across multiple steps. The debugging process involved in building the tools in this collection — running code, reading error output, making targeted fixes, verifying the result — is a form of agentic behaviour, even when a human is acting as the execution layer.</w:t>
      </w:r>
    </w:p>
    <w:p>
      <w:pPr>
        <w:pStyle w:val="Heading2"/>
        <w:spacing w:after="100" w:before="140" w:line="276"/>
      </w:pPr>
      <w:r>
        <w:rPr>
          <w:rFonts w:ascii="Arial" w:cs="Arial" w:eastAsia="Arial" w:hAnsi="Arial"/>
          <w:b w:val="false"/>
          <w:bCs w:val="false"/>
          <w:i w:val="false"/>
          <w:iCs w:val="false"/>
          <w:color w:val="000000"/>
          <w:sz w:val="22"/>
          <w:szCs w:val="22"/>
        </w:rPr>
        <w:t xml:space="preserve">6.  What remains the same</w:t>
      </w:r>
    </w:p>
    <w:p>
      <w:pPr>
        <w:spacing w:after="120" w:before="140" w:line="276"/>
      </w:pPr>
      <w:r>
        <w:rPr>
          <w:rFonts w:ascii="Arial" w:cs="Arial" w:eastAsia="Arial" w:hAnsi="Arial"/>
          <w:b w:val="false"/>
          <w:bCs w:val="false"/>
          <w:i w:val="false"/>
          <w:iCs w:val="false"/>
          <w:color w:val="000000"/>
          <w:sz w:val="22"/>
          <w:szCs w:val="22"/>
        </w:rPr>
        <w:t xml:space="preserve">Despite all of the above, the fundamental output mechanism is identical to what the bigram model demonstrates. At each generation step, the model produces a probability distribution over the next token and samples from it. The logprobs visible in the Ollama inspector are exactly that distribution. A token coloured green was chosen with high confidence; one coloured red was a lower-probability selection — the model considered many alternatives at that position.</w:t>
      </w:r>
    </w:p>
    <w:p>
      <w:pPr>
        <w:spacing w:after="280" w:before="140" w:line="276"/>
      </w:pPr>
      <w:r>
        <w:rPr>
          <w:rFonts w:ascii="Arial" w:cs="Arial" w:eastAsia="Arial" w:hAnsi="Arial"/>
          <w:b w:val="false"/>
          <w:bCs w:val="false"/>
          <w:i w:val="false"/>
          <w:iCs w:val="false"/>
          <w:color w:val="000000"/>
          <w:sz w:val="22"/>
          <w:szCs w:val="22"/>
        </w:rPr>
        <w:t xml:space="preserve">The difference between the bigram model and Claude is not in this interface. It is in how the distribution is computed: a lookup table of bigram counts versus a neural network with hundreds of billions of parameters processing the entire conversation history, trained through the successive stages described above. The generation loop, the sampling, the autoregressive structure are the same at every level of sophistication.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40"/>
            </w:pPr>
            <w:r>
              <w:rPr>
                <w:rFonts w:ascii="Arial" w:cs="Arial" w:eastAsia="Arial" w:hAnsi="Arial"/>
                <w:b/>
                <w:bCs/>
                <w:color w:val="2E7D32"/>
                <w:sz w:val="18"/>
                <w:szCs w:val="18"/>
              </w:rPr>
              <w:t xml:space="preserve">What the tools show you</w:t>
            </w:r>
          </w:p>
          <w:p>
            <w:pPr>
              <w:spacing w:after="0" w:before="0" w:line="276"/>
            </w:pPr>
            <w:r>
              <w:rPr>
                <w:rFonts w:ascii="Arial" w:cs="Arial" w:eastAsia="Arial" w:hAnsi="Arial"/>
                <w:sz w:val="20"/>
                <w:szCs w:val="20"/>
              </w:rPr>
              <w:t xml:space="preserve">Every token you see highlighted in the Ollama inspector represents one step of that loop. The probability distribution visible when you click a token is the same kind of distribution the bigram model computes — just produced by a vastly more powerful function. The colour of each token encodes how confident the model was: high-probability choices appear in green, lower-probability choices in amber or red. Sequences of red tokens indicate regions where the model was genuinely uncertain, considering multiple plausible continuations.</w:t>
            </w:r>
          </w:p>
        </w:tc>
      </w:tr>
    </w:tbl>
    <w:p>
      <w:pPr>
        <w:spacing w:after="100" w:before="0" w:line="276"/>
      </w:pPr>
      <w:r>
        <w:rPr>
          <w:rFonts w:ascii="Arial" w:cs="Arial" w:eastAsia="Arial" w:hAnsi="Arial"/>
          <w:b w:val="false"/>
          <w:bCs w:val="false"/>
          <w:i w:val="false"/>
          <w:iCs w:val="false"/>
          <w:color w:val="000000"/>
          <w:sz w:val="22"/>
          <w:szCs w:val="22"/>
        </w:rPr>
        <w:t xml:space="preserve"/>
      </w:r>
    </w:p>
    <w:p>
      <w:pPr>
        <w:pStyle w:val="Heading2"/>
        <w:spacing w:after="100" w:before="140" w:line="276"/>
      </w:pPr>
      <w:r>
        <w:rPr>
          <w:rFonts w:ascii="Arial" w:cs="Arial" w:eastAsia="Arial" w:hAnsi="Arial"/>
          <w:b w:val="false"/>
          <w:bCs w:val="false"/>
          <w:i w:val="false"/>
          <w:iCs w:val="false"/>
          <w:color w:val="000000"/>
          <w:sz w:val="22"/>
          <w:szCs w:val="22"/>
        </w:rPr>
        <w:t xml:space="preserve">Summary of training stages</w:t>
      </w:r>
    </w:p>
    <w:p>
      <w:pPr>
        <w:spacing w:after="160" w:before="140" w:line="276"/>
      </w:pPr>
      <w:r>
        <w:rPr>
          <w:rFonts w:ascii="Arial" w:cs="Arial" w:eastAsia="Arial" w:hAnsi="Arial"/>
          <w:b w:val="false"/>
          <w:bCs w:val="false"/>
          <w:i w:val="false"/>
          <w:iCs w:val="false"/>
          <w:color w:val="000000"/>
          <w:sz w:val="22"/>
          <w:szCs w:val="22"/>
        </w:rPr>
        <w:t xml:space="preserve">The table below summarises the successive layers of technique and what each one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adds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Pre-training</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Next-token prediction on large text corpora</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Language understanding, world knowledge, emergent reasoning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Instruction tuning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Fine-tuning on (instruction, response) demonstrations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Follows directions, responds to intent rather than just completing text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RLHF</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Fine-tuning to maximise human preference scores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Calibrated, complete, appropriately cautious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Constitutional AI / RLAIF</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Self-critique against explicit principles; AI-generated preference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Scalable alignment, transparent values, consistency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Tool use</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Training to call and interpret external tools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Ability to search, execute code, take multi-step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Scale + context length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More parameters, longer context windows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Emergent capabilities, long-document reasoning, complex task handling</w:t>
            </w:r>
          </w:p>
        </w:tc>
      </w:tr>
    </w:tbl>
    <w:p>
      <w:pPr>
        <w:spacing w:after="0" w:before="240" w:line="276"/>
      </w:pPr>
      <w:r>
        <w:rPr>
          <w:rFonts w:ascii="Arial" w:cs="Arial" w:eastAsia="Arial" w:hAnsi="Arial"/>
          <w:b w:val="false"/>
          <w:bCs w:val="false"/>
          <w:i w:val="false"/>
          <w:iCs w:val="false"/>
          <w:color w:val="000000"/>
          <w:sz w:val="22"/>
          <w:szCs w:val="22"/>
        </w:rPr>
        <w:t xml:space="preserve"/>
      </w:r>
    </w:p>
    <w:p>
      <w:pPr>
        <w:pStyle w:val="Heading2"/>
        <w:spacing w:after="100" w:before="140" w:line="276"/>
      </w:pPr>
      <w:r>
        <w:rPr>
          <w:rFonts w:ascii="Arial" w:cs="Arial" w:eastAsia="Arial" w:hAnsi="Arial"/>
          <w:b w:val="false"/>
          <w:bCs w:val="false"/>
          <w:i w:val="false"/>
          <w:iCs w:val="false"/>
          <w:color w:val="000000"/>
          <w:sz w:val="22"/>
          <w:szCs w:val="22"/>
        </w:rPr>
        <w:t xml:space="preserve">Further reading</w:t>
      </w:r>
    </w:p>
    <w:p>
      <w:pPr>
        <w:spacing w:after="80" w:before="140" w:line="276"/>
      </w:pPr>
      <w:r>
        <w:rPr>
          <w:rFonts w:ascii="Arial" w:cs="Arial" w:eastAsia="Arial" w:hAnsi="Arial"/>
          <w:b w:val="false"/>
          <w:bCs w:val="false"/>
          <w:i w:val="false"/>
          <w:iCs w:val="false"/>
          <w:color w:val="000000"/>
          <w:sz w:val="22"/>
          <w:szCs w:val="22"/>
        </w:rPr>
        <w:t xml:space="preserve">The following papers and resources provide deeper coverage of the techniques described here:</w:t>
      </w:r>
    </w:p>
    <w:p>
      <w:pPr>
        <w:pStyle w:val="ListParagraph"/>
        <w:numPr>
          <w:ilvl w:val="0"/>
          <w:numId w:val="2"/>
        </w:numPr>
        <w:spacing w:after="60" w:before="60" w:line="276"/>
      </w:pPr>
      <w:r>
        <w:rPr>
          <w:rFonts w:ascii="Arial" w:cs="Arial" w:eastAsia="Arial" w:hAnsi="Arial"/>
          <w:sz w:val="22"/>
          <w:szCs w:val="22"/>
        </w:rPr>
        <w:t xml:space="preserve">Attention Is All You Need — Vaswani et al. 2017 (transformer architecture)</w:t>
      </w:r>
    </w:p>
    <w:p>
      <w:pPr>
        <w:pStyle w:val="ListParagraph"/>
        <w:numPr>
          <w:ilvl w:val="0"/>
          <w:numId w:val="2"/>
        </w:numPr>
        <w:spacing w:after="60" w:before="60" w:line="276"/>
      </w:pPr>
      <w:r>
        <w:rPr>
          <w:rFonts w:ascii="Arial" w:cs="Arial" w:eastAsia="Arial" w:hAnsi="Arial"/>
          <w:sz w:val="22"/>
          <w:szCs w:val="22"/>
        </w:rPr>
        <w:t xml:space="preserve">Language Models are Few-Shot Learners — Brown et al. 2020 (GPT-3, emergent capabilities)</w:t>
      </w:r>
    </w:p>
    <w:p>
      <w:pPr>
        <w:pStyle w:val="ListParagraph"/>
        <w:numPr>
          <w:ilvl w:val="0"/>
          <w:numId w:val="2"/>
        </w:numPr>
        <w:spacing w:after="60" w:before="60" w:line="276"/>
      </w:pPr>
      <w:r>
        <w:rPr>
          <w:rFonts w:ascii="Arial" w:cs="Arial" w:eastAsia="Arial" w:hAnsi="Arial"/>
          <w:sz w:val="22"/>
          <w:szCs w:val="22"/>
        </w:rPr>
        <w:t xml:space="preserve">Training language models to follow instructions with human feedback — Ouyang et al. 2022 (InstructGPT / RLHF)</w:t>
      </w:r>
    </w:p>
    <w:p>
      <w:pPr>
        <w:pStyle w:val="ListParagraph"/>
        <w:numPr>
          <w:ilvl w:val="0"/>
          <w:numId w:val="2"/>
        </w:numPr>
        <w:spacing w:after="60" w:before="60" w:line="276"/>
      </w:pPr>
      <w:r>
        <w:rPr>
          <w:rFonts w:ascii="Arial" w:cs="Arial" w:eastAsia="Arial" w:hAnsi="Arial"/>
          <w:sz w:val="22"/>
          <w:szCs w:val="22"/>
        </w:rPr>
        <w:t xml:space="preserve">Constitutional AI: Harmlessness from AI Feedback — Bai et al. 2022 (Anthropic CAI)</w:t>
      </w:r>
    </w:p>
    <w:p>
      <w:pPr>
        <w:pStyle w:val="ListParagraph"/>
        <w:numPr>
          <w:ilvl w:val="0"/>
          <w:numId w:val="2"/>
        </w:numPr>
        <w:spacing w:after="60" w:before="60" w:line="276"/>
      </w:pPr>
      <w:r>
        <w:rPr>
          <w:rFonts w:ascii="Arial" w:cs="Arial" w:eastAsia="Arial" w:hAnsi="Arial"/>
          <w:sz w:val="22"/>
          <w:szCs w:val="22"/>
        </w:rPr>
        <w:t xml:space="preserve">Andrej Karpathy — makemore and nanoGPT series (hands-on progression from bigrams to transformers)</w:t>
      </w:r>
    </w:p>
    <w:p>
      <w:pPr>
        <w:pStyle w:val="ListParagraph"/>
        <w:numPr>
          <w:ilvl w:val="0"/>
          <w:numId w:val="2"/>
        </w:numPr>
        <w:spacing w:after="60" w:before="60" w:line="276"/>
      </w:pPr>
      <w:r>
        <w:rPr>
          <w:rFonts w:ascii="Arial" w:cs="Arial" w:eastAsia="Arial" w:hAnsi="Arial"/>
          <w:sz w:val="22"/>
          <w:szCs w:val="22"/>
        </w:rPr>
        <w:t xml:space="preserve">The Illustrated Transformer — Jay Alammar (visual explanation of the attention mechanism)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2E5FA3"/>
      <w:sz w:val="30"/>
      <w:szCs w:val="30"/>
    </w:rPr>
  </w:style>
  <w:style w:type="paragraph" w:styleId="Heading3">
    <w:name w:val="Heading 3"/>
    <w:basedOn w:val="Normal"/>
    <w:next w:val="Normal"/>
    <w:qFormat/>
    <w:pPr>
      <w:spacing w:after="8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2026-05-13T23:33:19.847Z</dcterms:created>
  <dcterms:modified xsi:type="dcterms:W3CDTF">2026-05-13T23:33:19.867Z</dcterms:modified>
</cp:coreProperties>
</file>

<file path=docProps/custom.xml><?xml version="1.0" encoding="utf-8"?>
<Properties xmlns="http://schemas.openxmlformats.org/officeDocument/2006/custom-properties" xmlns:vt="http://schemas.openxmlformats.org/officeDocument/2006/docPropsVTypes"/>
</file>