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B050"/>
  <w:body>
    <w:p w:rsidR="003A0C91" w:rsidRDefault="003A0C91" w:rsidP="002B712A">
      <w:pPr>
        <w:ind w:right="90"/>
      </w:pPr>
      <w:bookmarkStart w:id="0" w:name="_Hlk508910936"/>
      <w:bookmarkStart w:id="1" w:name="_GoBack"/>
      <w:bookmarkEnd w:id="0"/>
      <w:bookmarkEnd w:id="1"/>
    </w:p>
    <w:p w:rsidR="00B75C63" w:rsidRDefault="003A0C91" w:rsidP="007C63AA">
      <w:pPr>
        <w:tabs>
          <w:tab w:val="left" w:pos="9270"/>
        </w:tabs>
        <w:ind w:right="90"/>
        <w:jc w:val="center"/>
        <w:rPr>
          <w:rFonts w:ascii="Times New Roman" w:hAnsi="Times New Roman" w:cs="Times New Roman"/>
          <w:color w:val="808080" w:themeColor="background1" w:themeShade="80"/>
          <w:sz w:val="72"/>
          <w:szCs w:val="72"/>
        </w:rPr>
      </w:pPr>
      <w:r w:rsidRPr="001A03EE">
        <w:rPr>
          <w:noProof/>
          <w:color w:val="808080" w:themeColor="background1" w:themeShade="80"/>
        </w:rPr>
        <w:drawing>
          <wp:inline distT="0" distB="0" distL="0" distR="0" wp14:anchorId="41D0C945" wp14:editId="01C633E3">
            <wp:extent cx="8056418" cy="6757035"/>
            <wp:effectExtent l="1905"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5400000">
                      <a:off x="0" y="0"/>
                      <a:ext cx="8095578" cy="6789879"/>
                    </a:xfrm>
                    <a:prstGeom prst="rect">
                      <a:avLst/>
                    </a:prstGeom>
                  </pic:spPr>
                </pic:pic>
              </a:graphicData>
            </a:graphic>
          </wp:inline>
        </w:drawing>
      </w:r>
      <w:r w:rsidR="00B75C63">
        <w:rPr>
          <w:rFonts w:ascii="Times New Roman" w:hAnsi="Times New Roman" w:cs="Times New Roman"/>
          <w:color w:val="808080" w:themeColor="background1" w:themeShade="80"/>
          <w:sz w:val="72"/>
          <w:szCs w:val="72"/>
        </w:rPr>
        <w:t xml:space="preserve">    </w:t>
      </w:r>
    </w:p>
    <w:p w:rsidR="003A0C91" w:rsidRPr="00811521" w:rsidRDefault="00BD30D5" w:rsidP="002B712A">
      <w:pPr>
        <w:jc w:val="center"/>
        <w:rPr>
          <w:rFonts w:ascii="Times New Roman" w:hAnsi="Times New Roman" w:cs="Times New Roman"/>
          <w:sz w:val="48"/>
          <w:szCs w:val="48"/>
        </w:rPr>
      </w:pPr>
      <w:r>
        <w:rPr>
          <w:rFonts w:ascii="Times New Roman" w:hAnsi="Times New Roman" w:cs="Times New Roman"/>
          <w:sz w:val="48"/>
          <w:szCs w:val="48"/>
        </w:rPr>
        <w:t>Can Growth</w:t>
      </w:r>
      <w:r w:rsidR="000E29DC">
        <w:rPr>
          <w:rFonts w:ascii="Times New Roman" w:hAnsi="Times New Roman" w:cs="Times New Roman"/>
          <w:sz w:val="48"/>
          <w:szCs w:val="48"/>
        </w:rPr>
        <w:t xml:space="preserve"> be Achieved Without Risk?</w:t>
      </w:r>
    </w:p>
    <w:p w:rsidR="005679D5" w:rsidRPr="00811521" w:rsidRDefault="003A0C91" w:rsidP="002B712A">
      <w:pPr>
        <w:jc w:val="center"/>
        <w:rPr>
          <w:rStyle w:val="SubtleEmphasis"/>
          <w:color w:val="auto"/>
        </w:rPr>
      </w:pPr>
      <w:r w:rsidRPr="00811521">
        <w:rPr>
          <w:rFonts w:ascii="Times New Roman" w:hAnsi="Times New Roman" w:cs="Times New Roman"/>
        </w:rPr>
        <w:t>Pete</w:t>
      </w:r>
      <w:r w:rsidR="005463C8">
        <w:rPr>
          <w:rFonts w:ascii="Times New Roman" w:hAnsi="Times New Roman" w:cs="Times New Roman"/>
        </w:rPr>
        <w:t>r Hendrickson</w:t>
      </w:r>
      <w:r w:rsidR="00B24C30">
        <w:rPr>
          <w:rFonts w:ascii="Times New Roman" w:hAnsi="Times New Roman" w:cs="Times New Roman"/>
        </w:rPr>
        <w:t xml:space="preserve"> </w:t>
      </w:r>
      <w:r w:rsidR="005463C8">
        <w:rPr>
          <w:rFonts w:ascii="Times New Roman" w:hAnsi="Times New Roman" w:cs="Times New Roman"/>
        </w:rPr>
        <w:t>| BUS 567</w:t>
      </w:r>
      <w:r w:rsidR="009518B7" w:rsidRPr="00811521">
        <w:rPr>
          <w:rFonts w:ascii="Times New Roman" w:hAnsi="Times New Roman" w:cs="Times New Roman"/>
        </w:rPr>
        <w:t xml:space="preserve"> | </w:t>
      </w:r>
      <w:r w:rsidR="005463C8">
        <w:rPr>
          <w:rFonts w:ascii="Times New Roman" w:hAnsi="Times New Roman" w:cs="Times New Roman"/>
        </w:rPr>
        <w:t xml:space="preserve">December </w:t>
      </w:r>
      <w:r w:rsidR="00771059" w:rsidRPr="00811521">
        <w:rPr>
          <w:rFonts w:ascii="Times New Roman" w:hAnsi="Times New Roman" w:cs="Times New Roman"/>
        </w:rPr>
        <w:t>1</w:t>
      </w:r>
      <w:r w:rsidR="005463C8">
        <w:rPr>
          <w:rFonts w:ascii="Times New Roman" w:hAnsi="Times New Roman" w:cs="Times New Roman"/>
        </w:rPr>
        <w:t>2</w:t>
      </w:r>
      <w:r w:rsidR="00E57AC0" w:rsidRPr="00811521">
        <w:rPr>
          <w:rFonts w:ascii="Times New Roman" w:hAnsi="Times New Roman" w:cs="Times New Roman"/>
        </w:rPr>
        <w:t>, 2018</w:t>
      </w:r>
    </w:p>
    <w:p w:rsidR="002A2E2D" w:rsidRPr="00811521" w:rsidRDefault="005679D5" w:rsidP="0082382F">
      <w:pPr>
        <w:pStyle w:val="Heading1"/>
        <w:rPr>
          <w:rFonts w:ascii="Times New Roman" w:hAnsi="Times New Roman" w:cs="Times New Roman"/>
          <w:b/>
          <w:color w:val="000000" w:themeColor="text1"/>
          <w:sz w:val="28"/>
          <w:szCs w:val="28"/>
          <w:u w:val="single"/>
        </w:rPr>
      </w:pPr>
      <w:r w:rsidRPr="00811521">
        <w:rPr>
          <w:rFonts w:ascii="Times New Roman" w:hAnsi="Times New Roman" w:cs="Times New Roman"/>
          <w:b/>
          <w:color w:val="000000" w:themeColor="text1"/>
          <w:sz w:val="28"/>
          <w:szCs w:val="28"/>
          <w:u w:val="single"/>
        </w:rPr>
        <w:lastRenderedPageBreak/>
        <w:t>Introduction</w:t>
      </w:r>
    </w:p>
    <w:p w:rsidR="00BD30D5" w:rsidRDefault="008B149E" w:rsidP="008B149E">
      <w:pPr>
        <w:pStyle w:val="NoSpacing"/>
        <w:ind w:firstLine="720"/>
        <w:rPr>
          <w:rFonts w:ascii="Times New Roman" w:eastAsia="Times New Roman" w:hAnsi="Times New Roman" w:cs="Times New Roman"/>
          <w:color w:val="000000" w:themeColor="text1"/>
          <w:sz w:val="20"/>
          <w:szCs w:val="20"/>
        </w:rPr>
      </w:pPr>
      <w:r w:rsidRPr="007936BF">
        <w:rPr>
          <w:rFonts w:ascii="Times New Roman" w:hAnsi="Times New Roman" w:cs="Times New Roman"/>
          <w:b/>
          <w:noProof/>
          <w:sz w:val="28"/>
          <w:szCs w:val="28"/>
          <w:u w:val="single"/>
        </w:rPr>
        <w:drawing>
          <wp:anchor distT="0" distB="0" distL="114300" distR="114300" simplePos="0" relativeHeight="251669504" behindDoc="0" locked="0" layoutInCell="1" allowOverlap="1">
            <wp:simplePos x="0" y="0"/>
            <wp:positionH relativeFrom="column">
              <wp:posOffset>-161209</wp:posOffset>
            </wp:positionH>
            <wp:positionV relativeFrom="paragraph">
              <wp:posOffset>67442</wp:posOffset>
            </wp:positionV>
            <wp:extent cx="3667125" cy="2390140"/>
            <wp:effectExtent l="0" t="0" r="9525" b="10160"/>
            <wp:wrapSquare wrapText="bothSides"/>
            <wp:docPr id="31" name="Chart 31">
              <a:extLst xmlns:a="http://schemas.openxmlformats.org/drawingml/2006/main">
                <a:ext uri="{FF2B5EF4-FFF2-40B4-BE49-F238E27FC236}">
                  <a16:creationId xmlns:a16="http://schemas.microsoft.com/office/drawing/2014/main" id="{F39A51A0-C207-4C6C-A640-651B00A9A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0"/>
          <w:szCs w:val="20"/>
        </w:rPr>
        <w:t>Since its inception</w:t>
      </w:r>
      <w:r w:rsidR="00D064BB">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the BlackRock Global Long / Short Equity Fund (“the Fund) has </w:t>
      </w:r>
      <w:r w:rsidR="000E29DC">
        <w:rPr>
          <w:rFonts w:ascii="Times New Roman" w:eastAsia="Times New Roman" w:hAnsi="Times New Roman" w:cs="Times New Roman"/>
          <w:color w:val="000000" w:themeColor="text1"/>
          <w:sz w:val="20"/>
          <w:szCs w:val="20"/>
        </w:rPr>
        <w:t xml:space="preserve">consistently outperformed its </w:t>
      </w:r>
      <w:r w:rsidR="00BD30D5">
        <w:rPr>
          <w:rFonts w:ascii="Times New Roman" w:eastAsia="Times New Roman" w:hAnsi="Times New Roman" w:cs="Times New Roman"/>
          <w:color w:val="000000" w:themeColor="text1"/>
          <w:sz w:val="20"/>
          <w:szCs w:val="20"/>
        </w:rPr>
        <w:t xml:space="preserve">BoFA Merrill Lynch 3-month T-Bill Index </w:t>
      </w:r>
      <w:r w:rsidR="000E29DC">
        <w:rPr>
          <w:rFonts w:ascii="Times New Roman" w:eastAsia="Times New Roman" w:hAnsi="Times New Roman" w:cs="Times New Roman"/>
          <w:color w:val="000000" w:themeColor="text1"/>
          <w:sz w:val="20"/>
          <w:szCs w:val="20"/>
        </w:rPr>
        <w:t>benchmark</w:t>
      </w:r>
      <w:r w:rsidR="00AA4DE6" w:rsidRPr="00811521">
        <w:rPr>
          <w:rFonts w:ascii="Times New Roman" w:eastAsia="Times New Roman" w:hAnsi="Times New Roman" w:cs="Times New Roman"/>
          <w:color w:val="000000" w:themeColor="text1"/>
          <w:sz w:val="20"/>
          <w:szCs w:val="20"/>
        </w:rPr>
        <w:t xml:space="preserve"> in virtually all </w:t>
      </w:r>
      <w:r w:rsidR="001626EF" w:rsidRPr="00811521">
        <w:rPr>
          <w:rFonts w:ascii="Times New Roman" w:eastAsia="Times New Roman" w:hAnsi="Times New Roman" w:cs="Times New Roman"/>
          <w:color w:val="000000" w:themeColor="text1"/>
          <w:sz w:val="20"/>
          <w:szCs w:val="20"/>
        </w:rPr>
        <w:t>relevant financial measures</w:t>
      </w:r>
      <w:r w:rsidR="000E29DC">
        <w:rPr>
          <w:rFonts w:ascii="Times New Roman" w:eastAsia="Times New Roman" w:hAnsi="Times New Roman" w:cs="Times New Roman"/>
          <w:color w:val="000000" w:themeColor="text1"/>
          <w:sz w:val="20"/>
          <w:szCs w:val="20"/>
        </w:rPr>
        <w:t xml:space="preserve"> without exposing the Fund to significant risk</w:t>
      </w:r>
      <w:r w:rsidR="00CA0251">
        <w:rPr>
          <w:rFonts w:ascii="Times New Roman" w:eastAsia="Times New Roman" w:hAnsi="Times New Roman" w:cs="Times New Roman"/>
          <w:color w:val="000000" w:themeColor="text1"/>
          <w:sz w:val="20"/>
          <w:szCs w:val="20"/>
        </w:rPr>
        <w:t xml:space="preserve">. </w:t>
      </w:r>
      <w:r w:rsidR="005950F5">
        <w:rPr>
          <w:rFonts w:ascii="Times New Roman" w:eastAsia="Times New Roman" w:hAnsi="Times New Roman" w:cs="Times New Roman"/>
          <w:color w:val="000000" w:themeColor="text1"/>
          <w:sz w:val="20"/>
          <w:szCs w:val="20"/>
        </w:rPr>
        <w:t xml:space="preserve">This outperformance has been achieved </w:t>
      </w:r>
      <w:r w:rsidR="00BD30D5">
        <w:rPr>
          <w:rFonts w:ascii="Times New Roman" w:eastAsia="Times New Roman" w:hAnsi="Times New Roman" w:cs="Times New Roman"/>
          <w:color w:val="000000" w:themeColor="text1"/>
          <w:sz w:val="20"/>
          <w:szCs w:val="20"/>
        </w:rPr>
        <w:t>using</w:t>
      </w:r>
      <w:r w:rsidR="00CA0251">
        <w:rPr>
          <w:rFonts w:ascii="Times New Roman" w:eastAsia="Times New Roman" w:hAnsi="Times New Roman" w:cs="Times New Roman"/>
          <w:color w:val="000000" w:themeColor="text1"/>
          <w:sz w:val="20"/>
          <w:szCs w:val="20"/>
        </w:rPr>
        <w:t xml:space="preserve"> a complex automated </w:t>
      </w:r>
      <w:r w:rsidR="00BD30D5">
        <w:rPr>
          <w:rFonts w:ascii="Times New Roman" w:eastAsia="Times New Roman" w:hAnsi="Times New Roman" w:cs="Times New Roman"/>
          <w:color w:val="000000" w:themeColor="text1"/>
          <w:sz w:val="20"/>
          <w:szCs w:val="20"/>
        </w:rPr>
        <w:t>position</w:t>
      </w:r>
      <w:r w:rsidR="00CA0251">
        <w:rPr>
          <w:rFonts w:ascii="Times New Roman" w:eastAsia="Times New Roman" w:hAnsi="Times New Roman" w:cs="Times New Roman"/>
          <w:color w:val="000000" w:themeColor="text1"/>
          <w:sz w:val="20"/>
          <w:szCs w:val="20"/>
        </w:rPr>
        <w:t xml:space="preserve"> rebalancing system that incorporates the use of derivative</w:t>
      </w:r>
      <w:r w:rsidR="00BD30D5">
        <w:rPr>
          <w:rFonts w:ascii="Times New Roman" w:eastAsia="Times New Roman" w:hAnsi="Times New Roman" w:cs="Times New Roman"/>
          <w:color w:val="000000" w:themeColor="text1"/>
          <w:sz w:val="20"/>
          <w:szCs w:val="20"/>
        </w:rPr>
        <w:t>s with both short and long positions. The outperformance while employing such a</w:t>
      </w:r>
      <w:r w:rsidR="002E5378">
        <w:rPr>
          <w:rFonts w:ascii="Times New Roman" w:eastAsia="Times New Roman" w:hAnsi="Times New Roman" w:cs="Times New Roman"/>
          <w:color w:val="000000" w:themeColor="text1"/>
          <w:sz w:val="20"/>
          <w:szCs w:val="20"/>
        </w:rPr>
        <w:t xml:space="preserve"> strategy brings up the consideration of</w:t>
      </w:r>
      <w:r w:rsidR="00BD30D5">
        <w:rPr>
          <w:rFonts w:ascii="Times New Roman" w:eastAsia="Times New Roman" w:hAnsi="Times New Roman" w:cs="Times New Roman"/>
          <w:color w:val="000000" w:themeColor="text1"/>
          <w:sz w:val="20"/>
          <w:szCs w:val="20"/>
        </w:rPr>
        <w:t xml:space="preserve"> whether it is possible to create a relatively risk-free Fund </w:t>
      </w:r>
      <w:r w:rsidR="00A45837">
        <w:rPr>
          <w:rFonts w:ascii="Times New Roman" w:eastAsia="Times New Roman" w:hAnsi="Times New Roman" w:cs="Times New Roman"/>
          <w:color w:val="000000" w:themeColor="text1"/>
          <w:sz w:val="20"/>
          <w:szCs w:val="20"/>
        </w:rPr>
        <w:t>that</w:t>
      </w:r>
      <w:r w:rsidR="00BD30D5">
        <w:rPr>
          <w:rFonts w:ascii="Times New Roman" w:eastAsia="Times New Roman" w:hAnsi="Times New Roman" w:cs="Times New Roman"/>
          <w:color w:val="000000" w:themeColor="text1"/>
          <w:sz w:val="20"/>
          <w:szCs w:val="20"/>
        </w:rPr>
        <w:t xml:space="preserve"> outperform</w:t>
      </w:r>
      <w:r w:rsidR="00A45837">
        <w:rPr>
          <w:rFonts w:ascii="Times New Roman" w:eastAsia="Times New Roman" w:hAnsi="Times New Roman" w:cs="Times New Roman"/>
          <w:color w:val="000000" w:themeColor="text1"/>
          <w:sz w:val="20"/>
          <w:szCs w:val="20"/>
        </w:rPr>
        <w:t>s</w:t>
      </w:r>
      <w:r w:rsidR="00BD30D5">
        <w:rPr>
          <w:rFonts w:ascii="Times New Roman" w:eastAsia="Times New Roman" w:hAnsi="Times New Roman" w:cs="Times New Roman"/>
          <w:color w:val="000000" w:themeColor="text1"/>
          <w:sz w:val="20"/>
          <w:szCs w:val="20"/>
        </w:rPr>
        <w:t xml:space="preserve"> a T-Bill type benchmark over the long-term. I</w:t>
      </w:r>
      <w:r w:rsidR="00546333">
        <w:rPr>
          <w:rFonts w:ascii="Times New Roman" w:eastAsia="Times New Roman" w:hAnsi="Times New Roman" w:cs="Times New Roman"/>
          <w:color w:val="000000" w:themeColor="text1"/>
          <w:sz w:val="20"/>
          <w:szCs w:val="20"/>
        </w:rPr>
        <w:t>f</w:t>
      </w:r>
      <w:r w:rsidR="00BD30D5">
        <w:rPr>
          <w:rFonts w:ascii="Times New Roman" w:eastAsia="Times New Roman" w:hAnsi="Times New Roman" w:cs="Times New Roman"/>
          <w:color w:val="000000" w:themeColor="text1"/>
          <w:sz w:val="20"/>
          <w:szCs w:val="20"/>
        </w:rPr>
        <w:t xml:space="preserve"> this is possible, would it be fair to assume that in today’</w:t>
      </w:r>
      <w:r w:rsidR="002E5378">
        <w:rPr>
          <w:rFonts w:ascii="Times New Roman" w:eastAsia="Times New Roman" w:hAnsi="Times New Roman" w:cs="Times New Roman"/>
          <w:color w:val="000000" w:themeColor="text1"/>
          <w:sz w:val="20"/>
          <w:szCs w:val="20"/>
        </w:rPr>
        <w:t>s automated world, that g</w:t>
      </w:r>
      <w:r w:rsidR="00BD30D5">
        <w:rPr>
          <w:rFonts w:ascii="Times New Roman" w:eastAsia="Times New Roman" w:hAnsi="Times New Roman" w:cs="Times New Roman"/>
          <w:color w:val="000000" w:themeColor="text1"/>
          <w:sz w:val="20"/>
          <w:szCs w:val="20"/>
        </w:rPr>
        <w:t xml:space="preserve">rowth could be achieved without risk? Would this cause Swensen to rethink his allocation in risk-free </w:t>
      </w:r>
      <w:r w:rsidR="00546333">
        <w:rPr>
          <w:rFonts w:ascii="Times New Roman" w:eastAsia="Times New Roman" w:hAnsi="Times New Roman" w:cs="Times New Roman"/>
          <w:color w:val="000000" w:themeColor="text1"/>
          <w:sz w:val="20"/>
          <w:szCs w:val="20"/>
        </w:rPr>
        <w:t>Treasury Bonds</w:t>
      </w:r>
      <w:r w:rsidR="00683C43">
        <w:rPr>
          <w:rFonts w:ascii="Times New Roman" w:eastAsia="Times New Roman" w:hAnsi="Times New Roman" w:cs="Times New Roman"/>
          <w:color w:val="000000" w:themeColor="text1"/>
          <w:sz w:val="20"/>
          <w:szCs w:val="20"/>
        </w:rPr>
        <w:t xml:space="preserve"> and</w:t>
      </w:r>
      <w:r w:rsidR="002E5378">
        <w:rPr>
          <w:rFonts w:ascii="Times New Roman" w:eastAsia="Times New Roman" w:hAnsi="Times New Roman" w:cs="Times New Roman"/>
          <w:color w:val="000000" w:themeColor="text1"/>
          <w:sz w:val="20"/>
          <w:szCs w:val="20"/>
        </w:rPr>
        <w:t xml:space="preserve"> the importance of the culture of the investment team</w:t>
      </w:r>
      <w:r w:rsidR="002A4575">
        <w:rPr>
          <w:rFonts w:ascii="Times New Roman" w:eastAsia="Times New Roman" w:hAnsi="Times New Roman" w:cs="Times New Roman"/>
          <w:color w:val="000000" w:themeColor="text1"/>
          <w:sz w:val="20"/>
          <w:szCs w:val="20"/>
        </w:rPr>
        <w:t xml:space="preserve"> in favor of automation</w:t>
      </w:r>
      <w:r w:rsidR="00546333">
        <w:rPr>
          <w:rFonts w:ascii="Times New Roman" w:eastAsia="Times New Roman" w:hAnsi="Times New Roman" w:cs="Times New Roman"/>
          <w:color w:val="000000" w:themeColor="text1"/>
          <w:sz w:val="20"/>
          <w:szCs w:val="20"/>
        </w:rPr>
        <w:t xml:space="preserve">? Or is this another attempt at risk elimination </w:t>
      </w:r>
      <w:r w:rsidR="00C9049C">
        <w:rPr>
          <w:rFonts w:ascii="Times New Roman" w:eastAsia="Times New Roman" w:hAnsi="Times New Roman" w:cs="Times New Roman"/>
          <w:color w:val="000000" w:themeColor="text1"/>
          <w:sz w:val="20"/>
          <w:szCs w:val="20"/>
        </w:rPr>
        <w:t xml:space="preserve">doomed for failure </w:t>
      </w:r>
      <w:r w:rsidR="00546333">
        <w:rPr>
          <w:rFonts w:ascii="Times New Roman" w:eastAsia="Times New Roman" w:hAnsi="Times New Roman" w:cs="Times New Roman"/>
          <w:color w:val="000000" w:themeColor="text1"/>
          <w:sz w:val="20"/>
          <w:szCs w:val="20"/>
        </w:rPr>
        <w:t>like the former Long-Term Capit</w:t>
      </w:r>
      <w:r w:rsidR="002A4575">
        <w:rPr>
          <w:rFonts w:ascii="Times New Roman" w:eastAsia="Times New Roman" w:hAnsi="Times New Roman" w:cs="Times New Roman"/>
          <w:color w:val="000000" w:themeColor="text1"/>
          <w:sz w:val="20"/>
          <w:szCs w:val="20"/>
        </w:rPr>
        <w:t>al Management, who once advocated</w:t>
      </w:r>
      <w:r w:rsidR="00546333">
        <w:rPr>
          <w:rFonts w:ascii="Times New Roman" w:eastAsia="Times New Roman" w:hAnsi="Times New Roman" w:cs="Times New Roman"/>
          <w:color w:val="000000" w:themeColor="text1"/>
          <w:sz w:val="20"/>
          <w:szCs w:val="20"/>
        </w:rPr>
        <w:t xml:space="preserve"> that high returns were possible without risk? Have we progressed through automation to directly confront risk through the </w:t>
      </w:r>
      <w:r w:rsidR="00A45837">
        <w:rPr>
          <w:rFonts w:ascii="Times New Roman" w:eastAsia="Times New Roman" w:hAnsi="Times New Roman" w:cs="Times New Roman"/>
          <w:color w:val="000000" w:themeColor="text1"/>
          <w:sz w:val="20"/>
          <w:szCs w:val="20"/>
        </w:rPr>
        <w:t xml:space="preserve">systematic </w:t>
      </w:r>
      <w:r w:rsidR="00546333">
        <w:rPr>
          <w:rFonts w:ascii="Times New Roman" w:eastAsia="Times New Roman" w:hAnsi="Times New Roman" w:cs="Times New Roman"/>
          <w:color w:val="000000" w:themeColor="text1"/>
          <w:sz w:val="20"/>
          <w:szCs w:val="20"/>
        </w:rPr>
        <w:t xml:space="preserve">employment of complex derivatives once and for all? </w:t>
      </w:r>
      <w:r w:rsidR="00C9049C">
        <w:rPr>
          <w:rFonts w:ascii="Times New Roman" w:eastAsia="Times New Roman" w:hAnsi="Times New Roman" w:cs="Times New Roman"/>
          <w:color w:val="000000" w:themeColor="text1"/>
          <w:sz w:val="20"/>
          <w:szCs w:val="20"/>
        </w:rPr>
        <w:t xml:space="preserve">Is the Fund simply setting </w:t>
      </w:r>
      <w:r w:rsidR="00A45837">
        <w:rPr>
          <w:rFonts w:ascii="Times New Roman" w:eastAsia="Times New Roman" w:hAnsi="Times New Roman" w:cs="Times New Roman"/>
          <w:color w:val="000000" w:themeColor="text1"/>
          <w:sz w:val="20"/>
          <w:szCs w:val="20"/>
        </w:rPr>
        <w:t xml:space="preserve">up </w:t>
      </w:r>
      <w:r w:rsidR="00C9049C">
        <w:rPr>
          <w:rFonts w:ascii="Times New Roman" w:eastAsia="Times New Roman" w:hAnsi="Times New Roman" w:cs="Times New Roman"/>
          <w:color w:val="000000" w:themeColor="text1"/>
          <w:sz w:val="20"/>
          <w:szCs w:val="20"/>
        </w:rPr>
        <w:t xml:space="preserve">another fall from grace as market conditions worsen? Or will outperformance only increase with a short bias? </w:t>
      </w:r>
      <w:r w:rsidR="00546333">
        <w:rPr>
          <w:rFonts w:ascii="Times New Roman" w:eastAsia="Times New Roman" w:hAnsi="Times New Roman" w:cs="Times New Roman"/>
          <w:color w:val="000000" w:themeColor="text1"/>
          <w:sz w:val="20"/>
          <w:szCs w:val="20"/>
        </w:rPr>
        <w:t xml:space="preserve">We will explore these concepts while examining the </w:t>
      </w:r>
      <w:r w:rsidR="00C9049C">
        <w:rPr>
          <w:rFonts w:ascii="Times New Roman" w:eastAsia="Times New Roman" w:hAnsi="Times New Roman" w:cs="Times New Roman"/>
          <w:color w:val="000000" w:themeColor="text1"/>
          <w:sz w:val="20"/>
          <w:szCs w:val="20"/>
        </w:rPr>
        <w:t>operations of the Fund as</w:t>
      </w:r>
      <w:r w:rsidR="0074668E">
        <w:rPr>
          <w:rFonts w:ascii="Times New Roman" w:eastAsia="Times New Roman" w:hAnsi="Times New Roman" w:cs="Times New Roman"/>
          <w:color w:val="000000" w:themeColor="text1"/>
          <w:sz w:val="20"/>
          <w:szCs w:val="20"/>
        </w:rPr>
        <w:t xml:space="preserve"> the progressive</w:t>
      </w:r>
      <w:r w:rsidR="00C9049C">
        <w:rPr>
          <w:rFonts w:ascii="Times New Roman" w:eastAsia="Times New Roman" w:hAnsi="Times New Roman" w:cs="Times New Roman"/>
          <w:color w:val="000000" w:themeColor="text1"/>
          <w:sz w:val="20"/>
          <w:szCs w:val="20"/>
        </w:rPr>
        <w:t xml:space="preserve"> waive of the future for investment management as automation</w:t>
      </w:r>
      <w:r w:rsidR="0074668E">
        <w:rPr>
          <w:rFonts w:ascii="Times New Roman" w:eastAsia="Times New Roman" w:hAnsi="Times New Roman" w:cs="Times New Roman"/>
          <w:color w:val="000000" w:themeColor="text1"/>
          <w:sz w:val="20"/>
          <w:szCs w:val="20"/>
        </w:rPr>
        <w:t xml:space="preserve"> continues to</w:t>
      </w:r>
      <w:r w:rsidR="00C9049C">
        <w:rPr>
          <w:rFonts w:ascii="Times New Roman" w:eastAsia="Times New Roman" w:hAnsi="Times New Roman" w:cs="Times New Roman"/>
          <w:color w:val="000000" w:themeColor="text1"/>
          <w:sz w:val="20"/>
          <w:szCs w:val="20"/>
        </w:rPr>
        <w:t xml:space="preserve"> </w:t>
      </w:r>
      <w:r w:rsidR="0074668E">
        <w:rPr>
          <w:rFonts w:ascii="Times New Roman" w:eastAsia="Times New Roman" w:hAnsi="Times New Roman" w:cs="Times New Roman"/>
          <w:color w:val="000000" w:themeColor="text1"/>
          <w:sz w:val="20"/>
          <w:szCs w:val="20"/>
        </w:rPr>
        <w:t>increase</w:t>
      </w:r>
      <w:r w:rsidR="00C9049C">
        <w:rPr>
          <w:rFonts w:ascii="Times New Roman" w:eastAsia="Times New Roman" w:hAnsi="Times New Roman" w:cs="Times New Roman"/>
          <w:color w:val="000000" w:themeColor="text1"/>
          <w:sz w:val="20"/>
          <w:szCs w:val="20"/>
        </w:rPr>
        <w:t xml:space="preserve">. </w:t>
      </w:r>
    </w:p>
    <w:p w:rsidR="00BD30D5" w:rsidRDefault="00BD30D5" w:rsidP="008B149E">
      <w:pPr>
        <w:pStyle w:val="NoSpacing"/>
        <w:ind w:firstLine="720"/>
        <w:rPr>
          <w:rFonts w:ascii="Times New Roman" w:eastAsia="Times New Roman" w:hAnsi="Times New Roman" w:cs="Times New Roman"/>
          <w:color w:val="000000" w:themeColor="text1"/>
          <w:sz w:val="20"/>
          <w:szCs w:val="20"/>
        </w:rPr>
      </w:pPr>
    </w:p>
    <w:p w:rsidR="00A45837" w:rsidRDefault="00BD30D5" w:rsidP="00A45837">
      <w:pPr>
        <w:pStyle w:val="NoSpacing"/>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Currently, the </w:t>
      </w:r>
      <w:r w:rsidR="00546333">
        <w:rPr>
          <w:rFonts w:ascii="Times New Roman" w:eastAsia="Times New Roman" w:hAnsi="Times New Roman" w:cs="Times New Roman"/>
          <w:color w:val="000000" w:themeColor="text1"/>
          <w:sz w:val="20"/>
          <w:szCs w:val="20"/>
        </w:rPr>
        <w:t>F</w:t>
      </w:r>
      <w:r>
        <w:rPr>
          <w:rFonts w:ascii="Times New Roman" w:eastAsia="Times New Roman" w:hAnsi="Times New Roman" w:cs="Times New Roman"/>
          <w:color w:val="000000" w:themeColor="text1"/>
          <w:sz w:val="20"/>
          <w:szCs w:val="20"/>
        </w:rPr>
        <w:t xml:space="preserve">und maintains the $615 million </w:t>
      </w:r>
      <w:r w:rsidR="00CA5C21">
        <w:rPr>
          <w:rFonts w:ascii="Times New Roman" w:eastAsia="Times New Roman" w:hAnsi="Times New Roman" w:cs="Times New Roman"/>
          <w:color w:val="000000" w:themeColor="text1"/>
          <w:sz w:val="20"/>
          <w:szCs w:val="20"/>
        </w:rPr>
        <w:t xml:space="preserve">assets </w:t>
      </w:r>
      <w:r>
        <w:rPr>
          <w:rFonts w:ascii="Times New Roman" w:eastAsia="Times New Roman" w:hAnsi="Times New Roman" w:cs="Times New Roman"/>
          <w:color w:val="000000" w:themeColor="text1"/>
          <w:sz w:val="20"/>
          <w:szCs w:val="20"/>
        </w:rPr>
        <w:t xml:space="preserve">under management with a </w:t>
      </w:r>
      <w:r w:rsidR="00CA5C21">
        <w:rPr>
          <w:rFonts w:ascii="Times New Roman" w:eastAsia="Times New Roman" w:hAnsi="Times New Roman" w:cs="Times New Roman"/>
          <w:color w:val="000000" w:themeColor="text1"/>
          <w:sz w:val="20"/>
          <w:szCs w:val="20"/>
        </w:rPr>
        <w:t xml:space="preserve">net </w:t>
      </w:r>
      <w:r>
        <w:rPr>
          <w:rFonts w:ascii="Times New Roman" w:eastAsia="Times New Roman" w:hAnsi="Times New Roman" w:cs="Times New Roman"/>
          <w:color w:val="000000" w:themeColor="text1"/>
          <w:sz w:val="20"/>
          <w:szCs w:val="20"/>
        </w:rPr>
        <w:t>short bias</w:t>
      </w:r>
      <w:r w:rsidR="00CA5C21">
        <w:rPr>
          <w:rFonts w:ascii="Times New Roman" w:eastAsia="Times New Roman" w:hAnsi="Times New Roman" w:cs="Times New Roman"/>
          <w:color w:val="000000" w:themeColor="text1"/>
          <w:sz w:val="20"/>
          <w:szCs w:val="20"/>
        </w:rPr>
        <w:t xml:space="preserve"> consisting of</w:t>
      </w:r>
      <w:r>
        <w:rPr>
          <w:rFonts w:ascii="Times New Roman" w:eastAsia="Times New Roman" w:hAnsi="Times New Roman" w:cs="Times New Roman"/>
          <w:color w:val="000000" w:themeColor="text1"/>
          <w:sz w:val="20"/>
          <w:szCs w:val="20"/>
        </w:rPr>
        <w:t xml:space="preserve"> 571 long and 606 short holdings. </w:t>
      </w:r>
      <w:r w:rsidR="002E5378">
        <w:rPr>
          <w:rFonts w:ascii="Times New Roman" w:eastAsia="Times New Roman" w:hAnsi="Times New Roman" w:cs="Times New Roman"/>
          <w:color w:val="000000" w:themeColor="text1"/>
          <w:sz w:val="20"/>
          <w:szCs w:val="20"/>
        </w:rPr>
        <w:t>The Fund started in 2012 and has achieved a 26.28% total return since</w:t>
      </w:r>
      <w:r w:rsidR="0074668E">
        <w:rPr>
          <w:rFonts w:ascii="Times New Roman" w:eastAsia="Times New Roman" w:hAnsi="Times New Roman" w:cs="Times New Roman"/>
          <w:color w:val="000000" w:themeColor="text1"/>
          <w:sz w:val="20"/>
          <w:szCs w:val="20"/>
        </w:rPr>
        <w:t xml:space="preserve"> inception in comparison to a total return of </w:t>
      </w:r>
      <w:r w:rsidR="002E5378">
        <w:rPr>
          <w:rFonts w:ascii="Times New Roman" w:eastAsia="Times New Roman" w:hAnsi="Times New Roman" w:cs="Times New Roman"/>
          <w:color w:val="000000" w:themeColor="text1"/>
          <w:sz w:val="20"/>
          <w:szCs w:val="20"/>
        </w:rPr>
        <w:t xml:space="preserve">2.67% </w:t>
      </w:r>
      <w:r w:rsidR="0074668E">
        <w:rPr>
          <w:rFonts w:ascii="Times New Roman" w:eastAsia="Times New Roman" w:hAnsi="Times New Roman" w:cs="Times New Roman"/>
          <w:color w:val="000000" w:themeColor="text1"/>
          <w:sz w:val="20"/>
          <w:szCs w:val="20"/>
        </w:rPr>
        <w:t xml:space="preserve">for the </w:t>
      </w:r>
      <w:r w:rsidR="002E5378">
        <w:rPr>
          <w:rFonts w:ascii="Times New Roman" w:eastAsia="Times New Roman" w:hAnsi="Times New Roman" w:cs="Times New Roman"/>
          <w:color w:val="000000" w:themeColor="text1"/>
          <w:sz w:val="20"/>
          <w:szCs w:val="20"/>
        </w:rPr>
        <w:t xml:space="preserve">benchmark. </w:t>
      </w:r>
      <w:r w:rsidR="0074668E">
        <w:rPr>
          <w:rFonts w:ascii="Times New Roman" w:eastAsia="Times New Roman" w:hAnsi="Times New Roman" w:cs="Times New Roman"/>
          <w:color w:val="000000" w:themeColor="text1"/>
          <w:sz w:val="20"/>
          <w:szCs w:val="20"/>
        </w:rPr>
        <w:t>The Fund’</w:t>
      </w:r>
      <w:r w:rsidR="002A4575">
        <w:rPr>
          <w:rFonts w:ascii="Times New Roman" w:eastAsia="Times New Roman" w:hAnsi="Times New Roman" w:cs="Times New Roman"/>
          <w:color w:val="000000" w:themeColor="text1"/>
          <w:sz w:val="20"/>
          <w:szCs w:val="20"/>
        </w:rPr>
        <w:t>s best three months returned</w:t>
      </w:r>
      <w:r w:rsidR="0074668E">
        <w:rPr>
          <w:rFonts w:ascii="Times New Roman" w:eastAsia="Times New Roman" w:hAnsi="Times New Roman" w:cs="Times New Roman"/>
          <w:color w:val="000000" w:themeColor="text1"/>
          <w:sz w:val="20"/>
          <w:szCs w:val="20"/>
        </w:rPr>
        <w:t xml:space="preserve"> </w:t>
      </w:r>
      <w:r w:rsidR="002A4575">
        <w:rPr>
          <w:rFonts w:ascii="Times New Roman" w:eastAsia="Times New Roman" w:hAnsi="Times New Roman" w:cs="Times New Roman"/>
          <w:color w:val="000000" w:themeColor="text1"/>
          <w:sz w:val="20"/>
          <w:szCs w:val="20"/>
        </w:rPr>
        <w:t>4.6% and worst three months returned</w:t>
      </w:r>
      <w:r w:rsidR="0074668E">
        <w:rPr>
          <w:rFonts w:ascii="Times New Roman" w:eastAsia="Times New Roman" w:hAnsi="Times New Roman" w:cs="Times New Roman"/>
          <w:color w:val="000000" w:themeColor="text1"/>
          <w:sz w:val="20"/>
          <w:szCs w:val="20"/>
        </w:rPr>
        <w:t xml:space="preserve"> -5.89% since inception</w:t>
      </w:r>
      <w:r w:rsidR="00CA5C21">
        <w:rPr>
          <w:rFonts w:ascii="Times New Roman" w:eastAsia="Times New Roman" w:hAnsi="Times New Roman" w:cs="Times New Roman"/>
          <w:color w:val="000000" w:themeColor="text1"/>
          <w:sz w:val="20"/>
          <w:szCs w:val="20"/>
        </w:rPr>
        <w:t xml:space="preserve"> with </w:t>
      </w:r>
      <w:r w:rsidR="002A4575">
        <w:rPr>
          <w:rFonts w:ascii="Times New Roman" w:eastAsia="Times New Roman" w:hAnsi="Times New Roman" w:cs="Times New Roman"/>
          <w:color w:val="000000" w:themeColor="text1"/>
          <w:sz w:val="20"/>
          <w:szCs w:val="20"/>
        </w:rPr>
        <w:t xml:space="preserve">a </w:t>
      </w:r>
      <w:r w:rsidR="00CA5C21">
        <w:rPr>
          <w:rFonts w:ascii="Times New Roman" w:eastAsia="Times New Roman" w:hAnsi="Times New Roman" w:cs="Times New Roman"/>
          <w:color w:val="000000" w:themeColor="text1"/>
          <w:sz w:val="20"/>
          <w:szCs w:val="20"/>
        </w:rPr>
        <w:t>standard deviation of approximately 1% per month</w:t>
      </w:r>
      <w:r w:rsidR="0074668E">
        <w:rPr>
          <w:rFonts w:ascii="Times New Roman" w:eastAsia="Times New Roman" w:hAnsi="Times New Roman" w:cs="Times New Roman"/>
          <w:color w:val="000000" w:themeColor="text1"/>
          <w:sz w:val="20"/>
          <w:szCs w:val="20"/>
        </w:rPr>
        <w:t xml:space="preserve">. It maintains a Morningstar Bronze rating given to only the top 10% of its class. The Fund, which is open to all investors, has a relatively high net expense ratio of 1.64%. </w:t>
      </w:r>
      <w:r w:rsidR="00546333">
        <w:rPr>
          <w:rFonts w:ascii="Times New Roman" w:eastAsia="Times New Roman" w:hAnsi="Times New Roman" w:cs="Times New Roman"/>
          <w:color w:val="000000" w:themeColor="text1"/>
          <w:sz w:val="20"/>
          <w:szCs w:val="20"/>
        </w:rPr>
        <w:t>However, when c</w:t>
      </w:r>
      <w:r w:rsidR="00C9049C">
        <w:rPr>
          <w:rFonts w:ascii="Times New Roman" w:eastAsia="Times New Roman" w:hAnsi="Times New Roman" w:cs="Times New Roman"/>
          <w:color w:val="000000" w:themeColor="text1"/>
          <w:sz w:val="20"/>
          <w:szCs w:val="20"/>
        </w:rPr>
        <w:t xml:space="preserve">onsidering the complexity of </w:t>
      </w:r>
      <w:r w:rsidR="00CA5C21">
        <w:rPr>
          <w:rFonts w:ascii="Times New Roman" w:eastAsia="Times New Roman" w:hAnsi="Times New Roman" w:cs="Times New Roman"/>
          <w:color w:val="000000" w:themeColor="text1"/>
          <w:sz w:val="20"/>
          <w:szCs w:val="20"/>
        </w:rPr>
        <w:t xml:space="preserve">dynamically </w:t>
      </w:r>
      <w:r w:rsidR="00546333">
        <w:rPr>
          <w:rFonts w:ascii="Times New Roman" w:eastAsia="Times New Roman" w:hAnsi="Times New Roman" w:cs="Times New Roman"/>
          <w:color w:val="000000" w:themeColor="text1"/>
          <w:sz w:val="20"/>
          <w:szCs w:val="20"/>
        </w:rPr>
        <w:t>hedging positioning for nearly 1200 combined short and long holdings, it is not surprising that higher fees apply</w:t>
      </w:r>
      <w:r>
        <w:rPr>
          <w:rFonts w:ascii="Times New Roman" w:eastAsia="Times New Roman" w:hAnsi="Times New Roman" w:cs="Times New Roman"/>
          <w:color w:val="000000" w:themeColor="text1"/>
          <w:sz w:val="20"/>
          <w:szCs w:val="20"/>
        </w:rPr>
        <w:t>.</w:t>
      </w:r>
      <w:r w:rsidR="00546333">
        <w:rPr>
          <w:rFonts w:ascii="Times New Roman" w:eastAsia="Times New Roman" w:hAnsi="Times New Roman" w:cs="Times New Roman"/>
          <w:color w:val="000000" w:themeColor="text1"/>
          <w:sz w:val="20"/>
          <w:szCs w:val="20"/>
        </w:rPr>
        <w:t xml:space="preserve"> It is</w:t>
      </w:r>
      <w:r>
        <w:rPr>
          <w:rFonts w:ascii="Times New Roman" w:eastAsia="Times New Roman" w:hAnsi="Times New Roman" w:cs="Times New Roman"/>
          <w:color w:val="000000" w:themeColor="text1"/>
          <w:sz w:val="20"/>
          <w:szCs w:val="20"/>
        </w:rPr>
        <w:t xml:space="preserve"> </w:t>
      </w:r>
      <w:r w:rsidR="00546333">
        <w:rPr>
          <w:rFonts w:ascii="Times New Roman" w:eastAsia="Times New Roman" w:hAnsi="Times New Roman" w:cs="Times New Roman"/>
          <w:color w:val="000000" w:themeColor="text1"/>
          <w:sz w:val="20"/>
          <w:szCs w:val="20"/>
        </w:rPr>
        <w:t>uncommon for a Fund that is open to the public to be hedged to such a degree that most positions are merely biased in either a short or long position, but rarely uncovered with</w:t>
      </w:r>
      <w:r w:rsidR="00C9049C">
        <w:rPr>
          <w:rFonts w:ascii="Times New Roman" w:eastAsia="Times New Roman" w:hAnsi="Times New Roman" w:cs="Times New Roman"/>
          <w:color w:val="000000" w:themeColor="text1"/>
          <w:sz w:val="20"/>
          <w:szCs w:val="20"/>
        </w:rPr>
        <w:t>out</w:t>
      </w:r>
      <w:r w:rsidR="00A45837">
        <w:rPr>
          <w:rFonts w:ascii="Times New Roman" w:eastAsia="Times New Roman" w:hAnsi="Times New Roman" w:cs="Times New Roman"/>
          <w:color w:val="000000" w:themeColor="text1"/>
          <w:sz w:val="20"/>
          <w:szCs w:val="20"/>
        </w:rPr>
        <w:t xml:space="preserve"> a near equal </w:t>
      </w:r>
      <w:r w:rsidR="00546333">
        <w:rPr>
          <w:rFonts w:ascii="Times New Roman" w:eastAsia="Times New Roman" w:hAnsi="Times New Roman" w:cs="Times New Roman"/>
          <w:color w:val="000000" w:themeColor="text1"/>
          <w:sz w:val="20"/>
          <w:szCs w:val="20"/>
        </w:rPr>
        <w:t xml:space="preserve">opposing position. </w:t>
      </w:r>
      <w:r>
        <w:rPr>
          <w:rFonts w:ascii="Times New Roman" w:eastAsia="Times New Roman" w:hAnsi="Times New Roman" w:cs="Times New Roman"/>
          <w:color w:val="000000" w:themeColor="text1"/>
          <w:sz w:val="20"/>
          <w:szCs w:val="20"/>
        </w:rPr>
        <w:t xml:space="preserve">This ratio </w:t>
      </w:r>
      <w:r w:rsidR="002E5378">
        <w:rPr>
          <w:rFonts w:ascii="Times New Roman" w:eastAsia="Times New Roman" w:hAnsi="Times New Roman" w:cs="Times New Roman"/>
          <w:color w:val="000000" w:themeColor="text1"/>
          <w:sz w:val="20"/>
          <w:szCs w:val="20"/>
        </w:rPr>
        <w:t xml:space="preserve">and the high number of positions </w:t>
      </w:r>
      <w:r w:rsidR="0074668E">
        <w:rPr>
          <w:rFonts w:ascii="Times New Roman" w:eastAsia="Times New Roman" w:hAnsi="Times New Roman" w:cs="Times New Roman"/>
          <w:color w:val="000000" w:themeColor="text1"/>
          <w:sz w:val="20"/>
          <w:szCs w:val="20"/>
        </w:rPr>
        <w:t>reflects a</w:t>
      </w:r>
      <w:r w:rsidR="00C9049C">
        <w:rPr>
          <w:rFonts w:ascii="Times New Roman" w:eastAsia="Times New Roman" w:hAnsi="Times New Roman" w:cs="Times New Roman"/>
          <w:color w:val="000000" w:themeColor="text1"/>
          <w:sz w:val="20"/>
          <w:szCs w:val="20"/>
        </w:rPr>
        <w:t xml:space="preserve"> </w:t>
      </w:r>
      <w:r w:rsidR="0074668E">
        <w:rPr>
          <w:rFonts w:ascii="Times New Roman" w:eastAsia="Times New Roman" w:hAnsi="Times New Roman" w:cs="Times New Roman"/>
          <w:color w:val="000000" w:themeColor="text1"/>
          <w:sz w:val="20"/>
          <w:szCs w:val="20"/>
        </w:rPr>
        <w:t xml:space="preserve">level of </w:t>
      </w:r>
      <w:r w:rsidR="00C9049C">
        <w:rPr>
          <w:rFonts w:ascii="Times New Roman" w:eastAsia="Times New Roman" w:hAnsi="Times New Roman" w:cs="Times New Roman"/>
          <w:color w:val="000000" w:themeColor="text1"/>
          <w:sz w:val="20"/>
          <w:szCs w:val="20"/>
        </w:rPr>
        <w:t>sophistication only possibly achieved through automation.</w:t>
      </w:r>
      <w:r>
        <w:rPr>
          <w:rFonts w:ascii="Times New Roman" w:eastAsia="Times New Roman" w:hAnsi="Times New Roman" w:cs="Times New Roman"/>
          <w:color w:val="000000" w:themeColor="text1"/>
          <w:sz w:val="20"/>
          <w:szCs w:val="20"/>
        </w:rPr>
        <w:t xml:space="preserve"> </w:t>
      </w:r>
      <w:r w:rsidR="002A4575">
        <w:rPr>
          <w:rFonts w:ascii="Times New Roman" w:eastAsia="Times New Roman" w:hAnsi="Times New Roman" w:cs="Times New Roman"/>
          <w:color w:val="000000" w:themeColor="text1"/>
          <w:sz w:val="20"/>
          <w:szCs w:val="20"/>
        </w:rPr>
        <w:t>Is it time for Swensen to concede</w:t>
      </w:r>
      <w:r w:rsidR="00C9049C">
        <w:rPr>
          <w:rFonts w:ascii="Times New Roman" w:eastAsia="Times New Roman" w:hAnsi="Times New Roman" w:cs="Times New Roman"/>
          <w:color w:val="000000" w:themeColor="text1"/>
          <w:sz w:val="20"/>
          <w:szCs w:val="20"/>
        </w:rPr>
        <w:t xml:space="preserve"> that the computer and the dynamics of derivatives have permanently changed the game? Or is this just a passing phase</w:t>
      </w:r>
      <w:r w:rsidR="002A4575">
        <w:rPr>
          <w:rFonts w:ascii="Times New Roman" w:eastAsia="Times New Roman" w:hAnsi="Times New Roman" w:cs="Times New Roman"/>
          <w:color w:val="000000" w:themeColor="text1"/>
          <w:sz w:val="20"/>
          <w:szCs w:val="20"/>
        </w:rPr>
        <w:t xml:space="preserve"> that will not achieve longstanding results</w:t>
      </w:r>
      <w:r w:rsidR="00C9049C">
        <w:rPr>
          <w:rFonts w:ascii="Times New Roman" w:eastAsia="Times New Roman" w:hAnsi="Times New Roman" w:cs="Times New Roman"/>
          <w:color w:val="000000" w:themeColor="text1"/>
          <w:sz w:val="20"/>
          <w:szCs w:val="20"/>
        </w:rPr>
        <w:t>? How can we assess the adherence to the investment philosophy when the management is essentially automated?</w:t>
      </w:r>
      <w:r w:rsidR="00A45837">
        <w:rPr>
          <w:rFonts w:ascii="Times New Roman" w:eastAsia="Times New Roman" w:hAnsi="Times New Roman" w:cs="Times New Roman"/>
          <w:color w:val="000000" w:themeColor="text1"/>
          <w:sz w:val="20"/>
          <w:szCs w:val="20"/>
        </w:rPr>
        <w:t xml:space="preserve"> Is it possible for a human to be more disciplined than a computer? Will great investment professionals like Swensen and </w:t>
      </w:r>
      <w:r w:rsidR="0074668E">
        <w:rPr>
          <w:rFonts w:ascii="Times New Roman" w:eastAsia="Times New Roman" w:hAnsi="Times New Roman" w:cs="Times New Roman"/>
          <w:color w:val="000000" w:themeColor="text1"/>
          <w:sz w:val="20"/>
          <w:szCs w:val="20"/>
        </w:rPr>
        <w:t>others like</w:t>
      </w:r>
      <w:r w:rsidR="00A45837">
        <w:rPr>
          <w:rFonts w:ascii="Times New Roman" w:eastAsia="Times New Roman" w:hAnsi="Times New Roman" w:cs="Times New Roman"/>
          <w:color w:val="000000" w:themeColor="text1"/>
          <w:sz w:val="20"/>
          <w:szCs w:val="20"/>
        </w:rPr>
        <w:t xml:space="preserve"> </w:t>
      </w:r>
      <w:r w:rsidR="002E5378">
        <w:rPr>
          <w:rFonts w:ascii="Times New Roman" w:eastAsia="Times New Roman" w:hAnsi="Times New Roman" w:cs="Times New Roman"/>
          <w:color w:val="000000" w:themeColor="text1"/>
          <w:sz w:val="20"/>
          <w:szCs w:val="20"/>
        </w:rPr>
        <w:t>world chess champions</w:t>
      </w:r>
      <w:r w:rsidR="00A45837">
        <w:rPr>
          <w:rFonts w:ascii="Times New Roman" w:eastAsia="Times New Roman" w:hAnsi="Times New Roman" w:cs="Times New Roman"/>
          <w:color w:val="000000" w:themeColor="text1"/>
          <w:sz w:val="20"/>
          <w:szCs w:val="20"/>
        </w:rPr>
        <w:t xml:space="preserve">, </w:t>
      </w:r>
      <w:r w:rsidR="002E5378">
        <w:rPr>
          <w:rFonts w:ascii="Times New Roman" w:eastAsia="Times New Roman" w:hAnsi="Times New Roman" w:cs="Times New Roman"/>
          <w:color w:val="000000" w:themeColor="text1"/>
          <w:sz w:val="20"/>
          <w:szCs w:val="20"/>
        </w:rPr>
        <w:t>be</w:t>
      </w:r>
      <w:r w:rsidR="00A45837">
        <w:rPr>
          <w:rFonts w:ascii="Times New Roman" w:eastAsia="Times New Roman" w:hAnsi="Times New Roman" w:cs="Times New Roman"/>
          <w:color w:val="000000" w:themeColor="text1"/>
          <w:sz w:val="20"/>
          <w:szCs w:val="20"/>
        </w:rPr>
        <w:t xml:space="preserve"> outperformed by automation? </w:t>
      </w:r>
    </w:p>
    <w:p w:rsidR="00A45837" w:rsidRDefault="00A45837" w:rsidP="00A45837">
      <w:pPr>
        <w:pStyle w:val="NoSpacing"/>
        <w:rPr>
          <w:rFonts w:ascii="Times New Roman" w:eastAsia="Times New Roman" w:hAnsi="Times New Roman" w:cs="Times New Roman"/>
          <w:color w:val="000000" w:themeColor="text1"/>
          <w:sz w:val="20"/>
          <w:szCs w:val="20"/>
        </w:rPr>
      </w:pPr>
    </w:p>
    <w:p w:rsidR="00A45837" w:rsidRDefault="00A45837" w:rsidP="00A45837">
      <w:pPr>
        <w:pStyle w:val="NoSpacing"/>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Summarized Investment Philosophy</w:t>
      </w:r>
    </w:p>
    <w:p w:rsidR="002E5378" w:rsidRDefault="002E5378" w:rsidP="00A45837">
      <w:pPr>
        <w:pStyle w:val="NoSpacing"/>
        <w:rPr>
          <w:rFonts w:ascii="Times New Roman" w:hAnsi="Times New Roman" w:cs="Times New Roman"/>
          <w:b/>
          <w:color w:val="000000" w:themeColor="text1"/>
          <w:sz w:val="28"/>
          <w:szCs w:val="28"/>
          <w:u w:val="single"/>
        </w:rPr>
      </w:pPr>
    </w:p>
    <w:p w:rsidR="002E5378" w:rsidRPr="002E5378" w:rsidRDefault="002E5378" w:rsidP="00A45837">
      <w:pPr>
        <w:pStyle w:val="NoSpacing"/>
        <w:rPr>
          <w:rFonts w:ascii="Times New Roman" w:eastAsia="Times New Roman" w:hAnsi="Times New Roman" w:cs="Times New Roman"/>
          <w:color w:val="000000" w:themeColor="text1"/>
        </w:rPr>
      </w:pPr>
      <w:r>
        <w:rPr>
          <w:rFonts w:ascii="Times New Roman" w:hAnsi="Times New Roman" w:cs="Times New Roman"/>
          <w:color w:val="000000" w:themeColor="text1"/>
          <w:sz w:val="28"/>
          <w:szCs w:val="28"/>
        </w:rPr>
        <w:tab/>
      </w:r>
      <w:r>
        <w:rPr>
          <w:rFonts w:ascii="Times New Roman" w:hAnsi="Times New Roman" w:cs="Times New Roman"/>
          <w:color w:val="000000" w:themeColor="text1"/>
        </w:rPr>
        <w:t>The following represents a summarized version of a much larger and more complex investment philosophy:</w:t>
      </w:r>
    </w:p>
    <w:p w:rsidR="00A45837" w:rsidRDefault="00A45837" w:rsidP="00A45837">
      <w:pPr>
        <w:pStyle w:val="NoSpacing"/>
        <w:rPr>
          <w:rFonts w:ascii="Times New Roman" w:eastAsia="Times New Roman" w:hAnsi="Times New Roman" w:cs="Times New Roman"/>
          <w:color w:val="000000" w:themeColor="text1"/>
          <w:sz w:val="20"/>
          <w:szCs w:val="20"/>
        </w:rPr>
      </w:pPr>
    </w:p>
    <w:p w:rsidR="00AF501E" w:rsidRDefault="00A45837" w:rsidP="00A45837">
      <w:pPr>
        <w:pStyle w:val="NoSpacing"/>
        <w:numPr>
          <w:ilvl w:val="0"/>
          <w:numId w:val="2"/>
        </w:numPr>
        <w:rPr>
          <w:rFonts w:ascii="Times New Roman" w:eastAsia="Times New Roman" w:hAnsi="Times New Roman" w:cs="Times New Roman"/>
          <w:color w:val="000000" w:themeColor="text1"/>
          <w:sz w:val="20"/>
          <w:szCs w:val="20"/>
        </w:rPr>
      </w:pPr>
      <w:r w:rsidRPr="00A45837">
        <w:rPr>
          <w:rFonts w:ascii="Times New Roman" w:eastAsia="Times New Roman" w:hAnsi="Times New Roman" w:cs="Times New Roman"/>
          <w:color w:val="000000" w:themeColor="text1"/>
          <w:sz w:val="20"/>
          <w:szCs w:val="20"/>
        </w:rPr>
        <w:t xml:space="preserve">Global Long/Short Equity Fund invests at least 80% of its total assets in equity instruments and related derivative instruments in developed markets. The Fund may invest in securities of issuers of any market capitalization and in securities denominated in either U.S. or foreign currencies. The Fund pursues its investment objective in both long and short positions in developed market equity instruments. The Fund maintains long and short positions primarily using swap agreements and other derivative instruments, such as futures. The use of both long and short positions better enables the Fund to produce returns that have low correlation to the market. </w:t>
      </w:r>
    </w:p>
    <w:p w:rsidR="00A45837" w:rsidRPr="00A45837" w:rsidRDefault="00A45837" w:rsidP="00A45837">
      <w:pPr>
        <w:pStyle w:val="NoSpacing"/>
        <w:ind w:left="720"/>
        <w:rPr>
          <w:rFonts w:ascii="Times New Roman" w:eastAsia="Times New Roman" w:hAnsi="Times New Roman" w:cs="Times New Roman"/>
          <w:color w:val="000000" w:themeColor="text1"/>
          <w:sz w:val="20"/>
          <w:szCs w:val="20"/>
        </w:rPr>
      </w:pPr>
    </w:p>
    <w:p w:rsidR="00AF501E" w:rsidRDefault="00A45837" w:rsidP="00A45837">
      <w:pPr>
        <w:pStyle w:val="NoSpacing"/>
        <w:numPr>
          <w:ilvl w:val="0"/>
          <w:numId w:val="2"/>
        </w:numPr>
        <w:rPr>
          <w:rFonts w:ascii="Times New Roman" w:eastAsia="Times New Roman" w:hAnsi="Times New Roman" w:cs="Times New Roman"/>
          <w:color w:val="000000" w:themeColor="text1"/>
          <w:sz w:val="20"/>
          <w:szCs w:val="20"/>
        </w:rPr>
      </w:pPr>
      <w:r w:rsidRPr="00A45837">
        <w:rPr>
          <w:rFonts w:ascii="Times New Roman" w:eastAsia="Times New Roman" w:hAnsi="Times New Roman" w:cs="Times New Roman"/>
          <w:color w:val="000000" w:themeColor="text1"/>
          <w:sz w:val="20"/>
          <w:szCs w:val="20"/>
        </w:rPr>
        <w:t xml:space="preserve">The Fund looks to identify overvalued, undervalued or mispriced stocks and other equity instruments through proprietary techniques. Under normal circumstances, the Fund anticipates it will allocate approximately 40% of its assets in securities of (i) foreign government issuers, (ii) issuers organized or located outside the US, (iii) issuers whose securities primarily trade in a market located outside the US, or (iv) issuers doing a substantial amount of business outside the US, which the Fund considers to be companies that derive 50% of its revenue or profits from business outside the United States or have 50% of its sales or assets outside the United States. </w:t>
      </w:r>
    </w:p>
    <w:p w:rsidR="00A45837" w:rsidRPr="00A45837" w:rsidRDefault="00A45837" w:rsidP="00A45837">
      <w:pPr>
        <w:pStyle w:val="NoSpacing"/>
        <w:rPr>
          <w:rFonts w:ascii="Times New Roman" w:eastAsia="Times New Roman" w:hAnsi="Times New Roman" w:cs="Times New Roman"/>
          <w:color w:val="000000" w:themeColor="text1"/>
          <w:sz w:val="20"/>
          <w:szCs w:val="20"/>
        </w:rPr>
      </w:pPr>
    </w:p>
    <w:p w:rsidR="00AF501E" w:rsidRPr="00A45837" w:rsidRDefault="00A45837" w:rsidP="00A45837">
      <w:pPr>
        <w:pStyle w:val="NoSpacing"/>
        <w:numPr>
          <w:ilvl w:val="0"/>
          <w:numId w:val="2"/>
        </w:numPr>
        <w:rPr>
          <w:rFonts w:ascii="Times New Roman" w:eastAsia="Times New Roman" w:hAnsi="Times New Roman" w:cs="Times New Roman"/>
          <w:color w:val="000000" w:themeColor="text1"/>
          <w:sz w:val="20"/>
          <w:szCs w:val="20"/>
        </w:rPr>
      </w:pPr>
      <w:r w:rsidRPr="00A45837">
        <w:rPr>
          <w:rFonts w:ascii="Times New Roman" w:eastAsia="Times New Roman" w:hAnsi="Times New Roman" w:cs="Times New Roman"/>
          <w:color w:val="000000" w:themeColor="text1"/>
          <w:sz w:val="20"/>
          <w:szCs w:val="20"/>
        </w:rPr>
        <w:t xml:space="preserve">The Fund will allocate its assets among various regions and countries. Equity instruments consist of: common stock, depositary Receipts, derivative securities, or instruments such as futures, options, contracts for difference, forward contracts and swaps. </w:t>
      </w:r>
    </w:p>
    <w:p w:rsidR="002A4575" w:rsidRDefault="002A4575" w:rsidP="0074668E">
      <w:pPr>
        <w:pStyle w:val="NoSpacing"/>
        <w:rPr>
          <w:rFonts w:ascii="Times New Roman" w:eastAsia="Times New Roman" w:hAnsi="Times New Roman" w:cs="Times New Roman"/>
          <w:b/>
          <w:color w:val="000000" w:themeColor="text1"/>
          <w:sz w:val="28"/>
          <w:szCs w:val="28"/>
          <w:u w:val="single"/>
        </w:rPr>
      </w:pPr>
    </w:p>
    <w:p w:rsidR="0074668E" w:rsidRPr="0074668E" w:rsidRDefault="0074668E" w:rsidP="0074668E">
      <w:pPr>
        <w:pStyle w:val="NoSpacing"/>
        <w:rPr>
          <w:rFonts w:ascii="Times New Roman" w:eastAsia="Times New Roman" w:hAnsi="Times New Roman" w:cs="Times New Roman"/>
          <w:b/>
          <w:color w:val="000000" w:themeColor="text1"/>
          <w:sz w:val="28"/>
          <w:szCs w:val="28"/>
          <w:u w:val="single"/>
        </w:rPr>
      </w:pPr>
      <w:r w:rsidRPr="0074668E">
        <w:rPr>
          <w:rFonts w:ascii="Times New Roman" w:eastAsia="Times New Roman" w:hAnsi="Times New Roman" w:cs="Times New Roman"/>
          <w:b/>
          <w:color w:val="000000" w:themeColor="text1"/>
          <w:sz w:val="28"/>
          <w:szCs w:val="28"/>
          <w:u w:val="single"/>
        </w:rPr>
        <w:lastRenderedPageBreak/>
        <w:t xml:space="preserve">Asset Allocation </w:t>
      </w:r>
    </w:p>
    <w:p w:rsidR="00472368" w:rsidRDefault="00472368" w:rsidP="0082382F">
      <w:pPr>
        <w:pStyle w:val="NoSpacing"/>
        <w:ind w:firstLine="720"/>
        <w:rPr>
          <w:rFonts w:ascii="Times New Roman" w:eastAsia="Times New Roman" w:hAnsi="Times New Roman" w:cs="Times New Roman"/>
          <w:color w:val="000000" w:themeColor="text1"/>
          <w:sz w:val="20"/>
          <w:szCs w:val="20"/>
        </w:rPr>
      </w:pPr>
    </w:p>
    <w:p w:rsidR="00472368" w:rsidRDefault="003416AF" w:rsidP="0082382F">
      <w:pPr>
        <w:pStyle w:val="NoSpacing"/>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Target</w:t>
      </w:r>
      <w:r w:rsidR="00472368">
        <w:rPr>
          <w:rFonts w:ascii="Times New Roman" w:eastAsia="Times New Roman" w:hAnsi="Times New Roman" w:cs="Times New Roman"/>
          <w:color w:val="000000" w:themeColor="text1"/>
          <w:sz w:val="20"/>
          <w:szCs w:val="20"/>
        </w:rPr>
        <w:t xml:space="preserve"> asset allocation</w:t>
      </w:r>
      <w:r>
        <w:rPr>
          <w:rFonts w:ascii="Times New Roman" w:eastAsia="Times New Roman" w:hAnsi="Times New Roman" w:cs="Times New Roman"/>
          <w:color w:val="000000" w:themeColor="text1"/>
          <w:sz w:val="20"/>
          <w:szCs w:val="20"/>
        </w:rPr>
        <w:t>s</w:t>
      </w:r>
      <w:r w:rsidR="00472368">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are not officially released for public </w:t>
      </w:r>
      <w:r w:rsidR="00CA5C21">
        <w:rPr>
          <w:rFonts w:ascii="Times New Roman" w:eastAsia="Times New Roman" w:hAnsi="Times New Roman" w:cs="Times New Roman"/>
          <w:color w:val="000000" w:themeColor="text1"/>
          <w:sz w:val="20"/>
          <w:szCs w:val="20"/>
        </w:rPr>
        <w:t>dissemination;</w:t>
      </w:r>
      <w:r>
        <w:rPr>
          <w:rFonts w:ascii="Times New Roman" w:eastAsia="Times New Roman" w:hAnsi="Times New Roman" w:cs="Times New Roman"/>
          <w:color w:val="000000" w:themeColor="text1"/>
          <w:sz w:val="20"/>
          <w:szCs w:val="20"/>
        </w:rPr>
        <w:t xml:space="preserve"> however</w:t>
      </w:r>
      <w:r w:rsidR="00CE52D1">
        <w:rPr>
          <w:rFonts w:ascii="Times New Roman" w:eastAsia="Times New Roman" w:hAnsi="Times New Roman" w:cs="Times New Roman"/>
          <w:color w:val="000000" w:themeColor="text1"/>
          <w:sz w:val="20"/>
          <w:szCs w:val="20"/>
        </w:rPr>
        <w:t>,</w:t>
      </w:r>
      <w:r>
        <w:rPr>
          <w:rFonts w:ascii="Times New Roman" w:eastAsia="Times New Roman" w:hAnsi="Times New Roman" w:cs="Times New Roman"/>
          <w:color w:val="000000" w:themeColor="text1"/>
          <w:sz w:val="20"/>
          <w:szCs w:val="20"/>
        </w:rPr>
        <w:t xml:space="preserve"> the following allocations are based on current positions according to most recent informational disclosures through Bloomberg and the BlackRock’s website. </w:t>
      </w:r>
    </w:p>
    <w:p w:rsidR="0014608E" w:rsidRDefault="00472368" w:rsidP="0082382F">
      <w:pPr>
        <w:pStyle w:val="NoSpacing"/>
        <w:ind w:firstLine="720"/>
        <w:rPr>
          <w:rFonts w:ascii="Times New Roman" w:eastAsia="Times New Roman" w:hAnsi="Times New Roman" w:cs="Times New Roman"/>
          <w:color w:val="000000" w:themeColor="text1"/>
          <w:sz w:val="20"/>
          <w:szCs w:val="20"/>
        </w:rPr>
      </w:pPr>
      <w:r w:rsidRPr="00D15E51">
        <w:rPr>
          <w:rFonts w:ascii="Times New Roman" w:eastAsia="Times New Roman" w:hAnsi="Times New Roman" w:cs="Times New Roman"/>
          <w:noProof/>
          <w:color w:val="000000" w:themeColor="text1"/>
          <w:sz w:val="20"/>
          <w:szCs w:val="20"/>
        </w:rPr>
        <w:drawing>
          <wp:anchor distT="0" distB="0" distL="114300" distR="114300" simplePos="0" relativeHeight="251671552" behindDoc="0" locked="0" layoutInCell="1" allowOverlap="1">
            <wp:simplePos x="0" y="0"/>
            <wp:positionH relativeFrom="margin">
              <wp:align>left</wp:align>
            </wp:positionH>
            <wp:positionV relativeFrom="paragraph">
              <wp:posOffset>2297618</wp:posOffset>
            </wp:positionV>
            <wp:extent cx="3720465" cy="2843530"/>
            <wp:effectExtent l="0" t="0" r="13335" b="13970"/>
            <wp:wrapSquare wrapText="bothSides"/>
            <wp:docPr id="33" name="Chart 33">
              <a:extLst xmlns:a="http://schemas.openxmlformats.org/drawingml/2006/main">
                <a:ext uri="{FF2B5EF4-FFF2-40B4-BE49-F238E27FC236}">
                  <a16:creationId xmlns:a16="http://schemas.microsoft.com/office/drawing/2014/main" id="{AE0E2BD6-ABAE-4F3B-A882-A1F723B23C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385533" w:rsidRPr="000E29DC">
        <w:rPr>
          <w:rFonts w:ascii="Times New Roman" w:hAnsi="Times New Roman" w:cs="Times New Roman"/>
          <w:b/>
          <w:noProof/>
          <w:sz w:val="20"/>
          <w:szCs w:val="20"/>
          <w:u w:val="single"/>
        </w:rPr>
        <w:drawing>
          <wp:anchor distT="0" distB="0" distL="114300" distR="114300" simplePos="0" relativeHeight="251670528" behindDoc="0" locked="0" layoutInCell="1" allowOverlap="1">
            <wp:simplePos x="0" y="0"/>
            <wp:positionH relativeFrom="margin">
              <wp:align>right</wp:align>
            </wp:positionH>
            <wp:positionV relativeFrom="paragraph">
              <wp:posOffset>151765</wp:posOffset>
            </wp:positionV>
            <wp:extent cx="3905885" cy="2334260"/>
            <wp:effectExtent l="0" t="0" r="18415" b="8890"/>
            <wp:wrapSquare wrapText="bothSides"/>
            <wp:docPr id="32" name="Chart 32">
              <a:extLst xmlns:a="http://schemas.openxmlformats.org/drawingml/2006/main">
                <a:ext uri="{FF2B5EF4-FFF2-40B4-BE49-F238E27FC236}">
                  <a16:creationId xmlns:a16="http://schemas.microsoft.com/office/drawing/2014/main" id="{9F9DE4FF-0F7F-40D6-BF3A-6DA766F0DA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80" w:tblpY="10"/>
        <w:tblW w:w="4590" w:type="dxa"/>
        <w:tblCellMar>
          <w:left w:w="0" w:type="dxa"/>
          <w:right w:w="0" w:type="dxa"/>
        </w:tblCellMar>
        <w:tblLook w:val="0600" w:firstRow="0" w:lastRow="0" w:firstColumn="0" w:lastColumn="0" w:noHBand="1" w:noVBand="1"/>
      </w:tblPr>
      <w:tblGrid>
        <w:gridCol w:w="2160"/>
        <w:gridCol w:w="900"/>
        <w:gridCol w:w="810"/>
        <w:gridCol w:w="720"/>
      </w:tblGrid>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SECTOR BREAKDOWN (%)</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Long</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 xml:space="preserve">Short </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Net</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Industrials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22.9</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-23.8</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-0.9</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Consumer Discretionary</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25.5</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-19.5</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6</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Information Technology</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20.5</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-14.4</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6.1</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Materials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14.5</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-13.4</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1.1</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Health Care</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8.4</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-12.7</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-4.3</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Consumer Staples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9.9</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-9.7</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0.2</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Real Estate</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8.9</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-7.6</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1.3</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Utilities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4.9</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-7.2</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-2.3</w:t>
            </w:r>
          </w:p>
        </w:tc>
      </w:tr>
      <w:tr w:rsidR="00D15E51" w:rsidRPr="0014608E" w:rsidTr="00D15E51">
        <w:trPr>
          <w:trHeight w:val="226"/>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Communication</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3.9</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-6.1</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-2.2</w:t>
            </w:r>
          </w:p>
        </w:tc>
      </w:tr>
      <w:tr w:rsidR="00D15E51" w:rsidRPr="0014608E" w:rsidTr="00D15E51">
        <w:trPr>
          <w:trHeight w:val="237"/>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Energy</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3.5</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-4.3</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-0.8</w:t>
            </w:r>
          </w:p>
        </w:tc>
      </w:tr>
      <w:tr w:rsidR="00D15E51" w:rsidRPr="0014608E" w:rsidTr="00D15E51">
        <w:trPr>
          <w:trHeight w:val="237"/>
        </w:trPr>
        <w:tc>
          <w:tcPr>
            <w:tcW w:w="216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Cash or Other Derivatives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0</w:t>
            </w:r>
          </w:p>
        </w:tc>
        <w:tc>
          <w:tcPr>
            <w:tcW w:w="81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-2.1</w:t>
            </w:r>
          </w:p>
        </w:tc>
        <w:tc>
          <w:tcPr>
            <w:tcW w:w="72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14608E" w:rsidRPr="0014608E" w:rsidRDefault="0014608E" w:rsidP="00D15E51">
            <w:pPr>
              <w:spacing w:after="0" w:line="240" w:lineRule="auto"/>
              <w:jc w:val="center"/>
              <w:textAlignment w:val="bottom"/>
              <w:rPr>
                <w:rFonts w:ascii="Arial" w:eastAsia="Times New Roman" w:hAnsi="Arial" w:cs="Arial"/>
                <w:b/>
                <w:sz w:val="16"/>
                <w:szCs w:val="16"/>
              </w:rPr>
            </w:pPr>
            <w:r w:rsidRPr="0014608E">
              <w:rPr>
                <w:rFonts w:ascii="Calisto MT" w:eastAsia="Times New Roman" w:hAnsi="Calisto MT" w:cs="Arial"/>
                <w:b/>
                <w:color w:val="000000" w:themeColor="dark1"/>
                <w:kern w:val="24"/>
                <w:sz w:val="16"/>
                <w:szCs w:val="16"/>
              </w:rPr>
              <w:t>-2.1</w:t>
            </w:r>
          </w:p>
        </w:tc>
      </w:tr>
    </w:tbl>
    <w:p w:rsidR="0014608E" w:rsidRDefault="0014608E" w:rsidP="00D15E51">
      <w:pPr>
        <w:pStyle w:val="NoSpacing"/>
        <w:rPr>
          <w:rFonts w:ascii="Times New Roman" w:eastAsia="Times New Roman" w:hAnsi="Times New Roman" w:cs="Times New Roman"/>
          <w:color w:val="000000" w:themeColor="text1"/>
          <w:sz w:val="20"/>
          <w:szCs w:val="20"/>
        </w:rPr>
      </w:pPr>
    </w:p>
    <w:tbl>
      <w:tblPr>
        <w:tblW w:w="4580" w:type="dxa"/>
        <w:tblCellMar>
          <w:left w:w="0" w:type="dxa"/>
          <w:right w:w="0" w:type="dxa"/>
        </w:tblCellMar>
        <w:tblLook w:val="0600" w:firstRow="0" w:lastRow="0" w:firstColumn="0" w:lastColumn="0" w:noHBand="1" w:noVBand="1"/>
      </w:tblPr>
      <w:tblGrid>
        <w:gridCol w:w="1880"/>
        <w:gridCol w:w="900"/>
        <w:gridCol w:w="900"/>
        <w:gridCol w:w="900"/>
      </w:tblGrid>
      <w:tr w:rsidR="00D15E51" w:rsidRPr="00D15E51" w:rsidTr="00D15E51">
        <w:trPr>
          <w:trHeight w:val="315"/>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TOP COUNTRIES (%)</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 xml:space="preserve">Long </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 xml:space="preserve">Short </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Net</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United States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73.7</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-82.5</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-8.8</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Cash or Other Derivatives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16.8</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-17.2</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-0.4</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United Kingdom</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10</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-11</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Japan</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11.4</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-8.2</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3.2</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Germany</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14.4</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-4.7</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9.7</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France</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6.8</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-10.6</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-3.8</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Netherlands</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9.6</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-1.7</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7.9</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Australia</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4.4</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-3.9</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0.5</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Canada</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2.9</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-1.9</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w:t>
            </w:r>
          </w:p>
        </w:tc>
      </w:tr>
      <w:tr w:rsidR="00D15E51" w:rsidRPr="00D15E51" w:rsidTr="00D15E51">
        <w:trPr>
          <w:trHeight w:val="300"/>
        </w:trPr>
        <w:tc>
          <w:tcPr>
            <w:tcW w:w="188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Sweden</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1.8</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-3</w:t>
            </w:r>
          </w:p>
        </w:tc>
        <w:tc>
          <w:tcPr>
            <w:tcW w:w="900" w:type="dxa"/>
            <w:tcBorders>
              <w:top w:val="single" w:sz="8" w:space="0" w:color="FFFFFF"/>
              <w:left w:val="single" w:sz="8" w:space="0" w:color="FFFFFF"/>
              <w:bottom w:val="single" w:sz="8" w:space="0" w:color="FFFFFF"/>
              <w:right w:val="single" w:sz="8" w:space="0" w:color="FFFFFF"/>
            </w:tcBorders>
            <w:shd w:val="clear" w:color="auto" w:fill="00B0F0"/>
            <w:tcMar>
              <w:top w:w="15" w:type="dxa"/>
              <w:left w:w="15" w:type="dxa"/>
              <w:bottom w:w="0" w:type="dxa"/>
              <w:right w:w="15" w:type="dxa"/>
            </w:tcMar>
            <w:vAlign w:val="bottom"/>
            <w:hideMark/>
          </w:tcPr>
          <w:p w:rsidR="00D15E51" w:rsidRPr="00D15E51" w:rsidRDefault="00D15E51" w:rsidP="00D15E51">
            <w:pPr>
              <w:spacing w:after="0" w:line="240" w:lineRule="auto"/>
              <w:jc w:val="center"/>
              <w:textAlignment w:val="bottom"/>
              <w:rPr>
                <w:rFonts w:ascii="Arial" w:eastAsia="Times New Roman" w:hAnsi="Arial" w:cs="Arial"/>
                <w:b/>
                <w:sz w:val="16"/>
                <w:szCs w:val="16"/>
              </w:rPr>
            </w:pPr>
            <w:r w:rsidRPr="00D15E51">
              <w:rPr>
                <w:rFonts w:ascii="Calisto MT" w:eastAsia="Times New Roman" w:hAnsi="Calisto MT" w:cs="Arial"/>
                <w:b/>
                <w:color w:val="000000" w:themeColor="dark1"/>
                <w:kern w:val="24"/>
                <w:sz w:val="16"/>
                <w:szCs w:val="16"/>
              </w:rPr>
              <w:t>-1.2</w:t>
            </w:r>
          </w:p>
        </w:tc>
      </w:tr>
    </w:tbl>
    <w:p w:rsidR="0014608E" w:rsidRDefault="00472368" w:rsidP="0082382F">
      <w:pPr>
        <w:pStyle w:val="NoSpacing"/>
        <w:ind w:firstLine="720"/>
        <w:rPr>
          <w:rFonts w:ascii="Times New Roman" w:eastAsia="Times New Roman" w:hAnsi="Times New Roman" w:cs="Times New Roman"/>
          <w:color w:val="000000" w:themeColor="text1"/>
          <w:sz w:val="20"/>
          <w:szCs w:val="20"/>
        </w:rPr>
      </w:pPr>
      <w:r w:rsidRPr="00D15E51">
        <w:rPr>
          <w:rFonts w:ascii="Times New Roman" w:eastAsia="Times New Roman" w:hAnsi="Times New Roman" w:cs="Times New Roman"/>
          <w:noProof/>
          <w:color w:val="000000" w:themeColor="text1"/>
          <w:sz w:val="20"/>
          <w:szCs w:val="20"/>
        </w:rPr>
        <w:drawing>
          <wp:anchor distT="0" distB="0" distL="114300" distR="114300" simplePos="0" relativeHeight="251672576" behindDoc="0" locked="0" layoutInCell="1" allowOverlap="1">
            <wp:simplePos x="0" y="0"/>
            <wp:positionH relativeFrom="margin">
              <wp:align>right</wp:align>
            </wp:positionH>
            <wp:positionV relativeFrom="paragraph">
              <wp:posOffset>226060</wp:posOffset>
            </wp:positionV>
            <wp:extent cx="6844030" cy="2853690"/>
            <wp:effectExtent l="0" t="0" r="13970" b="3810"/>
            <wp:wrapSquare wrapText="bothSides"/>
            <wp:docPr id="34" name="Chart 34">
              <a:extLst xmlns:a="http://schemas.openxmlformats.org/drawingml/2006/main">
                <a:ext uri="{FF2B5EF4-FFF2-40B4-BE49-F238E27FC236}">
                  <a16:creationId xmlns:a16="http://schemas.microsoft.com/office/drawing/2014/main" id="{789CB660-5D0B-4A1E-8C3C-74AC089F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rsidR="0014608E" w:rsidRDefault="0014608E" w:rsidP="0082382F">
      <w:pPr>
        <w:pStyle w:val="NoSpacing"/>
        <w:ind w:firstLine="720"/>
        <w:rPr>
          <w:rFonts w:ascii="Times New Roman" w:eastAsia="Times New Roman" w:hAnsi="Times New Roman" w:cs="Times New Roman"/>
          <w:color w:val="000000" w:themeColor="text1"/>
          <w:sz w:val="20"/>
          <w:szCs w:val="20"/>
        </w:rPr>
      </w:pPr>
    </w:p>
    <w:p w:rsidR="0014608E" w:rsidRDefault="0014608E" w:rsidP="0082382F">
      <w:pPr>
        <w:pStyle w:val="NoSpacing"/>
        <w:ind w:firstLine="720"/>
        <w:rPr>
          <w:rFonts w:ascii="Times New Roman" w:eastAsia="Times New Roman" w:hAnsi="Times New Roman" w:cs="Times New Roman"/>
          <w:color w:val="000000" w:themeColor="text1"/>
          <w:sz w:val="20"/>
          <w:szCs w:val="20"/>
        </w:rPr>
      </w:pPr>
    </w:p>
    <w:p w:rsidR="0014608E" w:rsidRPr="00D9604A" w:rsidRDefault="008B16F6" w:rsidP="008B16F6">
      <w:pPr>
        <w:pStyle w:val="NoSpacing"/>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lastRenderedPageBreak/>
        <w:tab/>
      </w:r>
      <w:r w:rsidRPr="00D9604A">
        <w:rPr>
          <w:rFonts w:ascii="Times New Roman" w:eastAsia="Times New Roman" w:hAnsi="Times New Roman" w:cs="Times New Roman"/>
          <w:color w:val="000000" w:themeColor="text1"/>
          <w:sz w:val="20"/>
          <w:szCs w:val="20"/>
        </w:rPr>
        <w:t xml:space="preserve">Assessing the overall asset allocation strategy most recently employed, the Fund is heavily diversified in nearly all sectors of the domestic economy while maintaining a significant global presence. The </w:t>
      </w:r>
      <w:r w:rsidR="00D9604A" w:rsidRPr="00D9604A">
        <w:rPr>
          <w:rFonts w:ascii="Times New Roman" w:eastAsia="Times New Roman" w:hAnsi="Times New Roman" w:cs="Times New Roman"/>
          <w:color w:val="000000" w:themeColor="text1"/>
          <w:sz w:val="20"/>
          <w:szCs w:val="20"/>
        </w:rPr>
        <w:t>allocation strategy is</w:t>
      </w:r>
      <w:r w:rsidRPr="00D9604A">
        <w:rPr>
          <w:rFonts w:ascii="Times New Roman" w:eastAsia="Times New Roman" w:hAnsi="Times New Roman" w:cs="Times New Roman"/>
          <w:color w:val="000000" w:themeColor="text1"/>
          <w:sz w:val="20"/>
          <w:szCs w:val="20"/>
        </w:rPr>
        <w:t xml:space="preserve"> in favor of assuming both long and short positions with a </w:t>
      </w:r>
      <w:r w:rsidR="00D9604A" w:rsidRPr="00D9604A">
        <w:rPr>
          <w:rFonts w:ascii="Times New Roman" w:eastAsia="Times New Roman" w:hAnsi="Times New Roman" w:cs="Times New Roman"/>
          <w:color w:val="000000" w:themeColor="text1"/>
          <w:sz w:val="20"/>
          <w:szCs w:val="20"/>
        </w:rPr>
        <w:t xml:space="preserve">net </w:t>
      </w:r>
      <w:r w:rsidRPr="00D9604A">
        <w:rPr>
          <w:rFonts w:ascii="Times New Roman" w:eastAsia="Times New Roman" w:hAnsi="Times New Roman" w:cs="Times New Roman"/>
          <w:color w:val="000000" w:themeColor="text1"/>
          <w:sz w:val="20"/>
          <w:szCs w:val="20"/>
        </w:rPr>
        <w:t xml:space="preserve">bias towards BlackRock’s global forecast. The sophistication of maintaining such global positioning cannot be achieved without a high degree of automation and systematic financial modeling. The level of detail required is well beyond the qualifications of the four-man management team currently employed to carry out the Fund’s objectives. For this reason, </w:t>
      </w:r>
      <w:r w:rsidR="007B4536" w:rsidRPr="00D9604A">
        <w:rPr>
          <w:rFonts w:ascii="Times New Roman" w:eastAsia="Times New Roman" w:hAnsi="Times New Roman" w:cs="Times New Roman"/>
          <w:color w:val="000000" w:themeColor="text1"/>
          <w:sz w:val="20"/>
          <w:szCs w:val="20"/>
        </w:rPr>
        <w:t>the</w:t>
      </w:r>
      <w:r w:rsidRPr="00D9604A">
        <w:rPr>
          <w:rFonts w:ascii="Times New Roman" w:eastAsia="Times New Roman" w:hAnsi="Times New Roman" w:cs="Times New Roman"/>
          <w:color w:val="000000" w:themeColor="text1"/>
          <w:sz w:val="20"/>
          <w:szCs w:val="20"/>
        </w:rPr>
        <w:t xml:space="preserve"> Fund utilizes a combination of backside support from its parent firm, BlackRock, with a sizeable automated aspect </w:t>
      </w:r>
      <w:r w:rsidR="007B4536" w:rsidRPr="00D9604A">
        <w:rPr>
          <w:rFonts w:ascii="Times New Roman" w:eastAsia="Times New Roman" w:hAnsi="Times New Roman" w:cs="Times New Roman"/>
          <w:color w:val="000000" w:themeColor="text1"/>
          <w:sz w:val="20"/>
          <w:szCs w:val="20"/>
        </w:rPr>
        <w:t xml:space="preserve">to manage its </w:t>
      </w:r>
      <w:r w:rsidRPr="00D9604A">
        <w:rPr>
          <w:rFonts w:ascii="Times New Roman" w:eastAsia="Times New Roman" w:hAnsi="Times New Roman" w:cs="Times New Roman"/>
          <w:color w:val="000000" w:themeColor="text1"/>
          <w:sz w:val="20"/>
          <w:szCs w:val="20"/>
        </w:rPr>
        <w:t xml:space="preserve">operation. </w:t>
      </w:r>
    </w:p>
    <w:p w:rsidR="0014608E" w:rsidRPr="00D9604A" w:rsidRDefault="0014608E" w:rsidP="007B4536">
      <w:pPr>
        <w:pStyle w:val="NoSpacing"/>
        <w:rPr>
          <w:rFonts w:ascii="Times New Roman" w:eastAsia="Times New Roman" w:hAnsi="Times New Roman" w:cs="Times New Roman"/>
          <w:color w:val="000000" w:themeColor="text1"/>
        </w:rPr>
      </w:pPr>
    </w:p>
    <w:p w:rsidR="007B4536" w:rsidRDefault="007B4536" w:rsidP="007B4536">
      <w:pPr>
        <w:pStyle w:val="NoSpacing"/>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t xml:space="preserve">Asset Class </w:t>
      </w:r>
      <w:r w:rsidRPr="007B4536">
        <w:rPr>
          <w:rFonts w:ascii="Times New Roman" w:eastAsia="Times New Roman" w:hAnsi="Times New Roman" w:cs="Times New Roman"/>
          <w:b/>
          <w:color w:val="000000" w:themeColor="text1"/>
          <w:sz w:val="28"/>
          <w:szCs w:val="28"/>
          <w:u w:val="single"/>
        </w:rPr>
        <w:t>Management</w:t>
      </w:r>
    </w:p>
    <w:p w:rsidR="007B4536" w:rsidRDefault="007B4536" w:rsidP="007B4536">
      <w:pPr>
        <w:pStyle w:val="NoSpacing"/>
        <w:rPr>
          <w:rFonts w:ascii="Times New Roman" w:eastAsia="Times New Roman" w:hAnsi="Times New Roman" w:cs="Times New Roman"/>
          <w:b/>
          <w:color w:val="000000" w:themeColor="text1"/>
          <w:sz w:val="28"/>
          <w:szCs w:val="28"/>
          <w:u w:val="single"/>
        </w:rPr>
      </w:pPr>
    </w:p>
    <w:p w:rsidR="007B4536" w:rsidRPr="00D9604A" w:rsidRDefault="007B4536" w:rsidP="007B4536">
      <w:pPr>
        <w:pStyle w:val="NoSpacing"/>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8"/>
          <w:szCs w:val="28"/>
        </w:rPr>
        <w:tab/>
      </w:r>
      <w:r w:rsidRPr="00D9604A">
        <w:rPr>
          <w:rFonts w:ascii="Times New Roman" w:eastAsia="Times New Roman" w:hAnsi="Times New Roman" w:cs="Times New Roman"/>
          <w:color w:val="000000" w:themeColor="text1"/>
          <w:sz w:val="20"/>
          <w:szCs w:val="20"/>
        </w:rPr>
        <w:t>The Fund is consistent in</w:t>
      </w:r>
      <w:r w:rsidR="00D9604A">
        <w:rPr>
          <w:rFonts w:ascii="Times New Roman" w:eastAsia="Times New Roman" w:hAnsi="Times New Roman" w:cs="Times New Roman"/>
          <w:color w:val="000000" w:themeColor="text1"/>
          <w:sz w:val="20"/>
          <w:szCs w:val="20"/>
        </w:rPr>
        <w:t xml:space="preserve"> its application of its prescribed investment philosophy </w:t>
      </w:r>
      <w:r w:rsidRPr="00D9604A">
        <w:rPr>
          <w:rFonts w:ascii="Times New Roman" w:eastAsia="Times New Roman" w:hAnsi="Times New Roman" w:cs="Times New Roman"/>
          <w:color w:val="000000" w:themeColor="text1"/>
          <w:sz w:val="20"/>
          <w:szCs w:val="20"/>
        </w:rPr>
        <w:t>for identifying overvalued, undervalued, or mispriced stocks and other equity instruments through its proprietary automated techniques. The Fund takes long positions in securities that BlackRock has identified as attractive</w:t>
      </w:r>
      <w:r w:rsidR="00D9604A">
        <w:rPr>
          <w:rFonts w:ascii="Times New Roman" w:eastAsia="Times New Roman" w:hAnsi="Times New Roman" w:cs="Times New Roman"/>
          <w:color w:val="000000" w:themeColor="text1"/>
          <w:sz w:val="20"/>
          <w:szCs w:val="20"/>
        </w:rPr>
        <w:t xml:space="preserve"> in both growth prospects and valuation</w:t>
      </w:r>
      <w:r w:rsidRPr="00D9604A">
        <w:rPr>
          <w:rFonts w:ascii="Times New Roman" w:eastAsia="Times New Roman" w:hAnsi="Times New Roman" w:cs="Times New Roman"/>
          <w:color w:val="000000" w:themeColor="text1"/>
          <w:sz w:val="20"/>
          <w:szCs w:val="20"/>
        </w:rPr>
        <w:t xml:space="preserve"> and short positions in such securities that BlackRock has identified as overvalued or poised for underperformance. This compliance makes a strong case that most </w:t>
      </w:r>
      <w:r w:rsidR="00D9604A">
        <w:rPr>
          <w:rFonts w:ascii="Times New Roman" w:eastAsia="Times New Roman" w:hAnsi="Times New Roman" w:cs="Times New Roman"/>
          <w:color w:val="000000" w:themeColor="text1"/>
          <w:sz w:val="20"/>
          <w:szCs w:val="20"/>
        </w:rPr>
        <w:t xml:space="preserve">of </w:t>
      </w:r>
      <w:r w:rsidRPr="00D9604A">
        <w:rPr>
          <w:rFonts w:ascii="Times New Roman" w:eastAsia="Times New Roman" w:hAnsi="Times New Roman" w:cs="Times New Roman"/>
          <w:color w:val="000000" w:themeColor="text1"/>
          <w:sz w:val="20"/>
          <w:szCs w:val="20"/>
        </w:rPr>
        <w:t>the Fund is operated with a highly-sophisticated decision modeling emphasis. Is this the managerial model that Swensen will be moving towards with his management of Yale’s Endowment Fund in the years to come? Or is this a passing phase</w:t>
      </w:r>
      <w:r w:rsidR="002A4575">
        <w:rPr>
          <w:rFonts w:ascii="Times New Roman" w:eastAsia="Times New Roman" w:hAnsi="Times New Roman" w:cs="Times New Roman"/>
          <w:color w:val="000000" w:themeColor="text1"/>
          <w:sz w:val="20"/>
          <w:szCs w:val="20"/>
        </w:rPr>
        <w:t xml:space="preserve"> that has no sustainability</w:t>
      </w:r>
      <w:r w:rsidRPr="00D9604A">
        <w:rPr>
          <w:rFonts w:ascii="Times New Roman" w:eastAsia="Times New Roman" w:hAnsi="Times New Roman" w:cs="Times New Roman"/>
          <w:color w:val="000000" w:themeColor="text1"/>
          <w:sz w:val="20"/>
          <w:szCs w:val="20"/>
        </w:rPr>
        <w:t xml:space="preserve">? </w:t>
      </w:r>
      <w:r w:rsidR="00D9604A">
        <w:rPr>
          <w:rFonts w:ascii="Times New Roman" w:eastAsia="Times New Roman" w:hAnsi="Times New Roman" w:cs="Times New Roman"/>
          <w:color w:val="000000" w:themeColor="text1"/>
          <w:sz w:val="20"/>
          <w:szCs w:val="20"/>
        </w:rPr>
        <w:t>How much can management really take credit for results when this high o</w:t>
      </w:r>
      <w:r w:rsidR="002A4575">
        <w:rPr>
          <w:rFonts w:ascii="Times New Roman" w:eastAsia="Times New Roman" w:hAnsi="Times New Roman" w:cs="Times New Roman"/>
          <w:color w:val="000000" w:themeColor="text1"/>
          <w:sz w:val="20"/>
          <w:szCs w:val="20"/>
        </w:rPr>
        <w:t>f a degree of automation exists?</w:t>
      </w:r>
      <w:r w:rsidR="00D9604A">
        <w:rPr>
          <w:rFonts w:ascii="Times New Roman" w:eastAsia="Times New Roman" w:hAnsi="Times New Roman" w:cs="Times New Roman"/>
          <w:color w:val="000000" w:themeColor="text1"/>
          <w:sz w:val="20"/>
          <w:szCs w:val="20"/>
        </w:rPr>
        <w:t xml:space="preserve"> </w:t>
      </w:r>
      <w:r w:rsidRPr="00D9604A">
        <w:rPr>
          <w:rFonts w:ascii="Times New Roman" w:eastAsia="Times New Roman" w:hAnsi="Times New Roman" w:cs="Times New Roman"/>
          <w:color w:val="000000" w:themeColor="text1"/>
          <w:sz w:val="20"/>
          <w:szCs w:val="20"/>
        </w:rPr>
        <w:t xml:space="preserve">It would be hard to argue that such a level of depth and coordination could be maintained </w:t>
      </w:r>
      <w:r w:rsidR="00654677">
        <w:rPr>
          <w:rFonts w:ascii="Times New Roman" w:eastAsia="Times New Roman" w:hAnsi="Times New Roman" w:cs="Times New Roman"/>
          <w:color w:val="000000" w:themeColor="text1"/>
          <w:sz w:val="20"/>
          <w:szCs w:val="20"/>
        </w:rPr>
        <w:t xml:space="preserve">while being active in the derivative markets </w:t>
      </w:r>
      <w:r w:rsidRPr="00D9604A">
        <w:rPr>
          <w:rFonts w:ascii="Times New Roman" w:eastAsia="Times New Roman" w:hAnsi="Times New Roman" w:cs="Times New Roman"/>
          <w:color w:val="000000" w:themeColor="text1"/>
          <w:sz w:val="20"/>
          <w:szCs w:val="20"/>
        </w:rPr>
        <w:t xml:space="preserve">without the use of </w:t>
      </w:r>
      <w:r w:rsidR="002A4575">
        <w:rPr>
          <w:rFonts w:ascii="Times New Roman" w:eastAsia="Times New Roman" w:hAnsi="Times New Roman" w:cs="Times New Roman"/>
          <w:color w:val="000000" w:themeColor="text1"/>
          <w:sz w:val="20"/>
          <w:szCs w:val="20"/>
        </w:rPr>
        <w:t xml:space="preserve">systematic </w:t>
      </w:r>
      <w:r w:rsidRPr="00D9604A">
        <w:rPr>
          <w:rFonts w:ascii="Times New Roman" w:eastAsia="Times New Roman" w:hAnsi="Times New Roman" w:cs="Times New Roman"/>
          <w:color w:val="000000" w:themeColor="text1"/>
          <w:sz w:val="20"/>
          <w:szCs w:val="20"/>
        </w:rPr>
        <w:t>automation. This may be why the Fund maintains such a disciplined approach. Perhaps it is not humanly managed to a large degree and thus adheres more closely to its investment philosophy than even Swensen’s team could maintain.</w:t>
      </w:r>
    </w:p>
    <w:p w:rsidR="00E036D1" w:rsidRDefault="00654677" w:rsidP="007B4536">
      <w:pPr>
        <w:pStyle w:val="NoSpacing"/>
        <w:rPr>
          <w:rFonts w:ascii="Times New Roman" w:eastAsia="Times New Roman" w:hAnsi="Times New Roman" w:cs="Times New Roman"/>
          <w:color w:val="000000" w:themeColor="text1"/>
        </w:rPr>
      </w:pPr>
      <w:r w:rsidRPr="00E036D1">
        <w:rPr>
          <w:rFonts w:eastAsiaTheme="minorHAnsi"/>
          <w:noProof/>
        </w:rPr>
        <mc:AlternateContent>
          <mc:Choice Requires="wps">
            <w:drawing>
              <wp:anchor distT="0" distB="0" distL="114300" distR="114300" simplePos="0" relativeHeight="251675648" behindDoc="0" locked="0" layoutInCell="1" allowOverlap="1" wp14:anchorId="002A23C4" wp14:editId="6BAAD5BD">
                <wp:simplePos x="0" y="0"/>
                <wp:positionH relativeFrom="margin">
                  <wp:align>right</wp:align>
                </wp:positionH>
                <wp:positionV relativeFrom="paragraph">
                  <wp:posOffset>119380</wp:posOffset>
                </wp:positionV>
                <wp:extent cx="2637155" cy="276860"/>
                <wp:effectExtent l="0" t="0" r="0" b="0"/>
                <wp:wrapSquare wrapText="bothSides"/>
                <wp:docPr id="11" name="TextBox 10"/>
                <wp:cNvGraphicFramePr/>
                <a:graphic xmlns:a="http://schemas.openxmlformats.org/drawingml/2006/main">
                  <a:graphicData uri="http://schemas.microsoft.com/office/word/2010/wordprocessingShape">
                    <wps:wsp>
                      <wps:cNvSpPr txBox="1"/>
                      <wps:spPr>
                        <a:xfrm>
                          <a:off x="0" y="0"/>
                          <a:ext cx="2637155" cy="276860"/>
                        </a:xfrm>
                        <a:prstGeom prst="rect">
                          <a:avLst/>
                        </a:prstGeom>
                        <a:noFill/>
                      </wps:spPr>
                      <wps:txbx>
                        <w:txbxContent>
                          <w:p w:rsidR="00E036D1" w:rsidRPr="00D824DB" w:rsidRDefault="00E036D1" w:rsidP="00E036D1">
                            <w:pPr>
                              <w:pStyle w:val="NormalWeb"/>
                              <w:spacing w:before="0" w:beforeAutospacing="0" w:after="0" w:afterAutospacing="0"/>
                              <w:jc w:val="center"/>
                              <w:rPr>
                                <w:b/>
                                <w:sz w:val="22"/>
                                <w:szCs w:val="22"/>
                              </w:rPr>
                            </w:pPr>
                            <w:r w:rsidRPr="00D824DB">
                              <w:rPr>
                                <w:b/>
                                <w:color w:val="000000" w:themeColor="text1"/>
                                <w:kern w:val="24"/>
                                <w:sz w:val="22"/>
                                <w:szCs w:val="22"/>
                              </w:rPr>
                              <w:t>Short cha</w:t>
                            </w:r>
                            <w:r w:rsidR="00654677">
                              <w:rPr>
                                <w:b/>
                                <w:color w:val="000000" w:themeColor="text1"/>
                                <w:kern w:val="24"/>
                                <w:sz w:val="22"/>
                                <w:szCs w:val="22"/>
                              </w:rPr>
                              <w:t>racteristics: 19.82 PE, 2.13 PB</w:t>
                            </w:r>
                            <w:r w:rsidRPr="00D824DB">
                              <w:rPr>
                                <w:b/>
                                <w:color w:val="000000" w:themeColor="text1"/>
                                <w:kern w:val="24"/>
                                <w:sz w:val="22"/>
                                <w:szCs w:val="22"/>
                              </w:rPr>
                              <w:t xml:space="preserve"> $25,936M Market Cap</w:t>
                            </w:r>
                          </w:p>
                        </w:txbxContent>
                      </wps:txbx>
                      <wps:bodyPr wrap="square" rtlCol="0">
                        <a:spAutoFit/>
                      </wps:bodyPr>
                    </wps:wsp>
                  </a:graphicData>
                </a:graphic>
                <wp14:sizeRelH relativeFrom="margin">
                  <wp14:pctWidth>0</wp14:pctWidth>
                </wp14:sizeRelH>
              </wp:anchor>
            </w:drawing>
          </mc:Choice>
          <mc:Fallback>
            <w:pict>
              <v:shapetype w14:anchorId="002A23C4" id="_x0000_t202" coordsize="21600,21600" o:spt="202" path="m,l,21600r21600,l21600,xe">
                <v:stroke joinstyle="miter"/>
                <v:path gradientshapeok="t" o:connecttype="rect"/>
              </v:shapetype>
              <v:shape id="TextBox 10" o:spid="_x0000_s1026" type="#_x0000_t202" style="position:absolute;margin-left:156.45pt;margin-top:9.4pt;width:207.65pt;height:21.8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" filled="f" stroked="f">
                <v:textbox style="mso-fit-shape-to-text:t">
                  <w:txbxContent>
                    <w:p w:rsidR="00E036D1" w:rsidRPr="00D824DB" w:rsidRDefault="00E036D1" w:rsidP="00E036D1">
                      <w:pPr>
                        <w:pStyle w:val="NormalWeb"/>
                        <w:spacing w:before="0" w:beforeAutospacing="0" w:after="0" w:afterAutospacing="0"/>
                        <w:jc w:val="center"/>
                        <w:rPr>
                          <w:b/>
                          <w:sz w:val="22"/>
                          <w:szCs w:val="22"/>
                        </w:rPr>
                      </w:pPr>
                      <w:r w:rsidRPr="00D824DB">
                        <w:rPr>
                          <w:b/>
                          <w:color w:val="000000" w:themeColor="text1"/>
                          <w:kern w:val="24"/>
                          <w:sz w:val="22"/>
                          <w:szCs w:val="22"/>
                        </w:rPr>
                        <w:t>Short cha</w:t>
                      </w:r>
                      <w:r w:rsidR="00654677">
                        <w:rPr>
                          <w:b/>
                          <w:color w:val="000000" w:themeColor="text1"/>
                          <w:kern w:val="24"/>
                          <w:sz w:val="22"/>
                          <w:szCs w:val="22"/>
                        </w:rPr>
                        <w:t>racteristics: 19.82 PE, 2.13 PB</w:t>
                      </w:r>
                      <w:r w:rsidRPr="00D824DB">
                        <w:rPr>
                          <w:b/>
                          <w:color w:val="000000" w:themeColor="text1"/>
                          <w:kern w:val="24"/>
                          <w:sz w:val="22"/>
                          <w:szCs w:val="22"/>
                        </w:rPr>
                        <w:t xml:space="preserve"> $25,936M Market Cap</w:t>
                      </w:r>
                    </w:p>
                  </w:txbxContent>
                </v:textbox>
                <w10:wrap type="square" anchorx="margin"/>
              </v:shape>
            </w:pict>
          </mc:Fallback>
        </mc:AlternateContent>
      </w:r>
      <w:r w:rsidR="00E036D1" w:rsidRPr="00E036D1">
        <w:rPr>
          <w:rFonts w:eastAsiaTheme="minorHAnsi"/>
          <w:noProof/>
        </w:rPr>
        <mc:AlternateContent>
          <mc:Choice Requires="wps">
            <w:drawing>
              <wp:anchor distT="0" distB="0" distL="114300" distR="114300" simplePos="0" relativeHeight="251677696" behindDoc="0" locked="0" layoutInCell="1" allowOverlap="1" wp14:anchorId="5249CE39" wp14:editId="74794183">
                <wp:simplePos x="0" y="0"/>
                <wp:positionH relativeFrom="margin">
                  <wp:align>left</wp:align>
                </wp:positionH>
                <wp:positionV relativeFrom="paragraph">
                  <wp:posOffset>159161</wp:posOffset>
                </wp:positionV>
                <wp:extent cx="2705735" cy="276860"/>
                <wp:effectExtent l="0" t="0" r="0" b="0"/>
                <wp:wrapSquare wrapText="bothSides"/>
                <wp:docPr id="8" name="TextBox 7"/>
                <wp:cNvGraphicFramePr/>
                <a:graphic xmlns:a="http://schemas.openxmlformats.org/drawingml/2006/main">
                  <a:graphicData uri="http://schemas.microsoft.com/office/word/2010/wordprocessingShape">
                    <wps:wsp>
                      <wps:cNvSpPr txBox="1"/>
                      <wps:spPr>
                        <a:xfrm>
                          <a:off x="0" y="0"/>
                          <a:ext cx="2705735" cy="276860"/>
                        </a:xfrm>
                        <a:prstGeom prst="rect">
                          <a:avLst/>
                        </a:prstGeom>
                        <a:noFill/>
                      </wps:spPr>
                      <wps:txbx>
                        <w:txbxContent>
                          <w:p w:rsidR="00E036D1" w:rsidRPr="00D824DB" w:rsidRDefault="00E036D1" w:rsidP="00E036D1">
                            <w:pPr>
                              <w:pStyle w:val="NormalWeb"/>
                              <w:spacing w:before="0" w:beforeAutospacing="0" w:after="0" w:afterAutospacing="0"/>
                              <w:jc w:val="center"/>
                              <w:rPr>
                                <w:b/>
                                <w:sz w:val="22"/>
                                <w:szCs w:val="22"/>
                              </w:rPr>
                            </w:pPr>
                            <w:r w:rsidRPr="00D824DB">
                              <w:rPr>
                                <w:b/>
                                <w:color w:val="000000" w:themeColor="text1"/>
                                <w:kern w:val="24"/>
                                <w:sz w:val="22"/>
                                <w:szCs w:val="22"/>
                              </w:rPr>
                              <w:t>Long cha</w:t>
                            </w:r>
                            <w:r w:rsidR="00654677">
                              <w:rPr>
                                <w:b/>
                                <w:color w:val="000000" w:themeColor="text1"/>
                                <w:kern w:val="24"/>
                                <w:sz w:val="22"/>
                                <w:szCs w:val="22"/>
                              </w:rPr>
                              <w:t>racteristics: 17.46 PE, 2.18 PB</w:t>
                            </w:r>
                            <w:r w:rsidRPr="00D824DB">
                              <w:rPr>
                                <w:b/>
                                <w:color w:val="000000" w:themeColor="text1"/>
                                <w:kern w:val="24"/>
                                <w:sz w:val="22"/>
                                <w:szCs w:val="22"/>
                              </w:rPr>
                              <w:t xml:space="preserve"> $20,571M Market Cap</w:t>
                            </w:r>
                          </w:p>
                        </w:txbxContent>
                      </wps:txbx>
                      <wps:bodyPr wrap="square" rtlCol="0">
                        <a:spAutoFit/>
                      </wps:bodyPr>
                    </wps:wsp>
                  </a:graphicData>
                </a:graphic>
                <wp14:sizeRelH relativeFrom="margin">
                  <wp14:pctWidth>0</wp14:pctWidth>
                </wp14:sizeRelH>
              </wp:anchor>
            </w:drawing>
          </mc:Choice>
          <mc:Fallback>
            <w:pict>
              <v:shape w14:anchorId="5249CE39" id="TextBox 7" o:spid="_x0000_s1027" type="#_x0000_t202" style="position:absolute;margin-left:0;margin-top:12.55pt;width:213.05pt;height:21.8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" filled="f" stroked="f">
                <v:textbox style="mso-fit-shape-to-text:t">
                  <w:txbxContent>
                    <w:p w:rsidR="00E036D1" w:rsidRPr="00D824DB" w:rsidRDefault="00E036D1" w:rsidP="00E036D1">
                      <w:pPr>
                        <w:pStyle w:val="NormalWeb"/>
                        <w:spacing w:before="0" w:beforeAutospacing="0" w:after="0" w:afterAutospacing="0"/>
                        <w:jc w:val="center"/>
                        <w:rPr>
                          <w:b/>
                          <w:sz w:val="22"/>
                          <w:szCs w:val="22"/>
                        </w:rPr>
                      </w:pPr>
                      <w:r w:rsidRPr="00D824DB">
                        <w:rPr>
                          <w:b/>
                          <w:color w:val="000000" w:themeColor="text1"/>
                          <w:kern w:val="24"/>
                          <w:sz w:val="22"/>
                          <w:szCs w:val="22"/>
                        </w:rPr>
                        <w:t>Long cha</w:t>
                      </w:r>
                      <w:r w:rsidR="00654677">
                        <w:rPr>
                          <w:b/>
                          <w:color w:val="000000" w:themeColor="text1"/>
                          <w:kern w:val="24"/>
                          <w:sz w:val="22"/>
                          <w:szCs w:val="22"/>
                        </w:rPr>
                        <w:t>racteristics: 17.46 PE, 2.18 PB</w:t>
                      </w:r>
                      <w:r w:rsidRPr="00D824DB">
                        <w:rPr>
                          <w:b/>
                          <w:color w:val="000000" w:themeColor="text1"/>
                          <w:kern w:val="24"/>
                          <w:sz w:val="22"/>
                          <w:szCs w:val="22"/>
                        </w:rPr>
                        <w:t xml:space="preserve"> $20,571M Market Cap</w:t>
                      </w:r>
                    </w:p>
                  </w:txbxContent>
                </v:textbox>
                <w10:wrap type="square" anchorx="margin"/>
              </v:shape>
            </w:pict>
          </mc:Fallback>
        </mc:AlternateContent>
      </w:r>
    </w:p>
    <w:p w:rsidR="00E036D1" w:rsidRDefault="00D824DB" w:rsidP="007B4536">
      <w:pPr>
        <w:pStyle w:val="NoSpacing"/>
        <w:rPr>
          <w:rFonts w:ascii="Times New Roman" w:eastAsia="Times New Roman" w:hAnsi="Times New Roman" w:cs="Times New Roman"/>
          <w:color w:val="000000" w:themeColor="text1"/>
        </w:rPr>
      </w:pPr>
      <w:r>
        <w:rPr>
          <w:noProof/>
        </w:rPr>
        <w:drawing>
          <wp:anchor distT="0" distB="0" distL="114300" distR="114300" simplePos="0" relativeHeight="251680768" behindDoc="0" locked="0" layoutInCell="1" allowOverlap="1">
            <wp:simplePos x="0" y="0"/>
            <wp:positionH relativeFrom="column">
              <wp:posOffset>2872105</wp:posOffset>
            </wp:positionH>
            <wp:positionV relativeFrom="paragraph">
              <wp:posOffset>458470</wp:posOffset>
            </wp:positionV>
            <wp:extent cx="1336675" cy="857250"/>
            <wp:effectExtent l="0" t="0" r="0" b="0"/>
            <wp:wrapSquare wrapText="bothSides"/>
            <wp:docPr id="2" name="Picture 2" descr="Image result for dave swensen yale 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ve swensen yale yog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667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6D1" w:rsidRDefault="00E036D1" w:rsidP="00E036D1">
      <w:pPr>
        <w:pStyle w:val="NoSpacing"/>
        <w:jc w:val="center"/>
        <w:rPr>
          <w:rFonts w:ascii="Times New Roman" w:eastAsia="Times New Roman" w:hAnsi="Times New Roman" w:cs="Times New Roman"/>
          <w:color w:val="000000" w:themeColor="text1"/>
        </w:rPr>
      </w:pPr>
      <w:r>
        <w:rPr>
          <w:noProof/>
        </w:rPr>
        <w:drawing>
          <wp:inline distT="0" distB="0" distL="0" distR="0" wp14:anchorId="2FFE75E0" wp14:editId="46F22F6F">
            <wp:extent cx="5502256" cy="3017235"/>
            <wp:effectExtent l="0" t="0" r="3810" b="0"/>
            <wp:docPr id="38" name="Picture 38" descr="Image result for automated investmen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mated investment manag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983" cy="3058761"/>
                    </a:xfrm>
                    <a:prstGeom prst="rect">
                      <a:avLst/>
                    </a:prstGeom>
                    <a:noFill/>
                    <a:ln>
                      <a:noFill/>
                    </a:ln>
                  </pic:spPr>
                </pic:pic>
              </a:graphicData>
            </a:graphic>
          </wp:inline>
        </w:drawing>
      </w:r>
      <w:r>
        <w:rPr>
          <w:noProof/>
        </w:rPr>
        <w:drawing>
          <wp:anchor distT="0" distB="0" distL="114300" distR="114300" simplePos="0" relativeHeight="251679744" behindDoc="0" locked="0" layoutInCell="1" allowOverlap="1">
            <wp:simplePos x="0" y="0"/>
            <wp:positionH relativeFrom="column">
              <wp:posOffset>2872054</wp:posOffset>
            </wp:positionH>
            <wp:positionV relativeFrom="paragraph">
              <wp:posOffset>1212168</wp:posOffset>
            </wp:positionV>
            <wp:extent cx="1348105" cy="1348105"/>
            <wp:effectExtent l="0" t="0" r="4445" b="4445"/>
            <wp:wrapSquare wrapText="bothSides"/>
            <wp:docPr id="1026" name="Picture 2" descr="Image result for blackrock global long short equity managers">
              <a:extLst xmlns:a="http://schemas.openxmlformats.org/drawingml/2006/main">
                <a:ext uri="{FF2B5EF4-FFF2-40B4-BE49-F238E27FC236}">
                  <a16:creationId xmlns:a16="http://schemas.microsoft.com/office/drawing/2014/main" id="{97C3BC0E-3773-49D1-9625-9ED533B7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blackrock global long short equity managers">
                      <a:extLst>
                        <a:ext uri="{FF2B5EF4-FFF2-40B4-BE49-F238E27FC236}">
                          <a16:creationId xmlns:a16="http://schemas.microsoft.com/office/drawing/2014/main" id="{97C3BC0E-3773-49D1-9625-9ED533B7D24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8105" cy="134810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rPr>
        <w:drawing>
          <wp:anchor distT="0" distB="0" distL="114300" distR="114300" simplePos="0" relativeHeight="251678720" behindDoc="0" locked="0" layoutInCell="1" allowOverlap="1">
            <wp:simplePos x="0" y="0"/>
            <wp:positionH relativeFrom="margin">
              <wp:align>left</wp:align>
            </wp:positionH>
            <wp:positionV relativeFrom="paragraph">
              <wp:posOffset>297815</wp:posOffset>
            </wp:positionV>
            <wp:extent cx="6968490" cy="2314575"/>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8490" cy="2314575"/>
                    </a:xfrm>
                    <a:prstGeom prst="rect">
                      <a:avLst/>
                    </a:prstGeom>
                    <a:noFill/>
                  </pic:spPr>
                </pic:pic>
              </a:graphicData>
            </a:graphic>
            <wp14:sizeRelV relativeFrom="margin">
              <wp14:pctHeight>0</wp14:pctHeight>
            </wp14:sizeRelV>
          </wp:anchor>
        </w:drawing>
      </w:r>
    </w:p>
    <w:p w:rsidR="007B4536" w:rsidRDefault="007B4536" w:rsidP="007B4536">
      <w:pPr>
        <w:pStyle w:val="NoSpacing"/>
        <w:rPr>
          <w:rFonts w:ascii="Times New Roman" w:eastAsia="Times New Roman" w:hAnsi="Times New Roman" w:cs="Times New Roman"/>
          <w:color w:val="000000" w:themeColor="text1"/>
        </w:rPr>
      </w:pPr>
    </w:p>
    <w:p w:rsidR="00F7793F" w:rsidRDefault="007B4536" w:rsidP="007B4536">
      <w:pPr>
        <w:pStyle w:val="NoSpacing"/>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color w:val="000000" w:themeColor="text1"/>
        </w:rPr>
        <w:t xml:space="preserve"> </w:t>
      </w:r>
      <w:r w:rsidR="00F7793F">
        <w:rPr>
          <w:rFonts w:ascii="Times New Roman" w:eastAsia="Times New Roman" w:hAnsi="Times New Roman" w:cs="Times New Roman"/>
          <w:b/>
          <w:color w:val="000000" w:themeColor="text1"/>
          <w:sz w:val="28"/>
          <w:szCs w:val="28"/>
          <w:u w:val="single"/>
        </w:rPr>
        <w:t>Risk / Return</w:t>
      </w:r>
    </w:p>
    <w:p w:rsidR="00F7793F" w:rsidRDefault="00F7793F" w:rsidP="007B4536">
      <w:pPr>
        <w:pStyle w:val="NoSpacing"/>
        <w:rPr>
          <w:rFonts w:ascii="Times New Roman" w:eastAsia="Times New Roman" w:hAnsi="Times New Roman" w:cs="Times New Roman"/>
          <w:b/>
          <w:color w:val="000000" w:themeColor="text1"/>
          <w:sz w:val="28"/>
          <w:szCs w:val="28"/>
          <w:u w:val="single"/>
        </w:rPr>
      </w:pPr>
    </w:p>
    <w:p w:rsidR="00AF501E" w:rsidRDefault="00AD3A4F" w:rsidP="00F7793F">
      <w:pPr>
        <w:pStyle w:val="NoSpacing"/>
        <w:numPr>
          <w:ilvl w:val="0"/>
          <w:numId w:val="3"/>
        </w:num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81792" behindDoc="0" locked="0" layoutInCell="1" allowOverlap="1">
            <wp:simplePos x="0" y="0"/>
            <wp:positionH relativeFrom="column">
              <wp:posOffset>5055140</wp:posOffset>
            </wp:positionH>
            <wp:positionV relativeFrom="paragraph">
              <wp:posOffset>5715</wp:posOffset>
            </wp:positionV>
            <wp:extent cx="1686560" cy="813435"/>
            <wp:effectExtent l="0" t="0" r="889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6560" cy="813435"/>
                    </a:xfrm>
                    <a:prstGeom prst="rect">
                      <a:avLst/>
                    </a:prstGeom>
                    <a:noFill/>
                  </pic:spPr>
                </pic:pic>
              </a:graphicData>
            </a:graphic>
            <wp14:sizeRelH relativeFrom="margin">
              <wp14:pctWidth>0</wp14:pctWidth>
            </wp14:sizeRelH>
            <wp14:sizeRelV relativeFrom="margin">
              <wp14:pctHeight>0</wp14:pctHeight>
            </wp14:sizeRelV>
          </wp:anchor>
        </w:drawing>
      </w:r>
      <w:r w:rsidR="002A4575">
        <w:rPr>
          <w:rFonts w:ascii="Times New Roman" w:hAnsi="Times New Roman" w:cs="Times New Roman"/>
          <w:color w:val="000000" w:themeColor="text1"/>
          <w:sz w:val="20"/>
          <w:szCs w:val="20"/>
        </w:rPr>
        <w:t>Risk is systematically</w:t>
      </w:r>
      <w:r w:rsidR="00F7793F" w:rsidRPr="00F7793F">
        <w:rPr>
          <w:rFonts w:ascii="Times New Roman" w:hAnsi="Times New Roman" w:cs="Times New Roman"/>
          <w:color w:val="000000" w:themeColor="text1"/>
          <w:sz w:val="20"/>
          <w:szCs w:val="20"/>
        </w:rPr>
        <w:t xml:space="preserve"> hedged with opposing positions referencing long / short</w:t>
      </w:r>
    </w:p>
    <w:p w:rsidR="00F7793F" w:rsidRPr="00F7793F" w:rsidRDefault="00F7793F" w:rsidP="00F7793F">
      <w:pPr>
        <w:pStyle w:val="NoSpacing"/>
        <w:ind w:left="720"/>
        <w:rPr>
          <w:rFonts w:ascii="Times New Roman" w:hAnsi="Times New Roman" w:cs="Times New Roman"/>
          <w:color w:val="000000" w:themeColor="text1"/>
          <w:sz w:val="20"/>
          <w:szCs w:val="20"/>
        </w:rPr>
      </w:pPr>
    </w:p>
    <w:p w:rsidR="00AF501E" w:rsidRPr="00F7793F" w:rsidRDefault="00F7793F" w:rsidP="00F7793F">
      <w:pPr>
        <w:pStyle w:val="NoSpacing"/>
        <w:numPr>
          <w:ilvl w:val="0"/>
          <w:numId w:val="3"/>
        </w:numPr>
        <w:rPr>
          <w:rFonts w:ascii="Times New Roman" w:hAnsi="Times New Roman" w:cs="Times New Roman"/>
          <w:color w:val="000000" w:themeColor="text1"/>
          <w:sz w:val="20"/>
          <w:szCs w:val="20"/>
        </w:rPr>
      </w:pPr>
      <w:r w:rsidRPr="00F7793F">
        <w:rPr>
          <w:rFonts w:ascii="Times New Roman" w:hAnsi="Times New Roman" w:cs="Times New Roman"/>
          <w:color w:val="000000" w:themeColor="text1"/>
          <w:sz w:val="20"/>
          <w:szCs w:val="20"/>
        </w:rPr>
        <w:t xml:space="preserve">Due to correlations of up to 75% in the movement of stocks with the overall market, the positions of 571 Long verses 606 Short significantly mitigate </w:t>
      </w:r>
      <w:r>
        <w:rPr>
          <w:rFonts w:ascii="Times New Roman" w:hAnsi="Times New Roman" w:cs="Times New Roman"/>
          <w:color w:val="000000" w:themeColor="text1"/>
          <w:sz w:val="20"/>
          <w:szCs w:val="20"/>
        </w:rPr>
        <w:t xml:space="preserve">both </w:t>
      </w:r>
      <w:r w:rsidRPr="00F7793F">
        <w:rPr>
          <w:rFonts w:ascii="Times New Roman" w:hAnsi="Times New Roman" w:cs="Times New Roman"/>
          <w:color w:val="000000" w:themeColor="text1"/>
          <w:sz w:val="20"/>
          <w:szCs w:val="20"/>
        </w:rPr>
        <w:t xml:space="preserve">returns and losses </w:t>
      </w:r>
    </w:p>
    <w:p w:rsidR="00F7793F" w:rsidRDefault="00F7793F" w:rsidP="00F7793F">
      <w:pPr>
        <w:pStyle w:val="NoSpacing"/>
        <w:ind w:left="720"/>
        <w:rPr>
          <w:rFonts w:ascii="Times New Roman" w:hAnsi="Times New Roman" w:cs="Times New Roman"/>
          <w:color w:val="000000" w:themeColor="text1"/>
          <w:sz w:val="20"/>
          <w:szCs w:val="20"/>
        </w:rPr>
      </w:pPr>
    </w:p>
    <w:p w:rsidR="00AF501E" w:rsidRPr="00F7793F" w:rsidRDefault="00F7793F" w:rsidP="00F7793F">
      <w:pPr>
        <w:pStyle w:val="NoSpacing"/>
        <w:numPr>
          <w:ilvl w:val="0"/>
          <w:numId w:val="3"/>
        </w:numPr>
        <w:rPr>
          <w:rFonts w:ascii="Times New Roman" w:hAnsi="Times New Roman" w:cs="Times New Roman"/>
          <w:color w:val="000000" w:themeColor="text1"/>
          <w:sz w:val="20"/>
          <w:szCs w:val="20"/>
        </w:rPr>
      </w:pPr>
      <w:r w:rsidRPr="00F7793F">
        <w:rPr>
          <w:rFonts w:ascii="Times New Roman" w:hAnsi="Times New Roman" w:cs="Times New Roman"/>
          <w:color w:val="000000" w:themeColor="text1"/>
          <w:sz w:val="20"/>
          <w:szCs w:val="20"/>
        </w:rPr>
        <w:t>Although the Fund is not without risk, it is heavily hedged against major losses</w:t>
      </w:r>
    </w:p>
    <w:p w:rsidR="00F7793F" w:rsidRDefault="00AD3A4F" w:rsidP="00F7793F">
      <w:pPr>
        <w:pStyle w:val="NoSpacing"/>
        <w:ind w:left="720"/>
        <w:rPr>
          <w:rFonts w:ascii="Times New Roman" w:hAnsi="Times New Roman" w:cs="Times New Roman"/>
          <w:color w:val="000000" w:themeColor="text1"/>
          <w:sz w:val="20"/>
          <w:szCs w:val="20"/>
        </w:rPr>
      </w:pPr>
      <w:r>
        <w:rPr>
          <w:noProof/>
        </w:rPr>
        <w:drawing>
          <wp:anchor distT="0" distB="0" distL="114300" distR="114300" simplePos="0" relativeHeight="251682816" behindDoc="0" locked="0" layoutInCell="1" allowOverlap="1">
            <wp:simplePos x="0" y="0"/>
            <wp:positionH relativeFrom="margin">
              <wp:posOffset>5039360</wp:posOffset>
            </wp:positionH>
            <wp:positionV relativeFrom="paragraph">
              <wp:posOffset>70485</wp:posOffset>
            </wp:positionV>
            <wp:extent cx="1696085" cy="955040"/>
            <wp:effectExtent l="0" t="0" r="0" b="0"/>
            <wp:wrapSquare wrapText="bothSides"/>
            <wp:docPr id="5126" name="Picture 6" descr="Image result for interest rates r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Image result for interest rates ris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6085" cy="955040"/>
                    </a:xfrm>
                    <a:prstGeom prst="rect">
                      <a:avLst/>
                    </a:prstGeom>
                    <a:noFill/>
                  </pic:spPr>
                </pic:pic>
              </a:graphicData>
            </a:graphic>
            <wp14:sizeRelH relativeFrom="margin">
              <wp14:pctWidth>0</wp14:pctWidth>
            </wp14:sizeRelH>
            <wp14:sizeRelV relativeFrom="margin">
              <wp14:pctHeight>0</wp14:pctHeight>
            </wp14:sizeRelV>
          </wp:anchor>
        </w:drawing>
      </w:r>
    </w:p>
    <w:p w:rsidR="00AF501E" w:rsidRPr="00F7793F" w:rsidRDefault="00F7793F" w:rsidP="00F7793F">
      <w:pPr>
        <w:pStyle w:val="NoSpacing"/>
        <w:numPr>
          <w:ilvl w:val="0"/>
          <w:numId w:val="3"/>
        </w:numPr>
        <w:rPr>
          <w:rFonts w:ascii="Times New Roman" w:hAnsi="Times New Roman" w:cs="Times New Roman"/>
          <w:color w:val="000000" w:themeColor="text1"/>
          <w:sz w:val="20"/>
          <w:szCs w:val="20"/>
        </w:rPr>
      </w:pPr>
      <w:r w:rsidRPr="00F7793F">
        <w:rPr>
          <w:rFonts w:ascii="Times New Roman" w:hAnsi="Times New Roman" w:cs="Times New Roman"/>
          <w:color w:val="000000" w:themeColor="text1"/>
          <w:sz w:val="20"/>
          <w:szCs w:val="20"/>
        </w:rPr>
        <w:t xml:space="preserve">Standard deviations are generally less than 1% per month </w:t>
      </w:r>
    </w:p>
    <w:p w:rsidR="00F7793F" w:rsidRDefault="00F7793F" w:rsidP="00F7793F">
      <w:pPr>
        <w:pStyle w:val="NoSpacing"/>
        <w:ind w:left="720"/>
        <w:rPr>
          <w:rFonts w:ascii="Times New Roman" w:hAnsi="Times New Roman" w:cs="Times New Roman"/>
          <w:color w:val="000000" w:themeColor="text1"/>
          <w:sz w:val="20"/>
          <w:szCs w:val="20"/>
        </w:rPr>
      </w:pPr>
    </w:p>
    <w:p w:rsidR="00AF501E" w:rsidRPr="00F7793F" w:rsidRDefault="00F7793F" w:rsidP="00F7793F">
      <w:pPr>
        <w:pStyle w:val="NoSpacing"/>
        <w:numPr>
          <w:ilvl w:val="0"/>
          <w:numId w:val="3"/>
        </w:numPr>
        <w:rPr>
          <w:rFonts w:ascii="Times New Roman" w:hAnsi="Times New Roman" w:cs="Times New Roman"/>
          <w:color w:val="000000" w:themeColor="text1"/>
          <w:sz w:val="20"/>
          <w:szCs w:val="20"/>
        </w:rPr>
      </w:pPr>
      <w:r w:rsidRPr="00F7793F">
        <w:rPr>
          <w:rFonts w:ascii="Times New Roman" w:hAnsi="Times New Roman" w:cs="Times New Roman"/>
          <w:color w:val="000000" w:themeColor="text1"/>
          <w:sz w:val="20"/>
          <w:szCs w:val="20"/>
        </w:rPr>
        <w:t>Alpha is generated primarily with short positions</w:t>
      </w:r>
    </w:p>
    <w:p w:rsidR="00F7793F" w:rsidRDefault="00F7793F" w:rsidP="00F7793F">
      <w:pPr>
        <w:pStyle w:val="NoSpacing"/>
        <w:ind w:left="720"/>
        <w:rPr>
          <w:rFonts w:ascii="Times New Roman" w:hAnsi="Times New Roman" w:cs="Times New Roman"/>
          <w:color w:val="000000" w:themeColor="text1"/>
          <w:sz w:val="20"/>
          <w:szCs w:val="20"/>
        </w:rPr>
      </w:pPr>
    </w:p>
    <w:p w:rsidR="00AF501E" w:rsidRPr="00F7793F" w:rsidRDefault="00F7793F" w:rsidP="00F7793F">
      <w:pPr>
        <w:pStyle w:val="NoSpacing"/>
        <w:numPr>
          <w:ilvl w:val="0"/>
          <w:numId w:val="3"/>
        </w:numPr>
        <w:rPr>
          <w:rFonts w:ascii="Times New Roman" w:hAnsi="Times New Roman" w:cs="Times New Roman"/>
          <w:color w:val="000000" w:themeColor="text1"/>
          <w:sz w:val="20"/>
          <w:szCs w:val="20"/>
        </w:rPr>
      </w:pPr>
      <w:r w:rsidRPr="00F7793F">
        <w:rPr>
          <w:rFonts w:ascii="Times New Roman" w:hAnsi="Times New Roman" w:cs="Times New Roman"/>
          <w:color w:val="000000" w:themeColor="text1"/>
          <w:sz w:val="20"/>
          <w:szCs w:val="20"/>
        </w:rPr>
        <w:t>Current market situation favors out-performance over the benchmark for the fund if trends continue</w:t>
      </w:r>
    </w:p>
    <w:p w:rsidR="00F7793F" w:rsidRPr="00F7793F" w:rsidRDefault="00F7793F" w:rsidP="007B4536">
      <w:pPr>
        <w:pStyle w:val="NoSpacing"/>
        <w:rPr>
          <w:rFonts w:ascii="Times New Roman" w:hAnsi="Times New Roman" w:cs="Times New Roman"/>
          <w:color w:val="000000" w:themeColor="text1"/>
          <w:sz w:val="28"/>
          <w:szCs w:val="28"/>
        </w:rPr>
      </w:pPr>
    </w:p>
    <w:p w:rsidR="007B4536" w:rsidRPr="007B4536" w:rsidRDefault="00F7793F" w:rsidP="007B4536">
      <w:pPr>
        <w:pStyle w:val="NoSpacing"/>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257101F7">
            <wp:extent cx="6807189" cy="18586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9105" cy="1867361"/>
                    </a:xfrm>
                    <a:prstGeom prst="rect">
                      <a:avLst/>
                    </a:prstGeom>
                    <a:noFill/>
                  </pic:spPr>
                </pic:pic>
              </a:graphicData>
            </a:graphic>
          </wp:inline>
        </w:drawing>
      </w:r>
    </w:p>
    <w:p w:rsidR="007B4536" w:rsidRPr="007B4536" w:rsidRDefault="007B4536" w:rsidP="007B4536">
      <w:pPr>
        <w:pStyle w:val="NoSpacing"/>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
    <w:p w:rsidR="0014608E" w:rsidRPr="00AD3A4F" w:rsidRDefault="00AD3A4F" w:rsidP="00AD3A4F">
      <w:pPr>
        <w:pStyle w:val="NoSpacing"/>
        <w:rPr>
          <w:rFonts w:ascii="Times New Roman" w:eastAsia="Times New Roman" w:hAnsi="Times New Roman" w:cs="Times New Roman"/>
          <w:b/>
          <w:color w:val="000000" w:themeColor="text1"/>
          <w:sz w:val="28"/>
          <w:szCs w:val="28"/>
          <w:u w:val="single"/>
        </w:rPr>
      </w:pPr>
      <w:r w:rsidRPr="00AD3A4F">
        <w:rPr>
          <w:rFonts w:ascii="Times New Roman" w:eastAsia="Times New Roman" w:hAnsi="Times New Roman" w:cs="Times New Roman"/>
          <w:b/>
          <w:color w:val="000000" w:themeColor="text1"/>
          <w:sz w:val="28"/>
          <w:szCs w:val="28"/>
          <w:u w:val="single"/>
        </w:rPr>
        <w:t>Fund Management Style</w:t>
      </w:r>
    </w:p>
    <w:p w:rsidR="0014608E" w:rsidRDefault="0014608E" w:rsidP="0082382F">
      <w:pPr>
        <w:pStyle w:val="NoSpacing"/>
        <w:ind w:firstLine="720"/>
        <w:rPr>
          <w:rFonts w:ascii="Times New Roman" w:eastAsia="Times New Roman" w:hAnsi="Times New Roman" w:cs="Times New Roman"/>
          <w:color w:val="000000" w:themeColor="text1"/>
          <w:sz w:val="20"/>
          <w:szCs w:val="20"/>
        </w:rPr>
      </w:pPr>
    </w:p>
    <w:p w:rsidR="00AF501E" w:rsidRDefault="00AD3A4F" w:rsidP="00AD3A4F">
      <w:pPr>
        <w:pStyle w:val="NoSpacing"/>
        <w:ind w:firstLine="720"/>
        <w:rPr>
          <w:rFonts w:ascii="Times New Roman" w:eastAsia="Times New Roman" w:hAnsi="Times New Roman" w:cs="Times New Roman"/>
          <w:color w:val="000000" w:themeColor="text1"/>
          <w:sz w:val="20"/>
          <w:szCs w:val="20"/>
        </w:rPr>
      </w:pPr>
      <w:r w:rsidRPr="00AD3A4F">
        <w:rPr>
          <w:rFonts w:ascii="Times New Roman" w:eastAsia="Times New Roman" w:hAnsi="Times New Roman" w:cs="Times New Roman"/>
          <w:color w:val="000000" w:themeColor="text1"/>
          <w:sz w:val="20"/>
          <w:szCs w:val="20"/>
        </w:rPr>
        <w:t xml:space="preserve">The management style follows a systematic valuation and overvaluation assessment to determine long and short positions. Assessing the Funds’ positions, they follow an automated risk mitigation approach to assuming its short and long positions </w:t>
      </w:r>
      <w:r w:rsidR="002A4575" w:rsidRPr="00AD3A4F">
        <w:rPr>
          <w:rFonts w:ascii="Times New Roman" w:eastAsia="Times New Roman" w:hAnsi="Times New Roman" w:cs="Times New Roman"/>
          <w:color w:val="000000" w:themeColor="text1"/>
          <w:sz w:val="20"/>
          <w:szCs w:val="20"/>
        </w:rPr>
        <w:t>to</w:t>
      </w:r>
      <w:r w:rsidRPr="00AD3A4F">
        <w:rPr>
          <w:rFonts w:ascii="Times New Roman" w:eastAsia="Times New Roman" w:hAnsi="Times New Roman" w:cs="Times New Roman"/>
          <w:color w:val="000000" w:themeColor="text1"/>
          <w:sz w:val="20"/>
          <w:szCs w:val="20"/>
        </w:rPr>
        <w:t xml:space="preserve"> ensure that proper risk mitigation is maintained. Assessing the fund’s historical SD, makes a strong case for effective </w:t>
      </w:r>
      <w:r w:rsidR="002A4575">
        <w:rPr>
          <w:rFonts w:ascii="Times New Roman" w:eastAsia="Times New Roman" w:hAnsi="Times New Roman" w:cs="Times New Roman"/>
          <w:color w:val="000000" w:themeColor="text1"/>
          <w:sz w:val="20"/>
          <w:szCs w:val="20"/>
        </w:rPr>
        <w:t xml:space="preserve">automated </w:t>
      </w:r>
      <w:r w:rsidRPr="00AD3A4F">
        <w:rPr>
          <w:rFonts w:ascii="Times New Roman" w:eastAsia="Times New Roman" w:hAnsi="Times New Roman" w:cs="Times New Roman"/>
          <w:color w:val="000000" w:themeColor="text1"/>
          <w:sz w:val="20"/>
          <w:szCs w:val="20"/>
        </w:rPr>
        <w:t>risk management. The Fund’s current holdings of nearly equal short and long positions and its relative net weights per industry and region are not significantly different to expose the Fund’s assets to substantial losses. There have been no serious changes in discipline in terms of the application of the Fund’s Investment Philosophy that would be a cause for concern.</w:t>
      </w:r>
    </w:p>
    <w:p w:rsidR="00702940" w:rsidRDefault="00702940" w:rsidP="00702940">
      <w:pPr>
        <w:pStyle w:val="NoSpacing"/>
        <w:rPr>
          <w:rFonts w:ascii="Times New Roman" w:eastAsia="Times New Roman" w:hAnsi="Times New Roman" w:cs="Times New Roman"/>
          <w:color w:val="000000" w:themeColor="text1"/>
          <w:sz w:val="20"/>
          <w:szCs w:val="20"/>
        </w:rPr>
      </w:pPr>
    </w:p>
    <w:p w:rsidR="0014608E" w:rsidRDefault="00702940" w:rsidP="00702940">
      <w:pPr>
        <w:pStyle w:val="NoSpacing"/>
        <w:rPr>
          <w:rFonts w:ascii="Times New Roman" w:eastAsia="Times New Roman" w:hAnsi="Times New Roman" w:cs="Times New Roman"/>
          <w:color w:val="000000" w:themeColor="text1"/>
          <w:sz w:val="20"/>
          <w:szCs w:val="20"/>
        </w:rPr>
      </w:pPr>
      <w:r>
        <w:rPr>
          <w:noProof/>
        </w:rPr>
        <w:drawing>
          <wp:anchor distT="0" distB="0" distL="114300" distR="114300" simplePos="0" relativeHeight="251683840" behindDoc="0" locked="0" layoutInCell="1" allowOverlap="1">
            <wp:simplePos x="0" y="0"/>
            <wp:positionH relativeFrom="column">
              <wp:posOffset>2643</wp:posOffset>
            </wp:positionH>
            <wp:positionV relativeFrom="paragraph">
              <wp:posOffset>1476</wp:posOffset>
            </wp:positionV>
            <wp:extent cx="2461358" cy="2129246"/>
            <wp:effectExtent l="0" t="0" r="0" b="4445"/>
            <wp:wrapSquare wrapText="bothSides"/>
            <wp:docPr id="7174" name="Picture 6" descr="Image result for dynamic hed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Image result for dynamic hedg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1358" cy="212924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D3A4F" w:rsidRDefault="00AD3A4F" w:rsidP="00AD3A4F">
      <w:pPr>
        <w:pStyle w:val="NoSpacing"/>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t>Trends in Strategy</w:t>
      </w:r>
    </w:p>
    <w:p w:rsidR="00AD3A4F" w:rsidRDefault="00AD3A4F" w:rsidP="00AD3A4F">
      <w:pPr>
        <w:pStyle w:val="NoSpacing"/>
        <w:rPr>
          <w:rFonts w:ascii="Times New Roman" w:eastAsia="Times New Roman" w:hAnsi="Times New Roman" w:cs="Times New Roman"/>
          <w:b/>
          <w:color w:val="000000" w:themeColor="text1"/>
          <w:sz w:val="28"/>
          <w:szCs w:val="28"/>
          <w:u w:val="single"/>
        </w:rPr>
      </w:pPr>
    </w:p>
    <w:p w:rsidR="00AD3A4F" w:rsidRPr="00AD3A4F" w:rsidRDefault="00AD3A4F" w:rsidP="00AD3A4F">
      <w:pPr>
        <w:pStyle w:val="NoSpacing"/>
        <w:rPr>
          <w:rFonts w:ascii="Times New Roman" w:eastAsia="Times New Roman" w:hAnsi="Times New Roman" w:cs="Times New Roman"/>
          <w:color w:val="000000" w:themeColor="text1"/>
          <w:sz w:val="20"/>
          <w:szCs w:val="20"/>
        </w:rPr>
      </w:pPr>
      <w:r w:rsidRPr="00AD3A4F">
        <w:rPr>
          <w:rFonts w:ascii="Times New Roman" w:eastAsia="Times New Roman" w:hAnsi="Times New Roman" w:cs="Times New Roman"/>
          <w:color w:val="000000" w:themeColor="text1"/>
          <w:sz w:val="20"/>
          <w:szCs w:val="20"/>
        </w:rPr>
        <w:tab/>
        <w:t xml:space="preserve">The Fund’s strategy has not been significantly altered in recent years. Assessing the overall strategy, it appears that there is a slight increase in short bias, which is consistent with the recent domestic and global market trends. The Fund consistently hedges its domestic positions with current global risk models. </w:t>
      </w:r>
      <w:r w:rsidR="00F07EFF">
        <w:rPr>
          <w:rFonts w:ascii="Times New Roman" w:eastAsia="Times New Roman" w:hAnsi="Times New Roman" w:cs="Times New Roman"/>
          <w:color w:val="000000" w:themeColor="text1"/>
          <w:sz w:val="20"/>
          <w:szCs w:val="20"/>
        </w:rPr>
        <w:t>It</w:t>
      </w:r>
      <w:r w:rsidRPr="00AD3A4F">
        <w:rPr>
          <w:rFonts w:ascii="Times New Roman" w:eastAsia="Times New Roman" w:hAnsi="Times New Roman" w:cs="Times New Roman"/>
          <w:color w:val="000000" w:themeColor="text1"/>
          <w:sz w:val="20"/>
          <w:szCs w:val="20"/>
        </w:rPr>
        <w:t xml:space="preserve"> generally follows a quantitative approach that consistently mitigates its risk through its assumption of </w:t>
      </w:r>
      <w:r w:rsidR="00F07EFF">
        <w:rPr>
          <w:rFonts w:ascii="Times New Roman" w:eastAsia="Times New Roman" w:hAnsi="Times New Roman" w:cs="Times New Roman"/>
          <w:color w:val="000000" w:themeColor="text1"/>
          <w:sz w:val="20"/>
          <w:szCs w:val="20"/>
        </w:rPr>
        <w:t xml:space="preserve">offsetting </w:t>
      </w:r>
      <w:r w:rsidRPr="00AD3A4F">
        <w:rPr>
          <w:rFonts w:ascii="Times New Roman" w:eastAsia="Times New Roman" w:hAnsi="Times New Roman" w:cs="Times New Roman"/>
          <w:color w:val="000000" w:themeColor="text1"/>
          <w:sz w:val="20"/>
          <w:szCs w:val="20"/>
        </w:rPr>
        <w:t>s</w:t>
      </w:r>
      <w:r w:rsidR="00F07EFF">
        <w:rPr>
          <w:rFonts w:ascii="Times New Roman" w:eastAsia="Times New Roman" w:hAnsi="Times New Roman" w:cs="Times New Roman"/>
          <w:color w:val="000000" w:themeColor="text1"/>
          <w:sz w:val="20"/>
          <w:szCs w:val="20"/>
        </w:rPr>
        <w:t>hort and long positions. It</w:t>
      </w:r>
      <w:r w:rsidRPr="00AD3A4F">
        <w:rPr>
          <w:rFonts w:ascii="Times New Roman" w:eastAsia="Times New Roman" w:hAnsi="Times New Roman" w:cs="Times New Roman"/>
          <w:color w:val="000000" w:themeColor="text1"/>
          <w:sz w:val="20"/>
          <w:szCs w:val="20"/>
        </w:rPr>
        <w:t xml:space="preserve"> continues to take advantage of trends in valuation that arise during market fluctuations and is currently ensuring that it is hedged with a short bias that positions the Fund to outperform its benchmark. </w:t>
      </w:r>
      <w:r w:rsidR="00F07EFF">
        <w:rPr>
          <w:rFonts w:ascii="Times New Roman" w:eastAsia="Times New Roman" w:hAnsi="Times New Roman" w:cs="Times New Roman"/>
          <w:color w:val="000000" w:themeColor="text1"/>
          <w:sz w:val="20"/>
          <w:szCs w:val="20"/>
        </w:rPr>
        <w:t>As the Fund grows, it is anticipated that no significant alterations to the operational strategy will be employed. In this regard, the Fund is employing a highly-disciplined approach consistent w</w:t>
      </w:r>
      <w:r w:rsidR="00CE52D1">
        <w:rPr>
          <w:rFonts w:ascii="Times New Roman" w:eastAsia="Times New Roman" w:hAnsi="Times New Roman" w:cs="Times New Roman"/>
          <w:color w:val="000000" w:themeColor="text1"/>
          <w:sz w:val="20"/>
          <w:szCs w:val="20"/>
        </w:rPr>
        <w:t>ith its i</w:t>
      </w:r>
      <w:r w:rsidR="00F07EFF">
        <w:rPr>
          <w:rFonts w:ascii="Times New Roman" w:eastAsia="Times New Roman" w:hAnsi="Times New Roman" w:cs="Times New Roman"/>
          <w:color w:val="000000" w:themeColor="text1"/>
          <w:sz w:val="20"/>
          <w:szCs w:val="20"/>
        </w:rPr>
        <w:t xml:space="preserve">nvestment </w:t>
      </w:r>
      <w:r w:rsidR="00CE52D1">
        <w:rPr>
          <w:rFonts w:ascii="Times New Roman" w:eastAsia="Times New Roman" w:hAnsi="Times New Roman" w:cs="Times New Roman"/>
          <w:color w:val="000000" w:themeColor="text1"/>
          <w:sz w:val="20"/>
          <w:szCs w:val="20"/>
        </w:rPr>
        <w:t>p</w:t>
      </w:r>
      <w:r w:rsidR="00F07EFF">
        <w:rPr>
          <w:rFonts w:ascii="Times New Roman" w:eastAsia="Times New Roman" w:hAnsi="Times New Roman" w:cs="Times New Roman"/>
          <w:color w:val="000000" w:themeColor="text1"/>
          <w:sz w:val="20"/>
          <w:szCs w:val="20"/>
        </w:rPr>
        <w:t xml:space="preserve">hilosophy. </w:t>
      </w:r>
    </w:p>
    <w:p w:rsidR="00AD3A4F" w:rsidRDefault="00AD3A4F" w:rsidP="00AD3A4F">
      <w:pPr>
        <w:pStyle w:val="NoSpacing"/>
        <w:rPr>
          <w:rFonts w:eastAsia="Times New Roman"/>
          <w:color w:val="000000" w:themeColor="text1"/>
          <w:sz w:val="20"/>
          <w:szCs w:val="20"/>
        </w:rPr>
      </w:pPr>
    </w:p>
    <w:p w:rsidR="00F07EFF" w:rsidRDefault="00F07EFF" w:rsidP="00AD3A4F">
      <w:pPr>
        <w:pStyle w:val="NoSpacing"/>
        <w:rPr>
          <w:rFonts w:ascii="Times New Roman" w:eastAsia="Times New Roman" w:hAnsi="Times New Roman" w:cs="Times New Roman"/>
          <w:b/>
          <w:color w:val="000000" w:themeColor="text1"/>
          <w:sz w:val="28"/>
          <w:szCs w:val="28"/>
          <w:u w:val="single"/>
        </w:rPr>
      </w:pPr>
    </w:p>
    <w:p w:rsidR="00F07EFF" w:rsidRDefault="00F07EFF" w:rsidP="00AD3A4F">
      <w:pPr>
        <w:pStyle w:val="NoSpacing"/>
        <w:rPr>
          <w:rFonts w:ascii="Times New Roman" w:eastAsia="Times New Roman" w:hAnsi="Times New Roman" w:cs="Times New Roman"/>
          <w:b/>
          <w:color w:val="000000" w:themeColor="text1"/>
          <w:sz w:val="28"/>
          <w:szCs w:val="28"/>
          <w:u w:val="single"/>
        </w:rPr>
      </w:pPr>
    </w:p>
    <w:p w:rsidR="00F07EFF" w:rsidRDefault="00F07EFF" w:rsidP="00AD3A4F">
      <w:pPr>
        <w:pStyle w:val="NoSpacing"/>
        <w:rPr>
          <w:rFonts w:ascii="Times New Roman" w:eastAsia="Times New Roman" w:hAnsi="Times New Roman" w:cs="Times New Roman"/>
          <w:b/>
          <w:color w:val="000000" w:themeColor="text1"/>
          <w:sz w:val="28"/>
          <w:szCs w:val="28"/>
          <w:u w:val="single"/>
        </w:rPr>
      </w:pPr>
    </w:p>
    <w:p w:rsidR="00F07EFF" w:rsidRDefault="00F07EFF" w:rsidP="00AD3A4F">
      <w:pPr>
        <w:pStyle w:val="NoSpacing"/>
        <w:rPr>
          <w:rFonts w:ascii="Times New Roman" w:eastAsia="Times New Roman" w:hAnsi="Times New Roman" w:cs="Times New Roman"/>
          <w:b/>
          <w:color w:val="000000" w:themeColor="text1"/>
          <w:sz w:val="28"/>
          <w:szCs w:val="28"/>
          <w:u w:val="single"/>
        </w:rPr>
      </w:pPr>
    </w:p>
    <w:p w:rsidR="002A4575" w:rsidRDefault="002A4575" w:rsidP="00AD3A4F">
      <w:pPr>
        <w:pStyle w:val="NoSpacing"/>
        <w:rPr>
          <w:rFonts w:ascii="Times New Roman" w:eastAsia="Times New Roman" w:hAnsi="Times New Roman" w:cs="Times New Roman"/>
          <w:b/>
          <w:color w:val="000000" w:themeColor="text1"/>
          <w:sz w:val="28"/>
          <w:szCs w:val="28"/>
          <w:u w:val="single"/>
        </w:rPr>
      </w:pPr>
      <w:r w:rsidRPr="002A4575">
        <w:rPr>
          <w:rFonts w:ascii="Times New Roman" w:eastAsia="Times New Roman" w:hAnsi="Times New Roman" w:cs="Times New Roman"/>
          <w:b/>
          <w:color w:val="000000" w:themeColor="text1"/>
          <w:sz w:val="28"/>
          <w:szCs w:val="28"/>
          <w:u w:val="single"/>
        </w:rPr>
        <w:t>The Argument for Complex Decision Modeling</w:t>
      </w:r>
    </w:p>
    <w:p w:rsidR="002A4575" w:rsidRDefault="002A4575" w:rsidP="00AD3A4F">
      <w:pPr>
        <w:pStyle w:val="NoSpacing"/>
        <w:rPr>
          <w:rFonts w:ascii="Times New Roman" w:eastAsia="Times New Roman" w:hAnsi="Times New Roman" w:cs="Times New Roman"/>
          <w:b/>
          <w:color w:val="000000" w:themeColor="text1"/>
          <w:sz w:val="28"/>
          <w:szCs w:val="28"/>
          <w:u w:val="single"/>
        </w:rPr>
      </w:pPr>
    </w:p>
    <w:p w:rsidR="002A4575" w:rsidRDefault="002A4575" w:rsidP="00AD3A4F">
      <w:pPr>
        <w:pStyle w:val="NoSpacing"/>
        <w:rPr>
          <w:noProof/>
        </w:rPr>
      </w:pPr>
      <w:r>
        <w:rPr>
          <w:noProof/>
        </w:rPr>
        <w:drawing>
          <wp:inline distT="0" distB="0" distL="0" distR="0" wp14:anchorId="6D5B7005" wp14:editId="62FC9BB4">
            <wp:extent cx="3366895" cy="1751330"/>
            <wp:effectExtent l="0" t="0" r="5080" b="1270"/>
            <wp:docPr id="5" name="Picture 2" descr="https://attachment.outlook.office.net/owa/hendricp20@up.edu/service.svc/s/GetFileAttachment?id=AAMkADMyNmU2NGI5LTRmYzAtNGFhMi1iNmU1LTM2OWQ1NzU5NDVmMABGAAAAAACi9N2US%2BqIS6pHL2IpOqS0BwDRwD8feHsxS7JykAAH4L3DAAAAAAEJAADRwD8feHsxS7JykAAH4L3DAADpBHeBAAABEgAQAOi4JSLey7hEmNyHY7r3gYY%3D&amp;X-OWA-CANARY=KqE4yuUmVkqhzm2dX4YRa0B6wxR2WdYY9uAeeKVwmHXnXDpPm0osThmjUm_8EOwK52Nj4dH2gG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3OTIzNiwiZXhwIjoxNTQzODc5ODM2LCJpc3MiOiIwMDAwMDAwMi0wMDAwLTBmZjEtY2UwMC0wMDAwMDAwMDAwMDBAZWE4ZjM5NDktMjMxYy00MGI2LWEzM2YtNTY4NzNhZjk2Zjg3IiwiYXVkIjoiMDAwMDAwMDItMDAwMC0wZmYxLWNlMDAtMDAwMDAwMDAwMDAwL2F0dGFjaG1lbnQub3V0bG9vay5vZmZpY2UubmV0QGVhOGYzOTQ5LTIzMWMtNDBiNi1hMzNmLTU2ODczYWY5NmY4NyJ9.KzjWyW0h9ziqGrLIWNcRHMkZcslPtiqn309sRACreJ9lTZlGgIjkuZJomdpklp0CBrKMObPlLF12By76PBCAg7E3Vv6vbOJgz4leCDRJTftVoAhmpN21CzVLKD8pKiEI0SZUWk8opE-zfjCAPNxWH_XzNHH4o1nQR1Q3YFoBjV3kIt9yx7js_bfUbMhrM-2SsEus-BO7MupEj_lkOUKkKIHykQ-HLbPpLaD38zdemwipkLzSgsrBUW60I9m0dz3J00bqd-csJyjZ2b3nN_9bt2-VTs-SSMaQX1w5QFVX3oVo9E-9EeOX_Me9gEolWlIVXbF2B17W0vCsg_KN1qdv3A&amp;owa=outlook.office.com&amp;isImagePrevie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attachment.outlook.office.net/owa/hendricp20@up.edu/service.svc/s/GetFileAttachment?id=AAMkADMyNmU2NGI5LTRmYzAtNGFhMi1iNmU1LTM2OWQ1NzU5NDVmMABGAAAAAACi9N2US%2BqIS6pHL2IpOqS0BwDRwD8feHsxS7JykAAH4L3DAAAAAAEJAADRwD8feHsxS7JykAAH4L3DAADpBHeBAAABEgAQAOi4JSLey7hEmNyHY7r3gYY%3D&amp;X-OWA-CANARY=KqE4yuUmVkqhzm2dX4YRa0B6wxR2WdYY9uAeeKVwmHXnXDpPm0osThmjUm_8EOwK52Nj4dH2gG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3OTIzNiwiZXhwIjoxNTQzODc5ODM2LCJpc3MiOiIwMDAwMDAwMi0wMDAwLTBmZjEtY2UwMC0wMDAwMDAwMDAwMDBAZWE4ZjM5NDktMjMxYy00MGI2LWEzM2YtNTY4NzNhZjk2Zjg3IiwiYXVkIjoiMDAwMDAwMDItMDAwMC0wZmYxLWNlMDAtMDAwMDAwMDAwMDAwL2F0dGFjaG1lbnQub3V0bG9vay5vZmZpY2UubmV0QGVhOGYzOTQ5LTIzMWMtNDBiNi1hMzNmLTU2ODczYWY5NmY4NyJ9.KzjWyW0h9ziqGrLIWNcRHMkZcslPtiqn309sRACreJ9lTZlGgIjkuZJomdpklp0CBrKMObPlLF12By76PBCAg7E3Vv6vbOJgz4leCDRJTftVoAhmpN21CzVLKD8pKiEI0SZUWk8opE-zfjCAPNxWH_XzNHH4o1nQR1Q3YFoBjV3kIt9yx7js_bfUbMhrM-2SsEus-BO7MupEj_lkOUKkKIHykQ-HLbPpLaD38zdemwipkLzSgsrBUW60I9m0dz3J00bqd-csJyjZ2b3nN_9bt2-VTs-SSMaQX1w5QFVX3oVo9E-9EeOX_Me9gEolWlIVXbF2B17W0vCsg_KN1qdv3A&amp;owa=outlook.office.com&amp;isImagePreview=Tr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2569" cy="1759483"/>
                    </a:xfrm>
                    <a:prstGeom prst="rect">
                      <a:avLst/>
                    </a:prstGeom>
                    <a:noFill/>
                  </pic:spPr>
                </pic:pic>
              </a:graphicData>
            </a:graphic>
          </wp:inline>
        </w:drawing>
      </w:r>
      <w:r w:rsidRPr="002A4575">
        <w:rPr>
          <w:noProof/>
        </w:rPr>
        <w:t xml:space="preserve"> </w:t>
      </w:r>
      <w:r>
        <w:rPr>
          <w:noProof/>
        </w:rPr>
        <w:drawing>
          <wp:inline distT="0" distB="0" distL="0" distR="0" wp14:anchorId="0554AB62" wp14:editId="4C7F1EA7">
            <wp:extent cx="3107949" cy="1761490"/>
            <wp:effectExtent l="0" t="0" r="0" b="0"/>
            <wp:docPr id="6156" name="Picture 12" descr="https://attachment.outlook.office.net/owa/hendricp20@up.edu/service.svc/s/GetFileAttachment?id=AAMkADMyNmU2NGI5LTRmYzAtNGFhMi1iNmU1LTM2OWQ1NzU5NDVmMABGAAAAAACi9N2US%2BqIS6pHL2IpOqS0BwDRwD8feHsxS7JykAAH4L3DAAAAAAEJAADRwD8feHsxS7JykAAH4L3DAADpBHeBAAABEgAQAK9ysJwfujBDoipR3TWsStM%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 name="Picture 12" descr="https://attachment.outlook.office.net/owa/hendricp20@up.edu/service.svc/s/GetFileAttachment?id=AAMkADMyNmU2NGI5LTRmYzAtNGFhMi1iNmU1LTM2OWQ1NzU5NDVmMABGAAAAAACi9N2US%2BqIS6pHL2IpOqS0BwDRwD8feHsxS7JykAAH4L3DAAAAAAEJAADRwD8feHsxS7JykAAH4L3DAADpBHeBAAABEgAQAK9ysJwfujBDoipR3TWsStM%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650" cy="1771523"/>
                    </a:xfrm>
                    <a:prstGeom prst="rect">
                      <a:avLst/>
                    </a:prstGeom>
                    <a:noFill/>
                  </pic:spPr>
                </pic:pic>
              </a:graphicData>
            </a:graphic>
          </wp:inline>
        </w:drawing>
      </w:r>
    </w:p>
    <w:p w:rsidR="002A4575" w:rsidRDefault="002A4575" w:rsidP="00AD3A4F">
      <w:pPr>
        <w:pStyle w:val="NoSpacing"/>
        <w:rPr>
          <w:noProof/>
        </w:rPr>
      </w:pPr>
      <w:r>
        <w:rPr>
          <w:noProof/>
        </w:rPr>
        <w:drawing>
          <wp:inline distT="0" distB="0" distL="0" distR="0" wp14:anchorId="09CFCAC3" wp14:editId="03A24434">
            <wp:extent cx="3377466" cy="1844040"/>
            <wp:effectExtent l="0" t="0" r="0" b="3810"/>
            <wp:docPr id="6158" name="Picture 14" descr="https://attachment.outlook.office.net/owa/hendricp20@up.edu/service.svc/s/GetFileAttachment?id=AAMkADMyNmU2NGI5LTRmYzAtNGFhMi1iNmU1LTM2OWQ1NzU5NDVmMABGAAAAAACi9N2US%2BqIS6pHL2IpOqS0BwDRwD8feHsxS7JykAAH4L3DAAAAAAEJAADRwD8feHsxS7JykAAH4L3DAADpBHeBAAABEgAQAJnrIohRpQpOjbIPERfIaa0%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 name="Picture 14" descr="https://attachment.outlook.office.net/owa/hendricp20@up.edu/service.svc/s/GetFileAttachment?id=AAMkADMyNmU2NGI5LTRmYzAtNGFhMi1iNmU1LTM2OWQ1NzU5NDVmMABGAAAAAACi9N2US%2BqIS6pHL2IpOqS0BwDRwD8feHsxS7JykAAH4L3DAAAAAAEJAADRwD8feHsxS7JykAAH4L3DAADpBHeBAAABEgAQAJnrIohRpQpOjbIPERfIaa0%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7342" cy="1904031"/>
                    </a:xfrm>
                    <a:prstGeom prst="rect">
                      <a:avLst/>
                    </a:prstGeom>
                    <a:noFill/>
                  </pic:spPr>
                </pic:pic>
              </a:graphicData>
            </a:graphic>
          </wp:inline>
        </w:drawing>
      </w:r>
      <w:r w:rsidRPr="002A4575">
        <w:rPr>
          <w:noProof/>
        </w:rPr>
        <w:t xml:space="preserve"> </w:t>
      </w:r>
      <w:r>
        <w:rPr>
          <w:noProof/>
        </w:rPr>
        <w:drawing>
          <wp:inline distT="0" distB="0" distL="0" distR="0" wp14:anchorId="71275A03" wp14:editId="78E325E2">
            <wp:extent cx="3092047" cy="1855228"/>
            <wp:effectExtent l="0" t="0" r="0" b="0"/>
            <wp:docPr id="6160" name="Picture 16" descr="https://attachment.outlook.office.net/owa/hendricp20@up.edu/service.svc/s/GetFileAttachment?id=AAMkADMyNmU2NGI5LTRmYzAtNGFhMi1iNmU1LTM2OWQ1NzU5NDVmMABGAAAAAACi9N2US%2BqIS6pHL2IpOqS0BwDRwD8feHsxS7JykAAH4L3DAAAAAAEJAADRwD8feHsxS7JykAAH4L3DAADpBHeBAAABEgAQADhLiPhhPxxHswVjKevzz0Q%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 name="Picture 16" descr="https://attachment.outlook.office.net/owa/hendricp20@up.edu/service.svc/s/GetFileAttachment?id=AAMkADMyNmU2NGI5LTRmYzAtNGFhMi1iNmU1LTM2OWQ1NzU5NDVmMABGAAAAAACi9N2US%2BqIS6pHL2IpOqS0BwDRwD8feHsxS7JykAAH4L3DAAAAAAEJAADRwD8feHsxS7JykAAH4L3DAADpBHeBAAABEgAQADhLiPhhPxxHswVjKevzz0Q%3D&amp;X-OWA-CANARY=Ure3PBFyj0CbNyEQ7PMtsLBsYR96WdYYEqskKZxkzTwfC_4G6cE8hG9skqfLEWyP2B0BaN5-_kY.&amp;token=eyJhbGciOiJSUzI1NiIsImtpZCI6IjA2MDBGOUY2NzQ2MjA3MzdFNzM0MDRFMjg3QzQ1QTgxOENCN0NFQjgiLCJ4NXQiOiJCZ0Q1OW5SaUJ6Zm5OQVRpaDhSYWdZeTN6cmciLCJ0eXAiOiJKV1QifQ.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.lS1enOGE2VBN-FN9djJncw77G5KghKgX_gnRgsr1qVz7sPX_RfDO5XqIQi2KlXBGg-cr3mRYVUOsk_oSa3MoRLm0gEt3qfww3ueTqkgsV0yv-d-MSNvd_sHxpERDSmjDtg4xoflltgEGaTLbZuv-B0IOS5npsT6KDnBDs-V1QH7yl28dfsvMdCdlhoOVOa1IrPTOYWIkU5uS7iWM_nSeUhoDQ6fHCni-L3MzOQoVQYphQ-SmAcPlCjrfBH5P67jhAaPBLbDIet26kedU7yKzQozYnJoPGdKkX0dY8cG2lPfVnpy_xtuZK9ipcbbqP2-Sky6Vtgl0IK4wNpRlrbbZaw&amp;owa=outlook.office.com&amp;isImagePreview=Tr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770" cy="1892862"/>
                    </a:xfrm>
                    <a:prstGeom prst="rect">
                      <a:avLst/>
                    </a:prstGeom>
                    <a:noFill/>
                  </pic:spPr>
                </pic:pic>
              </a:graphicData>
            </a:graphic>
          </wp:inline>
        </w:drawing>
      </w:r>
    </w:p>
    <w:p w:rsidR="00F07EFF" w:rsidRDefault="00F07EFF" w:rsidP="00AD3A4F">
      <w:pPr>
        <w:pStyle w:val="NoSpacing"/>
        <w:rPr>
          <w:noProof/>
        </w:rPr>
      </w:pPr>
    </w:p>
    <w:p w:rsidR="00ED56CA" w:rsidRDefault="00F07EFF" w:rsidP="00AD3A4F">
      <w:pPr>
        <w:pStyle w:val="NoSpacing"/>
        <w:rPr>
          <w:rFonts w:ascii="Times New Roman" w:hAnsi="Times New Roman" w:cs="Times New Roman"/>
          <w:noProof/>
          <w:sz w:val="20"/>
          <w:szCs w:val="20"/>
        </w:rPr>
      </w:pPr>
      <w:r>
        <w:rPr>
          <w:noProof/>
        </w:rPr>
        <w:tab/>
      </w:r>
      <w:r>
        <w:rPr>
          <w:rFonts w:ascii="Times New Roman" w:hAnsi="Times New Roman" w:cs="Times New Roman"/>
          <w:noProof/>
          <w:sz w:val="20"/>
          <w:szCs w:val="20"/>
        </w:rPr>
        <w:t xml:space="preserve">Past are days when investment decisions are based on internal assessments or unsystematic evaluation. The level of sophisication demonstrated by the Fund combined with the achievement of consistent returns provides substantial validation for the incorporation of complex decision modeling in the investment decision making process. Currently, major </w:t>
      </w:r>
      <w:r w:rsidR="008826D2">
        <w:rPr>
          <w:rFonts w:ascii="Times New Roman" w:hAnsi="Times New Roman" w:cs="Times New Roman"/>
          <w:noProof/>
          <w:sz w:val="20"/>
          <w:szCs w:val="20"/>
        </w:rPr>
        <w:t xml:space="preserve">financial </w:t>
      </w:r>
      <w:r>
        <w:rPr>
          <w:rFonts w:ascii="Times New Roman" w:hAnsi="Times New Roman" w:cs="Times New Roman"/>
          <w:noProof/>
          <w:sz w:val="20"/>
          <w:szCs w:val="20"/>
        </w:rPr>
        <w:t>firms are seeking individuals, not with financial backgrounds, but with mathmatical and engineering educations who are capable of systematically implementing complex investment decision making models. Most common are models that demonstrate correlation between specific economic and market data. These models are beginning to form the basis f</w:t>
      </w:r>
      <w:r w:rsidR="00ED56CA">
        <w:rPr>
          <w:rFonts w:ascii="Times New Roman" w:hAnsi="Times New Roman" w:cs="Times New Roman"/>
          <w:noProof/>
          <w:sz w:val="20"/>
          <w:szCs w:val="20"/>
        </w:rPr>
        <w:t xml:space="preserve">or a significant portion of </w:t>
      </w:r>
      <w:r>
        <w:rPr>
          <w:rFonts w:ascii="Times New Roman" w:hAnsi="Times New Roman" w:cs="Times New Roman"/>
          <w:noProof/>
          <w:sz w:val="20"/>
          <w:szCs w:val="20"/>
        </w:rPr>
        <w:t xml:space="preserve">investment activity. </w:t>
      </w:r>
    </w:p>
    <w:p w:rsidR="00ED56CA" w:rsidRDefault="00ED56CA" w:rsidP="00AD3A4F">
      <w:pPr>
        <w:pStyle w:val="NoSpacing"/>
        <w:rPr>
          <w:rFonts w:ascii="Times New Roman" w:hAnsi="Times New Roman" w:cs="Times New Roman"/>
          <w:noProof/>
          <w:sz w:val="20"/>
          <w:szCs w:val="20"/>
        </w:rPr>
      </w:pPr>
    </w:p>
    <w:p w:rsidR="00ED56CA" w:rsidRDefault="00F07EFF" w:rsidP="00ED56CA">
      <w:pPr>
        <w:pStyle w:val="NoSpacing"/>
        <w:ind w:firstLine="720"/>
        <w:rPr>
          <w:rFonts w:ascii="Times New Roman" w:hAnsi="Times New Roman" w:cs="Times New Roman"/>
          <w:noProof/>
          <w:sz w:val="20"/>
          <w:szCs w:val="20"/>
        </w:rPr>
      </w:pPr>
      <w:r>
        <w:rPr>
          <w:rFonts w:ascii="Times New Roman" w:hAnsi="Times New Roman" w:cs="Times New Roman"/>
          <w:noProof/>
          <w:sz w:val="20"/>
          <w:szCs w:val="20"/>
        </w:rPr>
        <w:t>What advice would Swensen have for this trend? The speed of implmentation and the ability of large computing power to forecast results and to demonstrate how current market conditions can be correlated to patterns in the past, leaves those that do not implement such models at a disadvantage. The market continues to accelarate in speed and those tha</w:t>
      </w:r>
      <w:r w:rsidR="008826D2">
        <w:rPr>
          <w:rFonts w:ascii="Times New Roman" w:hAnsi="Times New Roman" w:cs="Times New Roman"/>
          <w:noProof/>
          <w:sz w:val="20"/>
          <w:szCs w:val="20"/>
        </w:rPr>
        <w:t>t fail to automate appear to be left behind. What about Swensen’s illiquid, long-term approach? This may be why he continues to increase his exposure to private equity, venture capital, and other alternative asset classes. Perhaps he realizes that he does not have an advantage in competing with those that employ shorter term strategies highly integrated with automation and systematic risk reduction</w:t>
      </w:r>
      <w:r w:rsidR="00CE52D1">
        <w:rPr>
          <w:rFonts w:ascii="Times New Roman" w:hAnsi="Times New Roman" w:cs="Times New Roman"/>
          <w:noProof/>
          <w:sz w:val="20"/>
          <w:szCs w:val="20"/>
        </w:rPr>
        <w:t xml:space="preserve"> with derivatives</w:t>
      </w:r>
      <w:r w:rsidR="008826D2">
        <w:rPr>
          <w:rFonts w:ascii="Times New Roman" w:hAnsi="Times New Roman" w:cs="Times New Roman"/>
          <w:noProof/>
          <w:sz w:val="20"/>
          <w:szCs w:val="20"/>
        </w:rPr>
        <w:t xml:space="preserve">. </w:t>
      </w:r>
    </w:p>
    <w:p w:rsidR="00ED56CA" w:rsidRDefault="00ED56CA" w:rsidP="00ED56CA">
      <w:pPr>
        <w:pStyle w:val="NoSpacing"/>
        <w:ind w:firstLine="720"/>
        <w:rPr>
          <w:rFonts w:ascii="Times New Roman" w:hAnsi="Times New Roman" w:cs="Times New Roman"/>
          <w:noProof/>
          <w:sz w:val="20"/>
          <w:szCs w:val="20"/>
        </w:rPr>
      </w:pPr>
    </w:p>
    <w:p w:rsidR="00F07EFF" w:rsidRPr="00F07EFF" w:rsidRDefault="008826D2" w:rsidP="00ED56CA">
      <w:pPr>
        <w:pStyle w:val="NoSpacing"/>
        <w:ind w:firstLine="720"/>
        <w:rPr>
          <w:rFonts w:ascii="Times New Roman" w:eastAsia="Times New Roman" w:hAnsi="Times New Roman" w:cs="Times New Roman"/>
          <w:b/>
          <w:color w:val="000000" w:themeColor="text1"/>
          <w:sz w:val="20"/>
          <w:szCs w:val="20"/>
        </w:rPr>
      </w:pPr>
      <w:r>
        <w:rPr>
          <w:rFonts w:ascii="Times New Roman" w:hAnsi="Times New Roman" w:cs="Times New Roman"/>
          <w:noProof/>
          <w:sz w:val="20"/>
          <w:szCs w:val="20"/>
        </w:rPr>
        <w:t>BlackRock conversely continues to embrace and employ technology nearly better to anyone on the planet. They use their prediction models to forecast their positions and systematically cover their exposure with complex derivative strategies. In this manner, as proven by the performance of the Fund, they can outperform conversative benchmarks without significantly increasing risk. How can Swensen argue with this approach? The evidence supports that he realizes that he is be</w:t>
      </w:r>
      <w:r w:rsidR="00ED56CA">
        <w:rPr>
          <w:rFonts w:ascii="Times New Roman" w:hAnsi="Times New Roman" w:cs="Times New Roman"/>
          <w:noProof/>
          <w:sz w:val="20"/>
          <w:szCs w:val="20"/>
        </w:rPr>
        <w:t>hind the curve and like the great</w:t>
      </w:r>
      <w:r>
        <w:rPr>
          <w:rFonts w:ascii="Times New Roman" w:hAnsi="Times New Roman" w:cs="Times New Roman"/>
          <w:noProof/>
          <w:sz w:val="20"/>
          <w:szCs w:val="20"/>
        </w:rPr>
        <w:t xml:space="preserve"> investor that he is, has decided to invest in where he continues to have an advantage, in long-term illiquid investments that require patience, dilligence, effective management, and iron-clad discipline. This is what has worked and continues to work for Yale’s Endownment Fund. In this sense, Swens</w:t>
      </w:r>
      <w:r w:rsidR="00ED56CA">
        <w:rPr>
          <w:rFonts w:ascii="Times New Roman" w:hAnsi="Times New Roman" w:cs="Times New Roman"/>
          <w:noProof/>
          <w:sz w:val="20"/>
          <w:szCs w:val="20"/>
        </w:rPr>
        <w:t xml:space="preserve">en, </w:t>
      </w:r>
      <w:r>
        <w:rPr>
          <w:rFonts w:ascii="Times New Roman" w:hAnsi="Times New Roman" w:cs="Times New Roman"/>
          <w:noProof/>
          <w:sz w:val="20"/>
          <w:szCs w:val="20"/>
        </w:rPr>
        <w:t xml:space="preserve">because he has access to the very best niche managers, may be able to hold off on entering direct competition with organizations that employ sophisicated modeling. </w:t>
      </w:r>
      <w:r w:rsidR="00ED56CA">
        <w:rPr>
          <w:rFonts w:ascii="Times New Roman" w:hAnsi="Times New Roman" w:cs="Times New Roman"/>
          <w:noProof/>
          <w:sz w:val="20"/>
          <w:szCs w:val="20"/>
        </w:rPr>
        <w:t>He also is likely to employ managers that implement these strategies</w:t>
      </w:r>
      <w:r>
        <w:rPr>
          <w:rFonts w:ascii="Times New Roman" w:hAnsi="Times New Roman" w:cs="Times New Roman"/>
          <w:noProof/>
          <w:sz w:val="20"/>
          <w:szCs w:val="20"/>
        </w:rPr>
        <w:t xml:space="preserve"> rather than attempt to beat them at a game that he cannot likely win. It is this wisdom in knowing his limitations that continues to produce great returns for his organization despite his resistance to fully embrace automated investment management. </w:t>
      </w:r>
    </w:p>
    <w:p w:rsidR="00AD3A4F" w:rsidRDefault="00AD3A4F" w:rsidP="00AD3A4F">
      <w:pPr>
        <w:pStyle w:val="NoSpacing"/>
        <w:rPr>
          <w:rFonts w:eastAsia="Times New Roman"/>
          <w:color w:val="000000" w:themeColor="text1"/>
          <w:sz w:val="20"/>
          <w:szCs w:val="20"/>
        </w:rPr>
      </w:pPr>
    </w:p>
    <w:p w:rsidR="00AD3A4F" w:rsidRDefault="00AD3A4F" w:rsidP="00AD3A4F">
      <w:pPr>
        <w:pStyle w:val="NoSpacing"/>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t>The Way Forward</w:t>
      </w:r>
    </w:p>
    <w:p w:rsidR="00AD3A4F" w:rsidRDefault="00AD3A4F" w:rsidP="00AD3A4F">
      <w:pPr>
        <w:pStyle w:val="NoSpacing"/>
        <w:rPr>
          <w:rFonts w:ascii="Times New Roman" w:eastAsia="Times New Roman" w:hAnsi="Times New Roman" w:cs="Times New Roman"/>
          <w:b/>
          <w:color w:val="000000" w:themeColor="text1"/>
          <w:sz w:val="28"/>
          <w:szCs w:val="28"/>
          <w:u w:val="single"/>
        </w:rPr>
      </w:pPr>
    </w:p>
    <w:p w:rsidR="00AD3A4F" w:rsidRPr="008C6190" w:rsidRDefault="00AD3A4F" w:rsidP="008C6190">
      <w:pPr>
        <w:pStyle w:val="NoSpacing"/>
        <w:ind w:firstLine="720"/>
        <w:rPr>
          <w:rFonts w:ascii="Times New Roman" w:eastAsia="Times New Roman" w:hAnsi="Times New Roman" w:cs="Times New Roman"/>
          <w:color w:val="000000" w:themeColor="text1"/>
          <w:sz w:val="20"/>
          <w:szCs w:val="20"/>
        </w:rPr>
      </w:pPr>
      <w:r w:rsidRPr="00AD3A4F">
        <w:rPr>
          <w:rFonts w:ascii="Times New Roman" w:eastAsia="Times New Roman" w:hAnsi="Times New Roman" w:cs="Times New Roman"/>
          <w:color w:val="000000" w:themeColor="text1"/>
          <w:sz w:val="20"/>
          <w:szCs w:val="20"/>
        </w:rPr>
        <w:t>The Fund will likely do well over the next few years if international central banks continue to implement contractionary monetary policy. Since the fund invests tends to generate most its alpha from short po</w:t>
      </w:r>
      <w:r w:rsidR="00ED56CA">
        <w:rPr>
          <w:rFonts w:ascii="Times New Roman" w:eastAsia="Times New Roman" w:hAnsi="Times New Roman" w:cs="Times New Roman"/>
          <w:color w:val="000000" w:themeColor="text1"/>
          <w:sz w:val="20"/>
          <w:szCs w:val="20"/>
        </w:rPr>
        <w:t>sitions, it is likely that the F</w:t>
      </w:r>
      <w:r w:rsidRPr="00AD3A4F">
        <w:rPr>
          <w:rFonts w:ascii="Times New Roman" w:eastAsia="Times New Roman" w:hAnsi="Times New Roman" w:cs="Times New Roman"/>
          <w:color w:val="000000" w:themeColor="text1"/>
          <w:sz w:val="20"/>
          <w:szCs w:val="20"/>
        </w:rPr>
        <w:t xml:space="preserve">und will outperform its benchmark to a significant degree. As a result, the expectation is that the Fund will continue to perform in the top 10% of its class relative to its previous performance in earning a Bronze rating by Morningstar. The way the Fund is hedged also sufficiently mitigates the potentially negative effects of a black swan geopolitical event on performance. It is also likely that such an event may increase returns due to short bias in terms of international valuation modeling. </w:t>
      </w:r>
    </w:p>
    <w:p w:rsidR="00AD3A4F" w:rsidRPr="00AD3A4F" w:rsidRDefault="00702940" w:rsidP="00AD3A4F">
      <w:pPr>
        <w:pStyle w:val="NoSpacing"/>
        <w:rPr>
          <w:rFonts w:ascii="Times New Roman" w:eastAsia="Times New Roman" w:hAnsi="Times New Roman" w:cs="Times New Roman"/>
          <w:color w:val="000000" w:themeColor="text1"/>
        </w:rPr>
      </w:pPr>
      <w:r>
        <w:rPr>
          <w:noProof/>
        </w:rPr>
        <w:drawing>
          <wp:inline distT="0" distB="0" distL="0" distR="0" wp14:anchorId="62A68F86" wp14:editId="78066E80">
            <wp:extent cx="2143125" cy="2143125"/>
            <wp:effectExtent l="0" t="0" r="9525" b="9525"/>
            <wp:docPr id="1030" name="Picture 6" descr="Image result for blackrock global long short equity managers">
              <a:extLst xmlns:a="http://schemas.openxmlformats.org/drawingml/2006/main">
                <a:ext uri="{FF2B5EF4-FFF2-40B4-BE49-F238E27FC236}">
                  <a16:creationId xmlns:a16="http://schemas.microsoft.com/office/drawing/2014/main" id="{8236D91C-D813-4206-9601-28513AF4E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Image result for blackrock global long short equity managers">
                      <a:extLst>
                        <a:ext uri="{FF2B5EF4-FFF2-40B4-BE49-F238E27FC236}">
                          <a16:creationId xmlns:a16="http://schemas.microsoft.com/office/drawing/2014/main" id="{8236D91C-D813-4206-9601-28513AF4E30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02940">
        <w:rPr>
          <w:noProof/>
        </w:rPr>
        <w:t xml:space="preserve"> </w:t>
      </w:r>
      <w:r>
        <w:rPr>
          <w:noProof/>
        </w:rPr>
        <w:drawing>
          <wp:inline distT="0" distB="0" distL="0" distR="0" wp14:anchorId="69E0188B" wp14:editId="74A33712">
            <wp:extent cx="4577285" cy="2149475"/>
            <wp:effectExtent l="0" t="0" r="0" b="3175"/>
            <wp:docPr id="7170" name="Picture 2" descr="Image result for black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mage result for blackr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643" cy="2168896"/>
                    </a:xfrm>
                    <a:prstGeom prst="rect">
                      <a:avLst/>
                    </a:prstGeom>
                    <a:noFill/>
                  </pic:spPr>
                </pic:pic>
              </a:graphicData>
            </a:graphic>
          </wp:inline>
        </w:drawing>
      </w:r>
    </w:p>
    <w:p w:rsidR="001026D1" w:rsidRDefault="001026D1" w:rsidP="0082382F">
      <w:pPr>
        <w:pStyle w:val="ListBullet"/>
        <w:numPr>
          <w:ilvl w:val="0"/>
          <w:numId w:val="0"/>
        </w:numPr>
        <w:spacing w:before="0" w:after="0" w:line="240" w:lineRule="auto"/>
        <w:rPr>
          <w:rFonts w:ascii="Times New Roman" w:hAnsi="Times New Roman" w:cs="Times New Roman"/>
          <w:b/>
          <w:color w:val="auto"/>
          <w:sz w:val="28"/>
          <w:szCs w:val="28"/>
          <w:u w:val="single"/>
        </w:rPr>
      </w:pPr>
    </w:p>
    <w:p w:rsidR="00C574B5" w:rsidRPr="00811521" w:rsidRDefault="00AF2398" w:rsidP="0082382F">
      <w:pPr>
        <w:pStyle w:val="ListBullet"/>
        <w:numPr>
          <w:ilvl w:val="0"/>
          <w:numId w:val="0"/>
        </w:numPr>
        <w:spacing w:before="0" w:after="0" w:line="240" w:lineRule="auto"/>
        <w:rPr>
          <w:rFonts w:ascii="Times New Roman" w:hAnsi="Times New Roman" w:cs="Times New Roman"/>
          <w:b/>
          <w:color w:val="auto"/>
          <w:sz w:val="28"/>
          <w:szCs w:val="28"/>
          <w:u w:val="single"/>
        </w:rPr>
      </w:pPr>
      <w:r w:rsidRPr="00811521">
        <w:rPr>
          <w:rFonts w:ascii="Times New Roman" w:hAnsi="Times New Roman" w:cs="Times New Roman"/>
          <w:b/>
          <w:color w:val="auto"/>
          <w:sz w:val="28"/>
          <w:szCs w:val="28"/>
          <w:u w:val="single"/>
        </w:rPr>
        <w:t>Conclusio</w:t>
      </w:r>
      <w:r w:rsidR="00C574B5" w:rsidRPr="00811521">
        <w:rPr>
          <w:rFonts w:ascii="Times New Roman" w:hAnsi="Times New Roman" w:cs="Times New Roman"/>
          <w:b/>
          <w:color w:val="auto"/>
          <w:sz w:val="28"/>
          <w:szCs w:val="28"/>
          <w:u w:val="single"/>
        </w:rPr>
        <w:t>n</w:t>
      </w:r>
    </w:p>
    <w:p w:rsidR="001026D1" w:rsidRDefault="001026D1" w:rsidP="0082382F">
      <w:pPr>
        <w:pStyle w:val="ListBullet"/>
        <w:numPr>
          <w:ilvl w:val="0"/>
          <w:numId w:val="0"/>
        </w:numPr>
        <w:spacing w:before="0" w:after="0" w:line="240" w:lineRule="auto"/>
        <w:rPr>
          <w:rFonts w:ascii="Times New Roman" w:hAnsi="Times New Roman" w:cs="Times New Roman"/>
          <w:color w:val="auto"/>
          <w:sz w:val="20"/>
          <w:szCs w:val="20"/>
        </w:rPr>
      </w:pPr>
    </w:p>
    <w:p w:rsidR="006A0481" w:rsidRDefault="008C6190" w:rsidP="0082382F">
      <w:pPr>
        <w:pStyle w:val="ListBullet"/>
        <w:numPr>
          <w:ilvl w:val="0"/>
          <w:numId w:val="0"/>
        </w:numPr>
        <w:spacing w:before="0" w:after="0" w:line="240" w:lineRule="auto"/>
        <w:rPr>
          <w:rFonts w:ascii="Times New Roman" w:hAnsi="Times New Roman" w:cs="Times New Roman"/>
          <w:color w:val="auto"/>
          <w:sz w:val="20"/>
          <w:szCs w:val="20"/>
        </w:rPr>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18867</wp:posOffset>
            </wp:positionV>
            <wp:extent cx="3383540" cy="2258432"/>
            <wp:effectExtent l="0" t="0" r="7620" b="8890"/>
            <wp:wrapSquare wrapText="bothSides"/>
            <wp:docPr id="7172" name="Picture 4" descr="Image result for blackrock risk mit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Image result for blackrock risk mit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540" cy="2258432"/>
                    </a:xfrm>
                    <a:prstGeom prst="rect">
                      <a:avLst/>
                    </a:prstGeom>
                    <a:noFill/>
                  </pic:spPr>
                </pic:pic>
              </a:graphicData>
            </a:graphic>
          </wp:anchor>
        </w:drawing>
      </w:r>
      <w:r w:rsidR="00C574B5" w:rsidRPr="00811521">
        <w:rPr>
          <w:rFonts w:ascii="Times New Roman" w:hAnsi="Times New Roman" w:cs="Times New Roman"/>
          <w:color w:val="auto"/>
          <w:sz w:val="20"/>
          <w:szCs w:val="20"/>
        </w:rPr>
        <w:t xml:space="preserve"> </w:t>
      </w:r>
      <w:r w:rsidR="00272324">
        <w:rPr>
          <w:rFonts w:ascii="Times New Roman" w:hAnsi="Times New Roman" w:cs="Times New Roman"/>
          <w:color w:val="auto"/>
          <w:sz w:val="20"/>
          <w:szCs w:val="20"/>
        </w:rPr>
        <w:tab/>
      </w:r>
      <w:r w:rsidR="003445B1">
        <w:rPr>
          <w:rFonts w:ascii="Times New Roman" w:hAnsi="Times New Roman" w:cs="Times New Roman"/>
          <w:color w:val="auto"/>
          <w:sz w:val="20"/>
          <w:szCs w:val="20"/>
        </w:rPr>
        <w:t>In this</w:t>
      </w:r>
      <w:r w:rsidR="002363EE" w:rsidRPr="00811521">
        <w:rPr>
          <w:rFonts w:ascii="Times New Roman" w:hAnsi="Times New Roman" w:cs="Times New Roman"/>
          <w:color w:val="auto"/>
          <w:sz w:val="20"/>
          <w:szCs w:val="20"/>
        </w:rPr>
        <w:t xml:space="preserve"> analysis</w:t>
      </w:r>
      <w:r>
        <w:rPr>
          <w:rFonts w:ascii="Times New Roman" w:hAnsi="Times New Roman" w:cs="Times New Roman"/>
          <w:color w:val="auto"/>
          <w:sz w:val="20"/>
          <w:szCs w:val="20"/>
        </w:rPr>
        <w:t>, the Fund</w:t>
      </w:r>
      <w:r w:rsidR="003445B1">
        <w:rPr>
          <w:rFonts w:ascii="Times New Roman" w:hAnsi="Times New Roman" w:cs="Times New Roman"/>
          <w:color w:val="auto"/>
          <w:sz w:val="20"/>
          <w:szCs w:val="20"/>
        </w:rPr>
        <w:t xml:space="preserve"> validated its</w:t>
      </w:r>
      <w:r w:rsidR="002363EE" w:rsidRPr="00811521">
        <w:rPr>
          <w:rFonts w:ascii="Times New Roman" w:hAnsi="Times New Roman" w:cs="Times New Roman"/>
          <w:color w:val="auto"/>
          <w:sz w:val="20"/>
          <w:szCs w:val="20"/>
        </w:rPr>
        <w:t xml:space="preserve"> s</w:t>
      </w:r>
      <w:r w:rsidR="003445B1">
        <w:rPr>
          <w:rFonts w:ascii="Times New Roman" w:hAnsi="Times New Roman" w:cs="Times New Roman"/>
          <w:color w:val="auto"/>
          <w:sz w:val="20"/>
          <w:szCs w:val="20"/>
        </w:rPr>
        <w:t>trength and leadership</w:t>
      </w:r>
      <w:r w:rsidR="00F6091E">
        <w:rPr>
          <w:rFonts w:ascii="Times New Roman" w:hAnsi="Times New Roman" w:cs="Times New Roman"/>
          <w:color w:val="auto"/>
          <w:sz w:val="20"/>
          <w:szCs w:val="20"/>
        </w:rPr>
        <w:t xml:space="preserve"> relative</w:t>
      </w:r>
      <w:r w:rsidR="00A67F4E" w:rsidRPr="00811521">
        <w:rPr>
          <w:rFonts w:ascii="Times New Roman" w:hAnsi="Times New Roman" w:cs="Times New Roman"/>
          <w:color w:val="auto"/>
          <w:sz w:val="20"/>
          <w:szCs w:val="20"/>
        </w:rPr>
        <w:t xml:space="preserve"> </w:t>
      </w:r>
      <w:r w:rsidR="002363EE" w:rsidRPr="00811521">
        <w:rPr>
          <w:rFonts w:ascii="Times New Roman" w:hAnsi="Times New Roman" w:cs="Times New Roman"/>
          <w:color w:val="auto"/>
          <w:sz w:val="20"/>
          <w:szCs w:val="20"/>
        </w:rPr>
        <w:t xml:space="preserve">to its industry. </w:t>
      </w:r>
      <w:r w:rsidR="00F32B64" w:rsidRPr="00811521">
        <w:rPr>
          <w:rFonts w:ascii="Times New Roman" w:hAnsi="Times New Roman" w:cs="Times New Roman"/>
          <w:color w:val="auto"/>
          <w:sz w:val="20"/>
          <w:szCs w:val="20"/>
        </w:rPr>
        <w:t>A</w:t>
      </w:r>
      <w:r w:rsidR="00F6091E">
        <w:rPr>
          <w:rFonts w:ascii="Times New Roman" w:hAnsi="Times New Roman" w:cs="Times New Roman"/>
          <w:color w:val="auto"/>
          <w:sz w:val="20"/>
          <w:szCs w:val="20"/>
        </w:rPr>
        <w:t>chieving high</w:t>
      </w:r>
      <w:r w:rsidR="00B364D6" w:rsidRPr="00811521">
        <w:rPr>
          <w:rFonts w:ascii="Times New Roman" w:hAnsi="Times New Roman" w:cs="Times New Roman"/>
          <w:color w:val="auto"/>
          <w:sz w:val="20"/>
          <w:szCs w:val="20"/>
        </w:rPr>
        <w:t xml:space="preserve"> returns</w:t>
      </w:r>
      <w:r w:rsidR="00327C43">
        <w:rPr>
          <w:rFonts w:ascii="Times New Roman" w:hAnsi="Times New Roman" w:cs="Times New Roman"/>
          <w:color w:val="auto"/>
          <w:sz w:val="20"/>
          <w:szCs w:val="20"/>
        </w:rPr>
        <w:t xml:space="preserve"> with limited risk</w:t>
      </w:r>
      <w:r w:rsidR="00B364D6" w:rsidRPr="00811521">
        <w:rPr>
          <w:rFonts w:ascii="Times New Roman" w:hAnsi="Times New Roman" w:cs="Times New Roman"/>
          <w:color w:val="auto"/>
          <w:sz w:val="20"/>
          <w:szCs w:val="20"/>
        </w:rPr>
        <w:t xml:space="preserve"> is </w:t>
      </w:r>
      <w:r w:rsidR="00327C43">
        <w:rPr>
          <w:rFonts w:ascii="Times New Roman" w:hAnsi="Times New Roman" w:cs="Times New Roman"/>
          <w:color w:val="auto"/>
          <w:sz w:val="20"/>
          <w:szCs w:val="20"/>
        </w:rPr>
        <w:t xml:space="preserve">not achieved </w:t>
      </w:r>
      <w:r w:rsidR="00B364D6" w:rsidRPr="00811521">
        <w:rPr>
          <w:rFonts w:ascii="Times New Roman" w:hAnsi="Times New Roman" w:cs="Times New Roman"/>
          <w:color w:val="auto"/>
          <w:sz w:val="20"/>
          <w:szCs w:val="20"/>
        </w:rPr>
        <w:t xml:space="preserve">by chance. It is the result of strong </w:t>
      </w:r>
      <w:r w:rsidR="00327C43">
        <w:rPr>
          <w:rFonts w:ascii="Times New Roman" w:hAnsi="Times New Roman" w:cs="Times New Roman"/>
          <w:color w:val="auto"/>
          <w:sz w:val="20"/>
          <w:szCs w:val="20"/>
        </w:rPr>
        <w:t>systematic financial management. BlackRock</w:t>
      </w:r>
      <w:r w:rsidR="00B364D6" w:rsidRPr="00811521">
        <w:rPr>
          <w:rFonts w:ascii="Times New Roman" w:hAnsi="Times New Roman" w:cs="Times New Roman"/>
          <w:color w:val="auto"/>
          <w:sz w:val="20"/>
          <w:szCs w:val="20"/>
        </w:rPr>
        <w:t xml:space="preserve"> is a strong partner </w:t>
      </w:r>
      <w:r w:rsidR="00327C43">
        <w:rPr>
          <w:rFonts w:ascii="Times New Roman" w:hAnsi="Times New Roman" w:cs="Times New Roman"/>
          <w:color w:val="auto"/>
          <w:sz w:val="20"/>
          <w:szCs w:val="20"/>
        </w:rPr>
        <w:t>in the formulation of the new financial</w:t>
      </w:r>
      <w:r w:rsidR="00B364D6" w:rsidRPr="00811521">
        <w:rPr>
          <w:rFonts w:ascii="Times New Roman" w:hAnsi="Times New Roman" w:cs="Times New Roman"/>
          <w:color w:val="auto"/>
          <w:sz w:val="20"/>
          <w:szCs w:val="20"/>
        </w:rPr>
        <w:t xml:space="preserve"> market</w:t>
      </w:r>
      <w:r w:rsidR="00984B57">
        <w:rPr>
          <w:rFonts w:ascii="Times New Roman" w:hAnsi="Times New Roman" w:cs="Times New Roman"/>
          <w:color w:val="auto"/>
          <w:sz w:val="20"/>
          <w:szCs w:val="20"/>
        </w:rPr>
        <w:t>s. It is</w:t>
      </w:r>
      <w:r w:rsidR="00327C43">
        <w:rPr>
          <w:rFonts w:ascii="Times New Roman" w:hAnsi="Times New Roman" w:cs="Times New Roman"/>
          <w:color w:val="auto"/>
          <w:sz w:val="20"/>
          <w:szCs w:val="20"/>
        </w:rPr>
        <w:t xml:space="preserve"> implementing the most cutting edge technology in </w:t>
      </w:r>
      <w:r w:rsidR="00B364D6" w:rsidRPr="00811521">
        <w:rPr>
          <w:rFonts w:ascii="Times New Roman" w:hAnsi="Times New Roman" w:cs="Times New Roman"/>
          <w:color w:val="auto"/>
          <w:sz w:val="20"/>
          <w:szCs w:val="20"/>
        </w:rPr>
        <w:t>the world</w:t>
      </w:r>
      <w:r w:rsidR="00327C43">
        <w:rPr>
          <w:rFonts w:ascii="Times New Roman" w:hAnsi="Times New Roman" w:cs="Times New Roman"/>
          <w:color w:val="auto"/>
          <w:sz w:val="20"/>
          <w:szCs w:val="20"/>
        </w:rPr>
        <w:t xml:space="preserve">. </w:t>
      </w:r>
      <w:r w:rsidR="00984B57">
        <w:rPr>
          <w:rFonts w:ascii="Times New Roman" w:hAnsi="Times New Roman" w:cs="Times New Roman"/>
          <w:color w:val="auto"/>
          <w:sz w:val="20"/>
          <w:szCs w:val="20"/>
        </w:rPr>
        <w:t>It is</w:t>
      </w:r>
      <w:r w:rsidR="00327C43">
        <w:rPr>
          <w:rFonts w:ascii="Times New Roman" w:hAnsi="Times New Roman" w:cs="Times New Roman"/>
          <w:color w:val="auto"/>
          <w:sz w:val="20"/>
          <w:szCs w:val="20"/>
        </w:rPr>
        <w:t xml:space="preserve"> presenting new </w:t>
      </w:r>
      <w:r w:rsidR="00B364D6" w:rsidRPr="00811521">
        <w:rPr>
          <w:rFonts w:ascii="Times New Roman" w:hAnsi="Times New Roman" w:cs="Times New Roman"/>
          <w:color w:val="auto"/>
          <w:sz w:val="20"/>
          <w:szCs w:val="20"/>
        </w:rPr>
        <w:t>solution</w:t>
      </w:r>
      <w:r w:rsidR="00327C43">
        <w:rPr>
          <w:rFonts w:ascii="Times New Roman" w:hAnsi="Times New Roman" w:cs="Times New Roman"/>
          <w:color w:val="auto"/>
          <w:sz w:val="20"/>
          <w:szCs w:val="20"/>
        </w:rPr>
        <w:t>s</w:t>
      </w:r>
      <w:r w:rsidR="00B364D6" w:rsidRPr="00811521">
        <w:rPr>
          <w:rFonts w:ascii="Times New Roman" w:hAnsi="Times New Roman" w:cs="Times New Roman"/>
          <w:color w:val="auto"/>
          <w:sz w:val="20"/>
          <w:szCs w:val="20"/>
        </w:rPr>
        <w:t xml:space="preserve"> for the future of </w:t>
      </w:r>
      <w:r w:rsidR="00327C43">
        <w:rPr>
          <w:rFonts w:ascii="Times New Roman" w:hAnsi="Times New Roman" w:cs="Times New Roman"/>
          <w:color w:val="auto"/>
          <w:sz w:val="20"/>
          <w:szCs w:val="20"/>
        </w:rPr>
        <w:t xml:space="preserve">investing by integrating AI, </w:t>
      </w:r>
      <w:r w:rsidR="00B364D6" w:rsidRPr="00811521">
        <w:rPr>
          <w:rFonts w:ascii="Times New Roman" w:hAnsi="Times New Roman" w:cs="Times New Roman"/>
          <w:color w:val="auto"/>
          <w:sz w:val="20"/>
          <w:szCs w:val="20"/>
        </w:rPr>
        <w:t>Deeplearning, D</w:t>
      </w:r>
      <w:r w:rsidR="00327C43">
        <w:rPr>
          <w:rFonts w:ascii="Times New Roman" w:hAnsi="Times New Roman" w:cs="Times New Roman"/>
          <w:color w:val="auto"/>
          <w:sz w:val="20"/>
          <w:szCs w:val="20"/>
        </w:rPr>
        <w:t>atacenters, and blockchain technology</w:t>
      </w:r>
      <w:r w:rsidR="00B364D6" w:rsidRPr="00811521">
        <w:rPr>
          <w:rFonts w:ascii="Times New Roman" w:hAnsi="Times New Roman" w:cs="Times New Roman"/>
          <w:color w:val="auto"/>
          <w:sz w:val="20"/>
          <w:szCs w:val="20"/>
        </w:rPr>
        <w:t xml:space="preserve">. </w:t>
      </w:r>
      <w:r w:rsidR="00255A76" w:rsidRPr="00811521">
        <w:rPr>
          <w:rFonts w:ascii="Times New Roman" w:hAnsi="Times New Roman" w:cs="Times New Roman"/>
          <w:color w:val="auto"/>
          <w:sz w:val="20"/>
          <w:szCs w:val="20"/>
        </w:rPr>
        <w:t>The analysis of the</w:t>
      </w:r>
      <w:r w:rsidR="00327C43">
        <w:rPr>
          <w:rFonts w:ascii="Times New Roman" w:hAnsi="Times New Roman" w:cs="Times New Roman"/>
          <w:color w:val="auto"/>
          <w:sz w:val="20"/>
          <w:szCs w:val="20"/>
        </w:rPr>
        <w:t xml:space="preserve"> investment philosophy and the operational success of the Fund</w:t>
      </w:r>
      <w:r w:rsidR="005F3E63">
        <w:rPr>
          <w:rFonts w:ascii="Times New Roman" w:hAnsi="Times New Roman" w:cs="Times New Roman"/>
          <w:color w:val="auto"/>
          <w:sz w:val="20"/>
          <w:szCs w:val="20"/>
        </w:rPr>
        <w:t xml:space="preserve"> demonstrates that it is</w:t>
      </w:r>
      <w:r w:rsidR="00255A76" w:rsidRPr="00811521">
        <w:rPr>
          <w:rFonts w:ascii="Times New Roman" w:hAnsi="Times New Roman" w:cs="Times New Roman"/>
          <w:color w:val="auto"/>
          <w:sz w:val="20"/>
          <w:szCs w:val="20"/>
        </w:rPr>
        <w:t xml:space="preserve"> effectively implementing strategies that have generated supe</w:t>
      </w:r>
      <w:r w:rsidR="005F3E63">
        <w:rPr>
          <w:rFonts w:ascii="Times New Roman" w:hAnsi="Times New Roman" w:cs="Times New Roman"/>
          <w:color w:val="auto"/>
          <w:sz w:val="20"/>
          <w:szCs w:val="20"/>
        </w:rPr>
        <w:t xml:space="preserve">rior results confirmed by its </w:t>
      </w:r>
      <w:r w:rsidR="00255A76" w:rsidRPr="00811521">
        <w:rPr>
          <w:rFonts w:ascii="Times New Roman" w:hAnsi="Times New Roman" w:cs="Times New Roman"/>
          <w:color w:val="auto"/>
          <w:sz w:val="20"/>
          <w:szCs w:val="20"/>
        </w:rPr>
        <w:t>financial performance</w:t>
      </w:r>
      <w:r w:rsidR="00327C43">
        <w:rPr>
          <w:rFonts w:ascii="Times New Roman" w:hAnsi="Times New Roman" w:cs="Times New Roman"/>
          <w:color w:val="auto"/>
          <w:sz w:val="20"/>
          <w:szCs w:val="20"/>
        </w:rPr>
        <w:t xml:space="preserve"> relative to risk</w:t>
      </w:r>
      <w:r w:rsidR="00255A76" w:rsidRPr="00811521">
        <w:rPr>
          <w:rFonts w:ascii="Times New Roman" w:hAnsi="Times New Roman" w:cs="Times New Roman"/>
          <w:color w:val="auto"/>
          <w:sz w:val="20"/>
          <w:szCs w:val="20"/>
        </w:rPr>
        <w:t xml:space="preserve">. </w:t>
      </w:r>
      <w:r w:rsidR="005F3E63">
        <w:rPr>
          <w:rFonts w:ascii="Times New Roman" w:hAnsi="Times New Roman" w:cs="Times New Roman"/>
          <w:color w:val="auto"/>
          <w:sz w:val="20"/>
          <w:szCs w:val="20"/>
        </w:rPr>
        <w:t>Due to its</w:t>
      </w:r>
      <w:r w:rsidR="00B364D6" w:rsidRPr="00811521">
        <w:rPr>
          <w:rFonts w:ascii="Times New Roman" w:hAnsi="Times New Roman" w:cs="Times New Roman"/>
          <w:color w:val="auto"/>
          <w:sz w:val="20"/>
          <w:szCs w:val="20"/>
        </w:rPr>
        <w:t xml:space="preserve"> expertise in </w:t>
      </w:r>
      <w:r w:rsidR="00327C43">
        <w:rPr>
          <w:rFonts w:ascii="Times New Roman" w:hAnsi="Times New Roman" w:cs="Times New Roman"/>
          <w:color w:val="auto"/>
          <w:sz w:val="20"/>
          <w:szCs w:val="20"/>
        </w:rPr>
        <w:t>risk management employed through derivative strategies and their effective decision models, BlackRock is a</w:t>
      </w:r>
      <w:r w:rsidR="00B364D6" w:rsidRPr="00811521">
        <w:rPr>
          <w:rFonts w:ascii="Times New Roman" w:hAnsi="Times New Roman" w:cs="Times New Roman"/>
          <w:color w:val="auto"/>
          <w:sz w:val="20"/>
          <w:szCs w:val="20"/>
        </w:rPr>
        <w:t xml:space="preserve"> pro</w:t>
      </w:r>
      <w:r w:rsidR="00327C43">
        <w:rPr>
          <w:rFonts w:ascii="Times New Roman" w:hAnsi="Times New Roman" w:cs="Times New Roman"/>
          <w:color w:val="auto"/>
          <w:sz w:val="20"/>
          <w:szCs w:val="20"/>
        </w:rPr>
        <w:t>jected leader for developing the future automated growth</w:t>
      </w:r>
      <w:r w:rsidR="00B364D6" w:rsidRPr="00811521">
        <w:rPr>
          <w:rFonts w:ascii="Times New Roman" w:hAnsi="Times New Roman" w:cs="Times New Roman"/>
          <w:color w:val="auto"/>
          <w:sz w:val="20"/>
          <w:szCs w:val="20"/>
        </w:rPr>
        <w:t xml:space="preserve"> for Deeplearning, AI and its numerous applications</w:t>
      </w:r>
      <w:r w:rsidR="00327C43">
        <w:rPr>
          <w:rFonts w:ascii="Times New Roman" w:hAnsi="Times New Roman" w:cs="Times New Roman"/>
          <w:color w:val="auto"/>
          <w:sz w:val="20"/>
          <w:szCs w:val="20"/>
        </w:rPr>
        <w:t xml:space="preserve"> within the investment industry</w:t>
      </w:r>
      <w:r w:rsidR="00B364D6" w:rsidRPr="00811521">
        <w:rPr>
          <w:rFonts w:ascii="Times New Roman" w:hAnsi="Times New Roman" w:cs="Times New Roman"/>
          <w:color w:val="auto"/>
          <w:sz w:val="20"/>
          <w:szCs w:val="20"/>
        </w:rPr>
        <w:t xml:space="preserve">. </w:t>
      </w:r>
    </w:p>
    <w:p w:rsidR="001026D1" w:rsidRDefault="001026D1" w:rsidP="00327C43">
      <w:pPr>
        <w:pStyle w:val="NoSpacing"/>
        <w:rPr>
          <w:rFonts w:ascii="Times New Roman" w:hAnsi="Times New Roman" w:cs="Times New Roman"/>
          <w:sz w:val="20"/>
          <w:szCs w:val="20"/>
        </w:rPr>
      </w:pPr>
    </w:p>
    <w:p w:rsidR="007936BF" w:rsidRDefault="008C6190" w:rsidP="000976A0">
      <w:pPr>
        <w:pStyle w:val="NoSpacing"/>
        <w:ind w:firstLine="720"/>
        <w:rPr>
          <w:rFonts w:ascii="Times New Roman" w:hAnsi="Times New Roman" w:cs="Times New Roman"/>
          <w:sz w:val="20"/>
          <w:szCs w:val="20"/>
        </w:rPr>
      </w:pPr>
      <w:r>
        <w:rPr>
          <w:noProof/>
        </w:rPr>
        <w:drawing>
          <wp:anchor distT="0" distB="0" distL="114300" distR="114300" simplePos="0" relativeHeight="251685888" behindDoc="0" locked="0" layoutInCell="1" allowOverlap="1">
            <wp:simplePos x="0" y="0"/>
            <wp:positionH relativeFrom="margin">
              <wp:posOffset>3297555</wp:posOffset>
            </wp:positionH>
            <wp:positionV relativeFrom="paragraph">
              <wp:posOffset>49530</wp:posOffset>
            </wp:positionV>
            <wp:extent cx="3554095" cy="2368550"/>
            <wp:effectExtent l="0" t="0" r="8255" b="0"/>
            <wp:wrapSquare wrapText="bothSides"/>
            <wp:docPr id="10246" name="Picture 6" descr="Image result for artificial intelligence and world">
              <a:extLst xmlns:a="http://schemas.openxmlformats.org/drawingml/2006/main">
                <a:ext uri="{FF2B5EF4-FFF2-40B4-BE49-F238E27FC236}">
                  <a16:creationId xmlns:a16="http://schemas.microsoft.com/office/drawing/2014/main" id="{748B0E60-0DD0-41C5-8666-65AF41594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descr="Image result for artificial intelligence and world">
                      <a:extLst>
                        <a:ext uri="{FF2B5EF4-FFF2-40B4-BE49-F238E27FC236}">
                          <a16:creationId xmlns:a16="http://schemas.microsoft.com/office/drawing/2014/main" id="{748B0E60-0DD0-41C5-8666-65AF415940B3}"/>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4095" cy="2368550"/>
                    </a:xfrm>
                    <a:prstGeom prst="rect">
                      <a:avLst/>
                    </a:prstGeom>
                    <a:noFill/>
                  </pic:spPr>
                </pic:pic>
              </a:graphicData>
            </a:graphic>
            <wp14:sizeRelH relativeFrom="margin">
              <wp14:pctWidth>0</wp14:pctWidth>
            </wp14:sizeRelH>
            <wp14:sizeRelV relativeFrom="margin">
              <wp14:pctHeight>0</wp14:pctHeight>
            </wp14:sizeRelV>
          </wp:anchor>
        </w:drawing>
      </w:r>
      <w:r w:rsidR="00B364D6" w:rsidRPr="00811521">
        <w:rPr>
          <w:rFonts w:ascii="Times New Roman" w:hAnsi="Times New Roman" w:cs="Times New Roman"/>
          <w:sz w:val="20"/>
          <w:szCs w:val="20"/>
        </w:rPr>
        <w:t>Fro</w:t>
      </w:r>
      <w:r w:rsidR="003445B1">
        <w:rPr>
          <w:rFonts w:ascii="Times New Roman" w:hAnsi="Times New Roman" w:cs="Times New Roman"/>
          <w:sz w:val="20"/>
          <w:szCs w:val="20"/>
        </w:rPr>
        <w:t xml:space="preserve">m a pure financial perspective, </w:t>
      </w:r>
      <w:r w:rsidR="005F3E63">
        <w:rPr>
          <w:rFonts w:ascii="Times New Roman" w:eastAsia="Times New Roman" w:hAnsi="Times New Roman" w:cs="Times New Roman"/>
          <w:sz w:val="20"/>
          <w:szCs w:val="20"/>
        </w:rPr>
        <w:t>the Fund</w:t>
      </w:r>
      <w:r w:rsidR="003445B1">
        <w:rPr>
          <w:rFonts w:ascii="Times New Roman" w:eastAsia="Times New Roman" w:hAnsi="Times New Roman" w:cs="Times New Roman"/>
          <w:sz w:val="20"/>
          <w:szCs w:val="20"/>
        </w:rPr>
        <w:t xml:space="preserve"> has</w:t>
      </w:r>
      <w:r w:rsidR="005F3E63">
        <w:rPr>
          <w:rFonts w:ascii="Times New Roman" w:eastAsia="Times New Roman" w:hAnsi="Times New Roman" w:cs="Times New Roman"/>
          <w:sz w:val="20"/>
          <w:szCs w:val="20"/>
        </w:rPr>
        <w:t xml:space="preserve"> relative returns</w:t>
      </w:r>
      <w:r w:rsidR="003445B1" w:rsidRPr="00811521">
        <w:rPr>
          <w:rFonts w:ascii="Times New Roman" w:eastAsia="Times New Roman" w:hAnsi="Times New Roman" w:cs="Times New Roman"/>
          <w:sz w:val="20"/>
          <w:szCs w:val="20"/>
        </w:rPr>
        <w:t xml:space="preserve"> in earnings at a higher</w:t>
      </w:r>
      <w:r w:rsidR="005F3E63">
        <w:rPr>
          <w:rFonts w:ascii="Times New Roman" w:eastAsia="Times New Roman" w:hAnsi="Times New Roman" w:cs="Times New Roman"/>
          <w:sz w:val="20"/>
          <w:szCs w:val="20"/>
        </w:rPr>
        <w:t xml:space="preserve"> rate than their benchmark risk. This performance makes a strong case for the implementation of automation in the investment decision and operational process. The demonstrated complexity of the Fund is not easily duplicated with a more traditional management strategy. Due to their integration of complex systematic risk reduction through the use of derivatives, they are able to assume higher returns with lower relative risk than their peers. This is noteworthy and is likely to cause</w:t>
      </w:r>
      <w:r w:rsidR="00CE52D1">
        <w:rPr>
          <w:rFonts w:ascii="Times New Roman" w:eastAsia="Times New Roman" w:hAnsi="Times New Roman" w:cs="Times New Roman"/>
          <w:sz w:val="20"/>
          <w:szCs w:val="20"/>
        </w:rPr>
        <w:t xml:space="preserve"> those like Swensen to either</w:t>
      </w:r>
      <w:r w:rsidR="005F3E63">
        <w:rPr>
          <w:rFonts w:ascii="Times New Roman" w:eastAsia="Times New Roman" w:hAnsi="Times New Roman" w:cs="Times New Roman"/>
          <w:sz w:val="20"/>
          <w:szCs w:val="20"/>
        </w:rPr>
        <w:t xml:space="preserve"> acknow</w:t>
      </w:r>
      <w:r w:rsidR="00CE52D1">
        <w:rPr>
          <w:rFonts w:ascii="Times New Roman" w:eastAsia="Times New Roman" w:hAnsi="Times New Roman" w:cs="Times New Roman"/>
          <w:sz w:val="20"/>
          <w:szCs w:val="20"/>
        </w:rPr>
        <w:t>ledge that they cannot recreate this combination of low risk and high relative returns so why not join hire a similar Fund</w:t>
      </w:r>
      <w:r w:rsidR="005F3E63">
        <w:rPr>
          <w:rFonts w:ascii="Times New Roman" w:eastAsia="Times New Roman" w:hAnsi="Times New Roman" w:cs="Times New Roman"/>
          <w:sz w:val="20"/>
          <w:szCs w:val="20"/>
        </w:rPr>
        <w:t xml:space="preserve">, due to the impossibility of implementing a similar strategy without a high level of automation. In this sense, the financial markets are welcoming a brave new world that moves faster with less risk than ever humanly imagined. The future is near and even Swensen will have to acknowledge that it may cause him to rethink his asset allocation to include managers that employ complex derivative strategies that can increase his returns significantly. If not, he runs the risk of being left behind and reducing his returns relative to the competition. This is not likely to </w:t>
      </w:r>
      <w:r w:rsidR="006B2BAD">
        <w:rPr>
          <w:rFonts w:ascii="Times New Roman" w:eastAsia="Times New Roman" w:hAnsi="Times New Roman" w:cs="Times New Roman"/>
          <w:sz w:val="20"/>
          <w:szCs w:val="20"/>
        </w:rPr>
        <w:t>occur given his strong historical performance;</w:t>
      </w:r>
      <w:r w:rsidR="005F3E63">
        <w:rPr>
          <w:rFonts w:ascii="Times New Roman" w:eastAsia="Times New Roman" w:hAnsi="Times New Roman" w:cs="Times New Roman"/>
          <w:sz w:val="20"/>
          <w:szCs w:val="20"/>
        </w:rPr>
        <w:t xml:space="preserve"> therefore, we can expect others like Swensen to embrace these new developments</w:t>
      </w:r>
      <w:r w:rsidR="006B2BAD">
        <w:rPr>
          <w:rFonts w:ascii="Times New Roman" w:eastAsia="Times New Roman" w:hAnsi="Times New Roman" w:cs="Times New Roman"/>
          <w:sz w:val="20"/>
          <w:szCs w:val="20"/>
        </w:rPr>
        <w:t xml:space="preserve"> and to welcome in a new world where risk is reduced through complexity. </w:t>
      </w:r>
      <w:r w:rsidR="000976A0">
        <w:rPr>
          <w:rFonts w:ascii="Times New Roman" w:eastAsia="Times New Roman" w:hAnsi="Times New Roman" w:cs="Times New Roman"/>
          <w:sz w:val="20"/>
          <w:szCs w:val="20"/>
        </w:rPr>
        <w:t xml:space="preserve"> </w:t>
      </w:r>
    </w:p>
    <w:p w:rsidR="007936BF" w:rsidRPr="003F3888" w:rsidRDefault="007936BF" w:rsidP="008C6190">
      <w:pPr>
        <w:pStyle w:val="NoSpacing"/>
        <w:jc w:val="center"/>
        <w:rPr>
          <w:rFonts w:ascii="Times New Roman" w:hAnsi="Times New Roman" w:cs="Times New Roman"/>
          <w:b/>
          <w:sz w:val="20"/>
          <w:szCs w:val="20"/>
          <w:u w:val="single"/>
        </w:rPr>
      </w:pPr>
    </w:p>
    <w:sectPr w:rsidR="007936BF" w:rsidRPr="003F3888" w:rsidSect="00D276B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BFA" w:rsidRDefault="00116BFA" w:rsidP="00CB4F43">
      <w:pPr>
        <w:spacing w:after="0" w:line="240" w:lineRule="auto"/>
      </w:pPr>
      <w:r>
        <w:separator/>
      </w:r>
    </w:p>
  </w:endnote>
  <w:endnote w:type="continuationSeparator" w:id="0">
    <w:p w:rsidR="00116BFA" w:rsidRDefault="00116BFA" w:rsidP="00CB4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BFA" w:rsidRDefault="00116BFA" w:rsidP="00CB4F43">
      <w:pPr>
        <w:spacing w:after="0" w:line="240" w:lineRule="auto"/>
      </w:pPr>
      <w:r>
        <w:separator/>
      </w:r>
    </w:p>
  </w:footnote>
  <w:footnote w:type="continuationSeparator" w:id="0">
    <w:p w:rsidR="00116BFA" w:rsidRDefault="00116BFA" w:rsidP="00CB4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1B2853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3EC678BD"/>
    <w:multiLevelType w:val="hybridMultilevel"/>
    <w:tmpl w:val="93D4C75C"/>
    <w:lvl w:ilvl="0" w:tplc="93F80398">
      <w:start w:val="1"/>
      <w:numFmt w:val="bullet"/>
      <w:lvlText w:val=""/>
      <w:lvlJc w:val="left"/>
      <w:pPr>
        <w:tabs>
          <w:tab w:val="num" w:pos="720"/>
        </w:tabs>
        <w:ind w:left="720" w:hanging="360"/>
      </w:pPr>
      <w:rPr>
        <w:rFonts w:ascii="Wingdings 2" w:hAnsi="Wingdings 2" w:hint="default"/>
      </w:rPr>
    </w:lvl>
    <w:lvl w:ilvl="1" w:tplc="517803C4" w:tentative="1">
      <w:start w:val="1"/>
      <w:numFmt w:val="bullet"/>
      <w:lvlText w:val=""/>
      <w:lvlJc w:val="left"/>
      <w:pPr>
        <w:tabs>
          <w:tab w:val="num" w:pos="1440"/>
        </w:tabs>
        <w:ind w:left="1440" w:hanging="360"/>
      </w:pPr>
      <w:rPr>
        <w:rFonts w:ascii="Wingdings 2" w:hAnsi="Wingdings 2" w:hint="default"/>
      </w:rPr>
    </w:lvl>
    <w:lvl w:ilvl="2" w:tplc="C7105244" w:tentative="1">
      <w:start w:val="1"/>
      <w:numFmt w:val="bullet"/>
      <w:lvlText w:val=""/>
      <w:lvlJc w:val="left"/>
      <w:pPr>
        <w:tabs>
          <w:tab w:val="num" w:pos="2160"/>
        </w:tabs>
        <w:ind w:left="2160" w:hanging="360"/>
      </w:pPr>
      <w:rPr>
        <w:rFonts w:ascii="Wingdings 2" w:hAnsi="Wingdings 2" w:hint="default"/>
      </w:rPr>
    </w:lvl>
    <w:lvl w:ilvl="3" w:tplc="5090FDD2" w:tentative="1">
      <w:start w:val="1"/>
      <w:numFmt w:val="bullet"/>
      <w:lvlText w:val=""/>
      <w:lvlJc w:val="left"/>
      <w:pPr>
        <w:tabs>
          <w:tab w:val="num" w:pos="2880"/>
        </w:tabs>
        <w:ind w:left="2880" w:hanging="360"/>
      </w:pPr>
      <w:rPr>
        <w:rFonts w:ascii="Wingdings 2" w:hAnsi="Wingdings 2" w:hint="default"/>
      </w:rPr>
    </w:lvl>
    <w:lvl w:ilvl="4" w:tplc="1F3471C8" w:tentative="1">
      <w:start w:val="1"/>
      <w:numFmt w:val="bullet"/>
      <w:lvlText w:val=""/>
      <w:lvlJc w:val="left"/>
      <w:pPr>
        <w:tabs>
          <w:tab w:val="num" w:pos="3600"/>
        </w:tabs>
        <w:ind w:left="3600" w:hanging="360"/>
      </w:pPr>
      <w:rPr>
        <w:rFonts w:ascii="Wingdings 2" w:hAnsi="Wingdings 2" w:hint="default"/>
      </w:rPr>
    </w:lvl>
    <w:lvl w:ilvl="5" w:tplc="75B07704" w:tentative="1">
      <w:start w:val="1"/>
      <w:numFmt w:val="bullet"/>
      <w:lvlText w:val=""/>
      <w:lvlJc w:val="left"/>
      <w:pPr>
        <w:tabs>
          <w:tab w:val="num" w:pos="4320"/>
        </w:tabs>
        <w:ind w:left="4320" w:hanging="360"/>
      </w:pPr>
      <w:rPr>
        <w:rFonts w:ascii="Wingdings 2" w:hAnsi="Wingdings 2" w:hint="default"/>
      </w:rPr>
    </w:lvl>
    <w:lvl w:ilvl="6" w:tplc="49BAEE3A" w:tentative="1">
      <w:start w:val="1"/>
      <w:numFmt w:val="bullet"/>
      <w:lvlText w:val=""/>
      <w:lvlJc w:val="left"/>
      <w:pPr>
        <w:tabs>
          <w:tab w:val="num" w:pos="5040"/>
        </w:tabs>
        <w:ind w:left="5040" w:hanging="360"/>
      </w:pPr>
      <w:rPr>
        <w:rFonts w:ascii="Wingdings 2" w:hAnsi="Wingdings 2" w:hint="default"/>
      </w:rPr>
    </w:lvl>
    <w:lvl w:ilvl="7" w:tplc="E05A90C2" w:tentative="1">
      <w:start w:val="1"/>
      <w:numFmt w:val="bullet"/>
      <w:lvlText w:val=""/>
      <w:lvlJc w:val="left"/>
      <w:pPr>
        <w:tabs>
          <w:tab w:val="num" w:pos="5760"/>
        </w:tabs>
        <w:ind w:left="5760" w:hanging="360"/>
      </w:pPr>
      <w:rPr>
        <w:rFonts w:ascii="Wingdings 2" w:hAnsi="Wingdings 2" w:hint="default"/>
      </w:rPr>
    </w:lvl>
    <w:lvl w:ilvl="8" w:tplc="CF9E6EE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617F1167"/>
    <w:multiLevelType w:val="hybridMultilevel"/>
    <w:tmpl w:val="8626DB00"/>
    <w:lvl w:ilvl="0" w:tplc="08563CA0">
      <w:start w:val="1"/>
      <w:numFmt w:val="bullet"/>
      <w:lvlText w:val=""/>
      <w:lvlJc w:val="left"/>
      <w:pPr>
        <w:tabs>
          <w:tab w:val="num" w:pos="720"/>
        </w:tabs>
        <w:ind w:left="720" w:hanging="360"/>
      </w:pPr>
      <w:rPr>
        <w:rFonts w:ascii="Wingdings 2" w:hAnsi="Wingdings 2" w:hint="default"/>
      </w:rPr>
    </w:lvl>
    <w:lvl w:ilvl="1" w:tplc="3E80FF46" w:tentative="1">
      <w:start w:val="1"/>
      <w:numFmt w:val="bullet"/>
      <w:lvlText w:val=""/>
      <w:lvlJc w:val="left"/>
      <w:pPr>
        <w:tabs>
          <w:tab w:val="num" w:pos="1440"/>
        </w:tabs>
        <w:ind w:left="1440" w:hanging="360"/>
      </w:pPr>
      <w:rPr>
        <w:rFonts w:ascii="Wingdings 2" w:hAnsi="Wingdings 2" w:hint="default"/>
      </w:rPr>
    </w:lvl>
    <w:lvl w:ilvl="2" w:tplc="AF18CC36" w:tentative="1">
      <w:start w:val="1"/>
      <w:numFmt w:val="bullet"/>
      <w:lvlText w:val=""/>
      <w:lvlJc w:val="left"/>
      <w:pPr>
        <w:tabs>
          <w:tab w:val="num" w:pos="2160"/>
        </w:tabs>
        <w:ind w:left="2160" w:hanging="360"/>
      </w:pPr>
      <w:rPr>
        <w:rFonts w:ascii="Wingdings 2" w:hAnsi="Wingdings 2" w:hint="default"/>
      </w:rPr>
    </w:lvl>
    <w:lvl w:ilvl="3" w:tplc="ED045FD8" w:tentative="1">
      <w:start w:val="1"/>
      <w:numFmt w:val="bullet"/>
      <w:lvlText w:val=""/>
      <w:lvlJc w:val="left"/>
      <w:pPr>
        <w:tabs>
          <w:tab w:val="num" w:pos="2880"/>
        </w:tabs>
        <w:ind w:left="2880" w:hanging="360"/>
      </w:pPr>
      <w:rPr>
        <w:rFonts w:ascii="Wingdings 2" w:hAnsi="Wingdings 2" w:hint="default"/>
      </w:rPr>
    </w:lvl>
    <w:lvl w:ilvl="4" w:tplc="62862E02" w:tentative="1">
      <w:start w:val="1"/>
      <w:numFmt w:val="bullet"/>
      <w:lvlText w:val=""/>
      <w:lvlJc w:val="left"/>
      <w:pPr>
        <w:tabs>
          <w:tab w:val="num" w:pos="3600"/>
        </w:tabs>
        <w:ind w:left="3600" w:hanging="360"/>
      </w:pPr>
      <w:rPr>
        <w:rFonts w:ascii="Wingdings 2" w:hAnsi="Wingdings 2" w:hint="default"/>
      </w:rPr>
    </w:lvl>
    <w:lvl w:ilvl="5" w:tplc="60729280" w:tentative="1">
      <w:start w:val="1"/>
      <w:numFmt w:val="bullet"/>
      <w:lvlText w:val=""/>
      <w:lvlJc w:val="left"/>
      <w:pPr>
        <w:tabs>
          <w:tab w:val="num" w:pos="4320"/>
        </w:tabs>
        <w:ind w:left="4320" w:hanging="360"/>
      </w:pPr>
      <w:rPr>
        <w:rFonts w:ascii="Wingdings 2" w:hAnsi="Wingdings 2" w:hint="default"/>
      </w:rPr>
    </w:lvl>
    <w:lvl w:ilvl="6" w:tplc="D052809C" w:tentative="1">
      <w:start w:val="1"/>
      <w:numFmt w:val="bullet"/>
      <w:lvlText w:val=""/>
      <w:lvlJc w:val="left"/>
      <w:pPr>
        <w:tabs>
          <w:tab w:val="num" w:pos="5040"/>
        </w:tabs>
        <w:ind w:left="5040" w:hanging="360"/>
      </w:pPr>
      <w:rPr>
        <w:rFonts w:ascii="Wingdings 2" w:hAnsi="Wingdings 2" w:hint="default"/>
      </w:rPr>
    </w:lvl>
    <w:lvl w:ilvl="7" w:tplc="43186586" w:tentative="1">
      <w:start w:val="1"/>
      <w:numFmt w:val="bullet"/>
      <w:lvlText w:val=""/>
      <w:lvlJc w:val="left"/>
      <w:pPr>
        <w:tabs>
          <w:tab w:val="num" w:pos="5760"/>
        </w:tabs>
        <w:ind w:left="5760" w:hanging="360"/>
      </w:pPr>
      <w:rPr>
        <w:rFonts w:ascii="Wingdings 2" w:hAnsi="Wingdings 2" w:hint="default"/>
      </w:rPr>
    </w:lvl>
    <w:lvl w:ilvl="8" w:tplc="2A74FA9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64A2620B"/>
    <w:multiLevelType w:val="hybridMultilevel"/>
    <w:tmpl w:val="15E2F554"/>
    <w:lvl w:ilvl="0" w:tplc="19B235AA">
      <w:start w:val="1"/>
      <w:numFmt w:val="bullet"/>
      <w:lvlText w:val=""/>
      <w:lvlJc w:val="left"/>
      <w:pPr>
        <w:tabs>
          <w:tab w:val="num" w:pos="720"/>
        </w:tabs>
        <w:ind w:left="720" w:hanging="360"/>
      </w:pPr>
      <w:rPr>
        <w:rFonts w:ascii="Wingdings 2" w:hAnsi="Wingdings 2" w:hint="default"/>
      </w:rPr>
    </w:lvl>
    <w:lvl w:ilvl="1" w:tplc="158E3010" w:tentative="1">
      <w:start w:val="1"/>
      <w:numFmt w:val="bullet"/>
      <w:lvlText w:val=""/>
      <w:lvlJc w:val="left"/>
      <w:pPr>
        <w:tabs>
          <w:tab w:val="num" w:pos="1440"/>
        </w:tabs>
        <w:ind w:left="1440" w:hanging="360"/>
      </w:pPr>
      <w:rPr>
        <w:rFonts w:ascii="Wingdings 2" w:hAnsi="Wingdings 2" w:hint="default"/>
      </w:rPr>
    </w:lvl>
    <w:lvl w:ilvl="2" w:tplc="26889768" w:tentative="1">
      <w:start w:val="1"/>
      <w:numFmt w:val="bullet"/>
      <w:lvlText w:val=""/>
      <w:lvlJc w:val="left"/>
      <w:pPr>
        <w:tabs>
          <w:tab w:val="num" w:pos="2160"/>
        </w:tabs>
        <w:ind w:left="2160" w:hanging="360"/>
      </w:pPr>
      <w:rPr>
        <w:rFonts w:ascii="Wingdings 2" w:hAnsi="Wingdings 2" w:hint="default"/>
      </w:rPr>
    </w:lvl>
    <w:lvl w:ilvl="3" w:tplc="EBDE305A" w:tentative="1">
      <w:start w:val="1"/>
      <w:numFmt w:val="bullet"/>
      <w:lvlText w:val=""/>
      <w:lvlJc w:val="left"/>
      <w:pPr>
        <w:tabs>
          <w:tab w:val="num" w:pos="2880"/>
        </w:tabs>
        <w:ind w:left="2880" w:hanging="360"/>
      </w:pPr>
      <w:rPr>
        <w:rFonts w:ascii="Wingdings 2" w:hAnsi="Wingdings 2" w:hint="default"/>
      </w:rPr>
    </w:lvl>
    <w:lvl w:ilvl="4" w:tplc="5C6AA3FA" w:tentative="1">
      <w:start w:val="1"/>
      <w:numFmt w:val="bullet"/>
      <w:lvlText w:val=""/>
      <w:lvlJc w:val="left"/>
      <w:pPr>
        <w:tabs>
          <w:tab w:val="num" w:pos="3600"/>
        </w:tabs>
        <w:ind w:left="3600" w:hanging="360"/>
      </w:pPr>
      <w:rPr>
        <w:rFonts w:ascii="Wingdings 2" w:hAnsi="Wingdings 2" w:hint="default"/>
      </w:rPr>
    </w:lvl>
    <w:lvl w:ilvl="5" w:tplc="2C2AC96A" w:tentative="1">
      <w:start w:val="1"/>
      <w:numFmt w:val="bullet"/>
      <w:lvlText w:val=""/>
      <w:lvlJc w:val="left"/>
      <w:pPr>
        <w:tabs>
          <w:tab w:val="num" w:pos="4320"/>
        </w:tabs>
        <w:ind w:left="4320" w:hanging="360"/>
      </w:pPr>
      <w:rPr>
        <w:rFonts w:ascii="Wingdings 2" w:hAnsi="Wingdings 2" w:hint="default"/>
      </w:rPr>
    </w:lvl>
    <w:lvl w:ilvl="6" w:tplc="9A22835C" w:tentative="1">
      <w:start w:val="1"/>
      <w:numFmt w:val="bullet"/>
      <w:lvlText w:val=""/>
      <w:lvlJc w:val="left"/>
      <w:pPr>
        <w:tabs>
          <w:tab w:val="num" w:pos="5040"/>
        </w:tabs>
        <w:ind w:left="5040" w:hanging="360"/>
      </w:pPr>
      <w:rPr>
        <w:rFonts w:ascii="Wingdings 2" w:hAnsi="Wingdings 2" w:hint="default"/>
      </w:rPr>
    </w:lvl>
    <w:lvl w:ilvl="7" w:tplc="F3FCB0C2" w:tentative="1">
      <w:start w:val="1"/>
      <w:numFmt w:val="bullet"/>
      <w:lvlText w:val=""/>
      <w:lvlJc w:val="left"/>
      <w:pPr>
        <w:tabs>
          <w:tab w:val="num" w:pos="5760"/>
        </w:tabs>
        <w:ind w:left="5760" w:hanging="360"/>
      </w:pPr>
      <w:rPr>
        <w:rFonts w:ascii="Wingdings 2" w:hAnsi="Wingdings 2" w:hint="default"/>
      </w:rPr>
    </w:lvl>
    <w:lvl w:ilvl="8" w:tplc="AC549D2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65CC1927"/>
    <w:multiLevelType w:val="hybridMultilevel"/>
    <w:tmpl w:val="520E5EA6"/>
    <w:lvl w:ilvl="0" w:tplc="790E8B14">
      <w:start w:val="1"/>
      <w:numFmt w:val="bullet"/>
      <w:lvlText w:val=""/>
      <w:lvlJc w:val="left"/>
      <w:pPr>
        <w:tabs>
          <w:tab w:val="num" w:pos="720"/>
        </w:tabs>
        <w:ind w:left="720" w:hanging="360"/>
      </w:pPr>
      <w:rPr>
        <w:rFonts w:ascii="Wingdings 2" w:hAnsi="Wingdings 2" w:hint="default"/>
      </w:rPr>
    </w:lvl>
    <w:lvl w:ilvl="1" w:tplc="139A80C0" w:tentative="1">
      <w:start w:val="1"/>
      <w:numFmt w:val="bullet"/>
      <w:lvlText w:val=""/>
      <w:lvlJc w:val="left"/>
      <w:pPr>
        <w:tabs>
          <w:tab w:val="num" w:pos="1440"/>
        </w:tabs>
        <w:ind w:left="1440" w:hanging="360"/>
      </w:pPr>
      <w:rPr>
        <w:rFonts w:ascii="Wingdings 2" w:hAnsi="Wingdings 2" w:hint="default"/>
      </w:rPr>
    </w:lvl>
    <w:lvl w:ilvl="2" w:tplc="BA225BC6" w:tentative="1">
      <w:start w:val="1"/>
      <w:numFmt w:val="bullet"/>
      <w:lvlText w:val=""/>
      <w:lvlJc w:val="left"/>
      <w:pPr>
        <w:tabs>
          <w:tab w:val="num" w:pos="2160"/>
        </w:tabs>
        <w:ind w:left="2160" w:hanging="360"/>
      </w:pPr>
      <w:rPr>
        <w:rFonts w:ascii="Wingdings 2" w:hAnsi="Wingdings 2" w:hint="default"/>
      </w:rPr>
    </w:lvl>
    <w:lvl w:ilvl="3" w:tplc="30A0F450" w:tentative="1">
      <w:start w:val="1"/>
      <w:numFmt w:val="bullet"/>
      <w:lvlText w:val=""/>
      <w:lvlJc w:val="left"/>
      <w:pPr>
        <w:tabs>
          <w:tab w:val="num" w:pos="2880"/>
        </w:tabs>
        <w:ind w:left="2880" w:hanging="360"/>
      </w:pPr>
      <w:rPr>
        <w:rFonts w:ascii="Wingdings 2" w:hAnsi="Wingdings 2" w:hint="default"/>
      </w:rPr>
    </w:lvl>
    <w:lvl w:ilvl="4" w:tplc="49CECB84" w:tentative="1">
      <w:start w:val="1"/>
      <w:numFmt w:val="bullet"/>
      <w:lvlText w:val=""/>
      <w:lvlJc w:val="left"/>
      <w:pPr>
        <w:tabs>
          <w:tab w:val="num" w:pos="3600"/>
        </w:tabs>
        <w:ind w:left="3600" w:hanging="360"/>
      </w:pPr>
      <w:rPr>
        <w:rFonts w:ascii="Wingdings 2" w:hAnsi="Wingdings 2" w:hint="default"/>
      </w:rPr>
    </w:lvl>
    <w:lvl w:ilvl="5" w:tplc="25FCBDF6" w:tentative="1">
      <w:start w:val="1"/>
      <w:numFmt w:val="bullet"/>
      <w:lvlText w:val=""/>
      <w:lvlJc w:val="left"/>
      <w:pPr>
        <w:tabs>
          <w:tab w:val="num" w:pos="4320"/>
        </w:tabs>
        <w:ind w:left="4320" w:hanging="360"/>
      </w:pPr>
      <w:rPr>
        <w:rFonts w:ascii="Wingdings 2" w:hAnsi="Wingdings 2" w:hint="default"/>
      </w:rPr>
    </w:lvl>
    <w:lvl w:ilvl="6" w:tplc="311EB998" w:tentative="1">
      <w:start w:val="1"/>
      <w:numFmt w:val="bullet"/>
      <w:lvlText w:val=""/>
      <w:lvlJc w:val="left"/>
      <w:pPr>
        <w:tabs>
          <w:tab w:val="num" w:pos="5040"/>
        </w:tabs>
        <w:ind w:left="5040" w:hanging="360"/>
      </w:pPr>
      <w:rPr>
        <w:rFonts w:ascii="Wingdings 2" w:hAnsi="Wingdings 2" w:hint="default"/>
      </w:rPr>
    </w:lvl>
    <w:lvl w:ilvl="7" w:tplc="7772F000" w:tentative="1">
      <w:start w:val="1"/>
      <w:numFmt w:val="bullet"/>
      <w:lvlText w:val=""/>
      <w:lvlJc w:val="left"/>
      <w:pPr>
        <w:tabs>
          <w:tab w:val="num" w:pos="5760"/>
        </w:tabs>
        <w:ind w:left="5760" w:hanging="360"/>
      </w:pPr>
      <w:rPr>
        <w:rFonts w:ascii="Wingdings 2" w:hAnsi="Wingdings 2" w:hint="default"/>
      </w:rPr>
    </w:lvl>
    <w:lvl w:ilvl="8" w:tplc="ECFC241A"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91"/>
    <w:rsid w:val="00012409"/>
    <w:rsid w:val="0002251C"/>
    <w:rsid w:val="000317AF"/>
    <w:rsid w:val="000340CF"/>
    <w:rsid w:val="00035153"/>
    <w:rsid w:val="00050707"/>
    <w:rsid w:val="0005092A"/>
    <w:rsid w:val="00057B7A"/>
    <w:rsid w:val="00063E74"/>
    <w:rsid w:val="000666D0"/>
    <w:rsid w:val="00070D4C"/>
    <w:rsid w:val="000839B0"/>
    <w:rsid w:val="00084942"/>
    <w:rsid w:val="00085342"/>
    <w:rsid w:val="00087AED"/>
    <w:rsid w:val="000929EF"/>
    <w:rsid w:val="000976A0"/>
    <w:rsid w:val="000A137D"/>
    <w:rsid w:val="000A3035"/>
    <w:rsid w:val="000A58E2"/>
    <w:rsid w:val="000A5EAA"/>
    <w:rsid w:val="000B17FD"/>
    <w:rsid w:val="000B6BE5"/>
    <w:rsid w:val="000E1243"/>
    <w:rsid w:val="000E29DC"/>
    <w:rsid w:val="000E4642"/>
    <w:rsid w:val="000E5CA4"/>
    <w:rsid w:val="000F2B82"/>
    <w:rsid w:val="000F3575"/>
    <w:rsid w:val="000F6910"/>
    <w:rsid w:val="00101ABF"/>
    <w:rsid w:val="001026D1"/>
    <w:rsid w:val="00103D13"/>
    <w:rsid w:val="00105C1B"/>
    <w:rsid w:val="001101C5"/>
    <w:rsid w:val="00111E56"/>
    <w:rsid w:val="00116BFA"/>
    <w:rsid w:val="00134DDE"/>
    <w:rsid w:val="00142268"/>
    <w:rsid w:val="0014608E"/>
    <w:rsid w:val="00157D33"/>
    <w:rsid w:val="001626EF"/>
    <w:rsid w:val="00162C42"/>
    <w:rsid w:val="0017336F"/>
    <w:rsid w:val="0017552F"/>
    <w:rsid w:val="0018021D"/>
    <w:rsid w:val="00192B6E"/>
    <w:rsid w:val="001A63DC"/>
    <w:rsid w:val="001C29F5"/>
    <w:rsid w:val="001D44CF"/>
    <w:rsid w:val="001E04F3"/>
    <w:rsid w:val="001E1791"/>
    <w:rsid w:val="001F569E"/>
    <w:rsid w:val="001F6FCF"/>
    <w:rsid w:val="00203F8C"/>
    <w:rsid w:val="00234BC3"/>
    <w:rsid w:val="002363EE"/>
    <w:rsid w:val="00252765"/>
    <w:rsid w:val="00255A76"/>
    <w:rsid w:val="00255DB1"/>
    <w:rsid w:val="00264A8F"/>
    <w:rsid w:val="00272324"/>
    <w:rsid w:val="00281905"/>
    <w:rsid w:val="00286DA9"/>
    <w:rsid w:val="00290034"/>
    <w:rsid w:val="00297F52"/>
    <w:rsid w:val="002A2E2D"/>
    <w:rsid w:val="002A4575"/>
    <w:rsid w:val="002B5C5B"/>
    <w:rsid w:val="002B712A"/>
    <w:rsid w:val="002C4EA6"/>
    <w:rsid w:val="002D3A45"/>
    <w:rsid w:val="002D5634"/>
    <w:rsid w:val="002E0DBC"/>
    <w:rsid w:val="002E27DD"/>
    <w:rsid w:val="002E4038"/>
    <w:rsid w:val="002E5378"/>
    <w:rsid w:val="003037ED"/>
    <w:rsid w:val="003052D7"/>
    <w:rsid w:val="00307FB1"/>
    <w:rsid w:val="00310C4A"/>
    <w:rsid w:val="0031420F"/>
    <w:rsid w:val="0032525E"/>
    <w:rsid w:val="0032577D"/>
    <w:rsid w:val="00327C43"/>
    <w:rsid w:val="00331024"/>
    <w:rsid w:val="00331BCA"/>
    <w:rsid w:val="00336B2D"/>
    <w:rsid w:val="003416AF"/>
    <w:rsid w:val="0034456B"/>
    <w:rsid w:val="003445B1"/>
    <w:rsid w:val="0037780F"/>
    <w:rsid w:val="003803B3"/>
    <w:rsid w:val="00385533"/>
    <w:rsid w:val="003A0C91"/>
    <w:rsid w:val="003B22A0"/>
    <w:rsid w:val="003B51CA"/>
    <w:rsid w:val="003B57CE"/>
    <w:rsid w:val="003C3CB4"/>
    <w:rsid w:val="003C4354"/>
    <w:rsid w:val="003D06CC"/>
    <w:rsid w:val="003D4759"/>
    <w:rsid w:val="003E5545"/>
    <w:rsid w:val="003F075F"/>
    <w:rsid w:val="003F3888"/>
    <w:rsid w:val="003F6738"/>
    <w:rsid w:val="00406A60"/>
    <w:rsid w:val="004122BB"/>
    <w:rsid w:val="00414FCD"/>
    <w:rsid w:val="00416B20"/>
    <w:rsid w:val="0042333E"/>
    <w:rsid w:val="004329E3"/>
    <w:rsid w:val="004330B0"/>
    <w:rsid w:val="00441CB9"/>
    <w:rsid w:val="004452DE"/>
    <w:rsid w:val="00455688"/>
    <w:rsid w:val="004579F7"/>
    <w:rsid w:val="00463E6C"/>
    <w:rsid w:val="00472368"/>
    <w:rsid w:val="00476AB0"/>
    <w:rsid w:val="004951D8"/>
    <w:rsid w:val="004A29F0"/>
    <w:rsid w:val="004A77BC"/>
    <w:rsid w:val="004A7C77"/>
    <w:rsid w:val="004B0E2A"/>
    <w:rsid w:val="004B363B"/>
    <w:rsid w:val="004B6FE1"/>
    <w:rsid w:val="004D5E4C"/>
    <w:rsid w:val="004E2934"/>
    <w:rsid w:val="004E6A4E"/>
    <w:rsid w:val="004F3584"/>
    <w:rsid w:val="00511057"/>
    <w:rsid w:val="00512125"/>
    <w:rsid w:val="00517E04"/>
    <w:rsid w:val="00526B91"/>
    <w:rsid w:val="005329A0"/>
    <w:rsid w:val="00533878"/>
    <w:rsid w:val="00543555"/>
    <w:rsid w:val="00546333"/>
    <w:rsid w:val="005463C8"/>
    <w:rsid w:val="0055616F"/>
    <w:rsid w:val="00556333"/>
    <w:rsid w:val="00560569"/>
    <w:rsid w:val="005679D5"/>
    <w:rsid w:val="00572783"/>
    <w:rsid w:val="00573638"/>
    <w:rsid w:val="00573789"/>
    <w:rsid w:val="00574327"/>
    <w:rsid w:val="005950F5"/>
    <w:rsid w:val="00595FCD"/>
    <w:rsid w:val="005A1677"/>
    <w:rsid w:val="005A2F1A"/>
    <w:rsid w:val="005A3E26"/>
    <w:rsid w:val="005A5BFA"/>
    <w:rsid w:val="005B7689"/>
    <w:rsid w:val="005C2931"/>
    <w:rsid w:val="005C6B21"/>
    <w:rsid w:val="005D59F5"/>
    <w:rsid w:val="005F3E63"/>
    <w:rsid w:val="00602E3B"/>
    <w:rsid w:val="006101E9"/>
    <w:rsid w:val="0062310A"/>
    <w:rsid w:val="00634331"/>
    <w:rsid w:val="006469AB"/>
    <w:rsid w:val="00647CC7"/>
    <w:rsid w:val="00654677"/>
    <w:rsid w:val="00655372"/>
    <w:rsid w:val="006559FC"/>
    <w:rsid w:val="0066084E"/>
    <w:rsid w:val="00663443"/>
    <w:rsid w:val="00672968"/>
    <w:rsid w:val="00677954"/>
    <w:rsid w:val="006805F8"/>
    <w:rsid w:val="00683C43"/>
    <w:rsid w:val="00685091"/>
    <w:rsid w:val="0068556D"/>
    <w:rsid w:val="00693244"/>
    <w:rsid w:val="006A0481"/>
    <w:rsid w:val="006A3504"/>
    <w:rsid w:val="006B2BAD"/>
    <w:rsid w:val="006B7C66"/>
    <w:rsid w:val="006E02C0"/>
    <w:rsid w:val="006F402C"/>
    <w:rsid w:val="00702940"/>
    <w:rsid w:val="00716D2B"/>
    <w:rsid w:val="00737220"/>
    <w:rsid w:val="0074668E"/>
    <w:rsid w:val="00751968"/>
    <w:rsid w:val="00752CC6"/>
    <w:rsid w:val="00753BD3"/>
    <w:rsid w:val="007638D3"/>
    <w:rsid w:val="00771059"/>
    <w:rsid w:val="00773C85"/>
    <w:rsid w:val="00780B2E"/>
    <w:rsid w:val="0078785D"/>
    <w:rsid w:val="007936BF"/>
    <w:rsid w:val="00796A02"/>
    <w:rsid w:val="007A402B"/>
    <w:rsid w:val="007B25FF"/>
    <w:rsid w:val="007B4536"/>
    <w:rsid w:val="007C3384"/>
    <w:rsid w:val="007C63AA"/>
    <w:rsid w:val="007D39AA"/>
    <w:rsid w:val="007D6CAE"/>
    <w:rsid w:val="007E5F88"/>
    <w:rsid w:val="007F07D7"/>
    <w:rsid w:val="007F3371"/>
    <w:rsid w:val="007F57B1"/>
    <w:rsid w:val="007F5FA7"/>
    <w:rsid w:val="00811521"/>
    <w:rsid w:val="00817DB1"/>
    <w:rsid w:val="0082382F"/>
    <w:rsid w:val="00827EA3"/>
    <w:rsid w:val="00830405"/>
    <w:rsid w:val="00834F3C"/>
    <w:rsid w:val="0083777B"/>
    <w:rsid w:val="008446A8"/>
    <w:rsid w:val="008569E3"/>
    <w:rsid w:val="00861D25"/>
    <w:rsid w:val="00866189"/>
    <w:rsid w:val="008728AC"/>
    <w:rsid w:val="008766FD"/>
    <w:rsid w:val="008772F8"/>
    <w:rsid w:val="008826D2"/>
    <w:rsid w:val="00893055"/>
    <w:rsid w:val="008943EE"/>
    <w:rsid w:val="0089769F"/>
    <w:rsid w:val="008A0FD9"/>
    <w:rsid w:val="008A60F9"/>
    <w:rsid w:val="008B149E"/>
    <w:rsid w:val="008B15EA"/>
    <w:rsid w:val="008B16F6"/>
    <w:rsid w:val="008C294A"/>
    <w:rsid w:val="008C6190"/>
    <w:rsid w:val="008D1C19"/>
    <w:rsid w:val="008E69D4"/>
    <w:rsid w:val="008F4D1B"/>
    <w:rsid w:val="008F7839"/>
    <w:rsid w:val="0090024C"/>
    <w:rsid w:val="00907993"/>
    <w:rsid w:val="0092185B"/>
    <w:rsid w:val="0092250C"/>
    <w:rsid w:val="009244C5"/>
    <w:rsid w:val="00942BB6"/>
    <w:rsid w:val="009465FE"/>
    <w:rsid w:val="00950E8B"/>
    <w:rsid w:val="009518B7"/>
    <w:rsid w:val="00961C5B"/>
    <w:rsid w:val="00962E05"/>
    <w:rsid w:val="00967393"/>
    <w:rsid w:val="00971387"/>
    <w:rsid w:val="00981210"/>
    <w:rsid w:val="00984B57"/>
    <w:rsid w:val="009A2216"/>
    <w:rsid w:val="009A41DF"/>
    <w:rsid w:val="009A6816"/>
    <w:rsid w:val="009B1526"/>
    <w:rsid w:val="009B51B9"/>
    <w:rsid w:val="009C0047"/>
    <w:rsid w:val="009C6E5A"/>
    <w:rsid w:val="009C7407"/>
    <w:rsid w:val="009D5527"/>
    <w:rsid w:val="009E5926"/>
    <w:rsid w:val="009F2050"/>
    <w:rsid w:val="009F216A"/>
    <w:rsid w:val="009F2F80"/>
    <w:rsid w:val="009F70EA"/>
    <w:rsid w:val="00A072CB"/>
    <w:rsid w:val="00A12410"/>
    <w:rsid w:val="00A16393"/>
    <w:rsid w:val="00A21900"/>
    <w:rsid w:val="00A31048"/>
    <w:rsid w:val="00A31AB1"/>
    <w:rsid w:val="00A355EC"/>
    <w:rsid w:val="00A4553D"/>
    <w:rsid w:val="00A45837"/>
    <w:rsid w:val="00A46EC9"/>
    <w:rsid w:val="00A51331"/>
    <w:rsid w:val="00A527CB"/>
    <w:rsid w:val="00A53D7C"/>
    <w:rsid w:val="00A5483A"/>
    <w:rsid w:val="00A67F4E"/>
    <w:rsid w:val="00A858A6"/>
    <w:rsid w:val="00A92FDC"/>
    <w:rsid w:val="00AA0F29"/>
    <w:rsid w:val="00AA16D9"/>
    <w:rsid w:val="00AA4DE6"/>
    <w:rsid w:val="00AA6D9C"/>
    <w:rsid w:val="00AB70F1"/>
    <w:rsid w:val="00AB7706"/>
    <w:rsid w:val="00AD00D6"/>
    <w:rsid w:val="00AD07FE"/>
    <w:rsid w:val="00AD3A4F"/>
    <w:rsid w:val="00AE26C5"/>
    <w:rsid w:val="00AF2398"/>
    <w:rsid w:val="00AF501E"/>
    <w:rsid w:val="00AF5F7A"/>
    <w:rsid w:val="00AF626E"/>
    <w:rsid w:val="00B00746"/>
    <w:rsid w:val="00B02813"/>
    <w:rsid w:val="00B02EC2"/>
    <w:rsid w:val="00B21194"/>
    <w:rsid w:val="00B24C30"/>
    <w:rsid w:val="00B2726B"/>
    <w:rsid w:val="00B3406F"/>
    <w:rsid w:val="00B364D6"/>
    <w:rsid w:val="00B36A21"/>
    <w:rsid w:val="00B374CC"/>
    <w:rsid w:val="00B43854"/>
    <w:rsid w:val="00B52336"/>
    <w:rsid w:val="00B56FEF"/>
    <w:rsid w:val="00B70404"/>
    <w:rsid w:val="00B74C1D"/>
    <w:rsid w:val="00B752C6"/>
    <w:rsid w:val="00B75C63"/>
    <w:rsid w:val="00B85D6E"/>
    <w:rsid w:val="00B9321B"/>
    <w:rsid w:val="00BA618A"/>
    <w:rsid w:val="00BB034A"/>
    <w:rsid w:val="00BB1EAA"/>
    <w:rsid w:val="00BB4929"/>
    <w:rsid w:val="00BD30D5"/>
    <w:rsid w:val="00BD567F"/>
    <w:rsid w:val="00BD7895"/>
    <w:rsid w:val="00BE5F6C"/>
    <w:rsid w:val="00BF2A58"/>
    <w:rsid w:val="00BF3FCC"/>
    <w:rsid w:val="00C07E41"/>
    <w:rsid w:val="00C211F2"/>
    <w:rsid w:val="00C3408C"/>
    <w:rsid w:val="00C3710A"/>
    <w:rsid w:val="00C46746"/>
    <w:rsid w:val="00C574B5"/>
    <w:rsid w:val="00C62E95"/>
    <w:rsid w:val="00C62EEB"/>
    <w:rsid w:val="00C746AD"/>
    <w:rsid w:val="00C817E8"/>
    <w:rsid w:val="00C9049C"/>
    <w:rsid w:val="00C94FBB"/>
    <w:rsid w:val="00C9565E"/>
    <w:rsid w:val="00C9726C"/>
    <w:rsid w:val="00CA0251"/>
    <w:rsid w:val="00CA5C21"/>
    <w:rsid w:val="00CB0692"/>
    <w:rsid w:val="00CB4DD1"/>
    <w:rsid w:val="00CB4F43"/>
    <w:rsid w:val="00CB6C1F"/>
    <w:rsid w:val="00CC4847"/>
    <w:rsid w:val="00CC492C"/>
    <w:rsid w:val="00CD26D8"/>
    <w:rsid w:val="00CD53C7"/>
    <w:rsid w:val="00CD7B70"/>
    <w:rsid w:val="00CE52D1"/>
    <w:rsid w:val="00D01ECC"/>
    <w:rsid w:val="00D04694"/>
    <w:rsid w:val="00D064BB"/>
    <w:rsid w:val="00D139A8"/>
    <w:rsid w:val="00D14072"/>
    <w:rsid w:val="00D15E51"/>
    <w:rsid w:val="00D21B89"/>
    <w:rsid w:val="00D237F4"/>
    <w:rsid w:val="00D276BF"/>
    <w:rsid w:val="00D31423"/>
    <w:rsid w:val="00D326AF"/>
    <w:rsid w:val="00D76F2E"/>
    <w:rsid w:val="00D824DB"/>
    <w:rsid w:val="00D825F8"/>
    <w:rsid w:val="00D90925"/>
    <w:rsid w:val="00D9604A"/>
    <w:rsid w:val="00DB11F5"/>
    <w:rsid w:val="00DC3580"/>
    <w:rsid w:val="00DC6926"/>
    <w:rsid w:val="00DF2894"/>
    <w:rsid w:val="00E01009"/>
    <w:rsid w:val="00E036D1"/>
    <w:rsid w:val="00E0411E"/>
    <w:rsid w:val="00E0706E"/>
    <w:rsid w:val="00E15F9D"/>
    <w:rsid w:val="00E22ADE"/>
    <w:rsid w:val="00E40CED"/>
    <w:rsid w:val="00E46F3A"/>
    <w:rsid w:val="00E50EFD"/>
    <w:rsid w:val="00E57AC0"/>
    <w:rsid w:val="00E63A27"/>
    <w:rsid w:val="00E73B86"/>
    <w:rsid w:val="00E75CFD"/>
    <w:rsid w:val="00E81FCA"/>
    <w:rsid w:val="00E86815"/>
    <w:rsid w:val="00E87933"/>
    <w:rsid w:val="00E90F82"/>
    <w:rsid w:val="00EB192B"/>
    <w:rsid w:val="00EB4B83"/>
    <w:rsid w:val="00EB7C35"/>
    <w:rsid w:val="00EC0E9E"/>
    <w:rsid w:val="00ED56CA"/>
    <w:rsid w:val="00EE58CD"/>
    <w:rsid w:val="00EF0235"/>
    <w:rsid w:val="00EF065D"/>
    <w:rsid w:val="00EF22A4"/>
    <w:rsid w:val="00F043CB"/>
    <w:rsid w:val="00F07EFF"/>
    <w:rsid w:val="00F1522A"/>
    <w:rsid w:val="00F2295B"/>
    <w:rsid w:val="00F2483D"/>
    <w:rsid w:val="00F32B64"/>
    <w:rsid w:val="00F35F7B"/>
    <w:rsid w:val="00F36C66"/>
    <w:rsid w:val="00F43CEE"/>
    <w:rsid w:val="00F4450C"/>
    <w:rsid w:val="00F45CEB"/>
    <w:rsid w:val="00F6091E"/>
    <w:rsid w:val="00F60AD5"/>
    <w:rsid w:val="00F60E7A"/>
    <w:rsid w:val="00F61A60"/>
    <w:rsid w:val="00F65055"/>
    <w:rsid w:val="00F6574D"/>
    <w:rsid w:val="00F71E2E"/>
    <w:rsid w:val="00F7793F"/>
    <w:rsid w:val="00F95529"/>
    <w:rsid w:val="00F973C2"/>
    <w:rsid w:val="00FA1363"/>
    <w:rsid w:val="00FA5F59"/>
    <w:rsid w:val="00FC2342"/>
    <w:rsid w:val="00FF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A86DF0-8EA4-4BB4-A175-A28B4440A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9D5"/>
    <w:pPr>
      <w:keepNext/>
      <w:keepLines/>
      <w:spacing w:before="600" w:after="60" w:line="264" w:lineRule="auto"/>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5679D5"/>
    <w:pPr>
      <w:keepNext/>
      <w:keepLines/>
      <w:spacing w:before="240" w:after="0" w:line="264" w:lineRule="auto"/>
      <w:contextualSpacing/>
      <w:outlineLvl w:val="1"/>
    </w:pPr>
    <w:rPr>
      <w:rFonts w:asciiTheme="majorHAnsi" w:eastAsiaTheme="majorEastAsia" w:hAnsiTheme="majorHAnsi" w:cstheme="majorBidi"/>
      <w:cap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1"/>
    <w:unhideWhenUsed/>
    <w:qFormat/>
    <w:rsid w:val="003A0C91"/>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11"/>
    <w:rsid w:val="003A0C91"/>
    <w:rPr>
      <w:rFonts w:asciiTheme="majorHAnsi" w:eastAsiaTheme="majorEastAsia" w:hAnsiTheme="majorHAnsi" w:cstheme="majorBidi"/>
      <w:caps/>
      <w:color w:val="595959" w:themeColor="text1" w:themeTint="A6"/>
      <w:sz w:val="26"/>
    </w:rPr>
  </w:style>
  <w:style w:type="character" w:customStyle="1" w:styleId="Heading1Char">
    <w:name w:val="Heading 1 Char"/>
    <w:basedOn w:val="DefaultParagraphFont"/>
    <w:link w:val="Heading1"/>
    <w:uiPriority w:val="9"/>
    <w:rsid w:val="005679D5"/>
    <w:rPr>
      <w:rFonts w:asciiTheme="majorHAnsi" w:eastAsiaTheme="majorEastAsia" w:hAnsiTheme="majorHAnsi" w:cstheme="majorBidi"/>
      <w:color w:val="2F5496" w:themeColor="accent1" w:themeShade="BF"/>
      <w:sz w:val="32"/>
    </w:rPr>
  </w:style>
  <w:style w:type="character" w:customStyle="1" w:styleId="Heading2Char">
    <w:name w:val="Heading 2 Char"/>
    <w:basedOn w:val="DefaultParagraphFont"/>
    <w:link w:val="Heading2"/>
    <w:uiPriority w:val="9"/>
    <w:rsid w:val="005679D5"/>
    <w:rPr>
      <w:rFonts w:asciiTheme="majorHAnsi" w:eastAsiaTheme="majorEastAsia" w:hAnsiTheme="majorHAnsi" w:cstheme="majorBidi"/>
      <w:caps/>
      <w:color w:val="2F5496" w:themeColor="accent1" w:themeShade="BF"/>
      <w:sz w:val="24"/>
    </w:rPr>
  </w:style>
  <w:style w:type="paragraph" w:styleId="ListBullet">
    <w:name w:val="List Bullet"/>
    <w:basedOn w:val="Normal"/>
    <w:uiPriority w:val="10"/>
    <w:unhideWhenUsed/>
    <w:qFormat/>
    <w:rsid w:val="005679D5"/>
    <w:pPr>
      <w:numPr>
        <w:numId w:val="1"/>
      </w:numPr>
      <w:spacing w:before="120" w:after="200" w:line="264" w:lineRule="auto"/>
    </w:pPr>
    <w:rPr>
      <w:color w:val="595959" w:themeColor="text1" w:themeTint="A6"/>
    </w:rPr>
  </w:style>
  <w:style w:type="paragraph" w:styleId="NoSpacing">
    <w:name w:val="No Spacing"/>
    <w:link w:val="NoSpacingChar"/>
    <w:uiPriority w:val="1"/>
    <w:qFormat/>
    <w:rsid w:val="005679D5"/>
    <w:pPr>
      <w:spacing w:after="0" w:line="240" w:lineRule="auto"/>
    </w:pPr>
    <w:rPr>
      <w:rFonts w:eastAsiaTheme="minorEastAsia"/>
    </w:rPr>
  </w:style>
  <w:style w:type="character" w:customStyle="1" w:styleId="NoSpacingChar">
    <w:name w:val="No Spacing Char"/>
    <w:basedOn w:val="DefaultParagraphFont"/>
    <w:link w:val="NoSpacing"/>
    <w:uiPriority w:val="1"/>
    <w:rsid w:val="005679D5"/>
    <w:rPr>
      <w:rFonts w:eastAsiaTheme="minorEastAsia"/>
    </w:rPr>
  </w:style>
  <w:style w:type="paragraph" w:styleId="BalloonText">
    <w:name w:val="Balloon Text"/>
    <w:basedOn w:val="Normal"/>
    <w:link w:val="BalloonTextChar"/>
    <w:uiPriority w:val="99"/>
    <w:semiHidden/>
    <w:unhideWhenUsed/>
    <w:rsid w:val="000E12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243"/>
    <w:rPr>
      <w:rFonts w:ascii="Segoe UI" w:hAnsi="Segoe UI" w:cs="Segoe UI"/>
      <w:sz w:val="18"/>
      <w:szCs w:val="18"/>
    </w:rPr>
  </w:style>
  <w:style w:type="character" w:styleId="SubtleEmphasis">
    <w:name w:val="Subtle Emphasis"/>
    <w:basedOn w:val="DefaultParagraphFont"/>
    <w:uiPriority w:val="19"/>
    <w:qFormat/>
    <w:rsid w:val="00866189"/>
    <w:rPr>
      <w:i/>
      <w:iCs/>
      <w:color w:val="404040" w:themeColor="text1" w:themeTint="BF"/>
    </w:rPr>
  </w:style>
  <w:style w:type="paragraph" w:styleId="Header">
    <w:name w:val="header"/>
    <w:basedOn w:val="Normal"/>
    <w:link w:val="HeaderChar"/>
    <w:uiPriority w:val="99"/>
    <w:unhideWhenUsed/>
    <w:rsid w:val="00CB4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F43"/>
  </w:style>
  <w:style w:type="paragraph" w:styleId="Footer">
    <w:name w:val="footer"/>
    <w:basedOn w:val="Normal"/>
    <w:link w:val="FooterChar"/>
    <w:uiPriority w:val="99"/>
    <w:unhideWhenUsed/>
    <w:rsid w:val="00CB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F43"/>
  </w:style>
  <w:style w:type="paragraph" w:styleId="NormalWeb">
    <w:name w:val="Normal (Web)"/>
    <w:basedOn w:val="Normal"/>
    <w:uiPriority w:val="99"/>
    <w:unhideWhenUsed/>
    <w:rsid w:val="003D06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58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460876">
      <w:bodyDiv w:val="1"/>
      <w:marLeft w:val="0"/>
      <w:marRight w:val="0"/>
      <w:marTop w:val="0"/>
      <w:marBottom w:val="0"/>
      <w:divBdr>
        <w:top w:val="none" w:sz="0" w:space="0" w:color="auto"/>
        <w:left w:val="none" w:sz="0" w:space="0" w:color="auto"/>
        <w:bottom w:val="none" w:sz="0" w:space="0" w:color="auto"/>
        <w:right w:val="none" w:sz="0" w:space="0" w:color="auto"/>
      </w:divBdr>
      <w:divsChild>
        <w:div w:id="1852063873">
          <w:marLeft w:val="547"/>
          <w:marRight w:val="0"/>
          <w:marTop w:val="77"/>
          <w:marBottom w:val="120"/>
          <w:divBdr>
            <w:top w:val="none" w:sz="0" w:space="0" w:color="auto"/>
            <w:left w:val="none" w:sz="0" w:space="0" w:color="auto"/>
            <w:bottom w:val="none" w:sz="0" w:space="0" w:color="auto"/>
            <w:right w:val="none" w:sz="0" w:space="0" w:color="auto"/>
          </w:divBdr>
        </w:div>
        <w:div w:id="172647681">
          <w:marLeft w:val="547"/>
          <w:marRight w:val="0"/>
          <w:marTop w:val="77"/>
          <w:marBottom w:val="120"/>
          <w:divBdr>
            <w:top w:val="none" w:sz="0" w:space="0" w:color="auto"/>
            <w:left w:val="none" w:sz="0" w:space="0" w:color="auto"/>
            <w:bottom w:val="none" w:sz="0" w:space="0" w:color="auto"/>
            <w:right w:val="none" w:sz="0" w:space="0" w:color="auto"/>
          </w:divBdr>
        </w:div>
        <w:div w:id="1317682511">
          <w:marLeft w:val="547"/>
          <w:marRight w:val="0"/>
          <w:marTop w:val="77"/>
          <w:marBottom w:val="120"/>
          <w:divBdr>
            <w:top w:val="none" w:sz="0" w:space="0" w:color="auto"/>
            <w:left w:val="none" w:sz="0" w:space="0" w:color="auto"/>
            <w:bottom w:val="none" w:sz="0" w:space="0" w:color="auto"/>
            <w:right w:val="none" w:sz="0" w:space="0" w:color="auto"/>
          </w:divBdr>
        </w:div>
      </w:divsChild>
    </w:div>
    <w:div w:id="318777117">
      <w:bodyDiv w:val="1"/>
      <w:marLeft w:val="0"/>
      <w:marRight w:val="0"/>
      <w:marTop w:val="0"/>
      <w:marBottom w:val="0"/>
      <w:divBdr>
        <w:top w:val="none" w:sz="0" w:space="0" w:color="auto"/>
        <w:left w:val="none" w:sz="0" w:space="0" w:color="auto"/>
        <w:bottom w:val="none" w:sz="0" w:space="0" w:color="auto"/>
        <w:right w:val="none" w:sz="0" w:space="0" w:color="auto"/>
      </w:divBdr>
    </w:div>
    <w:div w:id="327440579">
      <w:bodyDiv w:val="1"/>
      <w:marLeft w:val="0"/>
      <w:marRight w:val="0"/>
      <w:marTop w:val="0"/>
      <w:marBottom w:val="0"/>
      <w:divBdr>
        <w:top w:val="none" w:sz="0" w:space="0" w:color="auto"/>
        <w:left w:val="none" w:sz="0" w:space="0" w:color="auto"/>
        <w:bottom w:val="none" w:sz="0" w:space="0" w:color="auto"/>
        <w:right w:val="none" w:sz="0" w:space="0" w:color="auto"/>
      </w:divBdr>
    </w:div>
    <w:div w:id="606890230">
      <w:bodyDiv w:val="1"/>
      <w:marLeft w:val="0"/>
      <w:marRight w:val="0"/>
      <w:marTop w:val="0"/>
      <w:marBottom w:val="0"/>
      <w:divBdr>
        <w:top w:val="none" w:sz="0" w:space="0" w:color="auto"/>
        <w:left w:val="none" w:sz="0" w:space="0" w:color="auto"/>
        <w:bottom w:val="none" w:sz="0" w:space="0" w:color="auto"/>
        <w:right w:val="none" w:sz="0" w:space="0" w:color="auto"/>
      </w:divBdr>
    </w:div>
    <w:div w:id="793014429">
      <w:bodyDiv w:val="1"/>
      <w:marLeft w:val="0"/>
      <w:marRight w:val="0"/>
      <w:marTop w:val="0"/>
      <w:marBottom w:val="0"/>
      <w:divBdr>
        <w:top w:val="none" w:sz="0" w:space="0" w:color="auto"/>
        <w:left w:val="none" w:sz="0" w:space="0" w:color="auto"/>
        <w:bottom w:val="none" w:sz="0" w:space="0" w:color="auto"/>
        <w:right w:val="none" w:sz="0" w:space="0" w:color="auto"/>
      </w:divBdr>
      <w:divsChild>
        <w:div w:id="300309582">
          <w:marLeft w:val="547"/>
          <w:marRight w:val="0"/>
          <w:marTop w:val="96"/>
          <w:marBottom w:val="120"/>
          <w:divBdr>
            <w:top w:val="none" w:sz="0" w:space="0" w:color="auto"/>
            <w:left w:val="none" w:sz="0" w:space="0" w:color="auto"/>
            <w:bottom w:val="none" w:sz="0" w:space="0" w:color="auto"/>
            <w:right w:val="none" w:sz="0" w:space="0" w:color="auto"/>
          </w:divBdr>
        </w:div>
      </w:divsChild>
    </w:div>
    <w:div w:id="825825400">
      <w:bodyDiv w:val="1"/>
      <w:marLeft w:val="0"/>
      <w:marRight w:val="0"/>
      <w:marTop w:val="0"/>
      <w:marBottom w:val="0"/>
      <w:divBdr>
        <w:top w:val="none" w:sz="0" w:space="0" w:color="auto"/>
        <w:left w:val="none" w:sz="0" w:space="0" w:color="auto"/>
        <w:bottom w:val="none" w:sz="0" w:space="0" w:color="auto"/>
        <w:right w:val="none" w:sz="0" w:space="0" w:color="auto"/>
      </w:divBdr>
    </w:div>
    <w:div w:id="930970672">
      <w:bodyDiv w:val="1"/>
      <w:marLeft w:val="0"/>
      <w:marRight w:val="0"/>
      <w:marTop w:val="0"/>
      <w:marBottom w:val="0"/>
      <w:divBdr>
        <w:top w:val="none" w:sz="0" w:space="0" w:color="auto"/>
        <w:left w:val="none" w:sz="0" w:space="0" w:color="auto"/>
        <w:bottom w:val="none" w:sz="0" w:space="0" w:color="auto"/>
        <w:right w:val="none" w:sz="0" w:space="0" w:color="auto"/>
      </w:divBdr>
    </w:div>
    <w:div w:id="1093473433">
      <w:bodyDiv w:val="1"/>
      <w:marLeft w:val="0"/>
      <w:marRight w:val="0"/>
      <w:marTop w:val="0"/>
      <w:marBottom w:val="0"/>
      <w:divBdr>
        <w:top w:val="none" w:sz="0" w:space="0" w:color="auto"/>
        <w:left w:val="none" w:sz="0" w:space="0" w:color="auto"/>
        <w:bottom w:val="none" w:sz="0" w:space="0" w:color="auto"/>
        <w:right w:val="none" w:sz="0" w:space="0" w:color="auto"/>
      </w:divBdr>
    </w:div>
    <w:div w:id="1397168102">
      <w:bodyDiv w:val="1"/>
      <w:marLeft w:val="0"/>
      <w:marRight w:val="0"/>
      <w:marTop w:val="0"/>
      <w:marBottom w:val="0"/>
      <w:divBdr>
        <w:top w:val="none" w:sz="0" w:space="0" w:color="auto"/>
        <w:left w:val="none" w:sz="0" w:space="0" w:color="auto"/>
        <w:bottom w:val="none" w:sz="0" w:space="0" w:color="auto"/>
        <w:right w:val="none" w:sz="0" w:space="0" w:color="auto"/>
      </w:divBdr>
    </w:div>
    <w:div w:id="1425999189">
      <w:bodyDiv w:val="1"/>
      <w:marLeft w:val="0"/>
      <w:marRight w:val="0"/>
      <w:marTop w:val="0"/>
      <w:marBottom w:val="0"/>
      <w:divBdr>
        <w:top w:val="none" w:sz="0" w:space="0" w:color="auto"/>
        <w:left w:val="none" w:sz="0" w:space="0" w:color="auto"/>
        <w:bottom w:val="none" w:sz="0" w:space="0" w:color="auto"/>
        <w:right w:val="none" w:sz="0" w:space="0" w:color="auto"/>
      </w:divBdr>
      <w:divsChild>
        <w:div w:id="1347752982">
          <w:marLeft w:val="0"/>
          <w:marRight w:val="0"/>
          <w:marTop w:val="0"/>
          <w:marBottom w:val="0"/>
          <w:divBdr>
            <w:top w:val="none" w:sz="0" w:space="0" w:color="auto"/>
            <w:left w:val="none" w:sz="0" w:space="0" w:color="auto"/>
            <w:bottom w:val="none" w:sz="0" w:space="0" w:color="auto"/>
            <w:right w:val="none" w:sz="0" w:space="0" w:color="auto"/>
          </w:divBdr>
        </w:div>
        <w:div w:id="244999739">
          <w:marLeft w:val="0"/>
          <w:marRight w:val="0"/>
          <w:marTop w:val="0"/>
          <w:marBottom w:val="0"/>
          <w:divBdr>
            <w:top w:val="none" w:sz="0" w:space="0" w:color="auto"/>
            <w:left w:val="none" w:sz="0" w:space="0" w:color="auto"/>
            <w:bottom w:val="none" w:sz="0" w:space="0" w:color="auto"/>
            <w:right w:val="none" w:sz="0" w:space="0" w:color="auto"/>
          </w:divBdr>
        </w:div>
        <w:div w:id="2052265631">
          <w:marLeft w:val="0"/>
          <w:marRight w:val="0"/>
          <w:marTop w:val="0"/>
          <w:marBottom w:val="0"/>
          <w:divBdr>
            <w:top w:val="none" w:sz="0" w:space="0" w:color="auto"/>
            <w:left w:val="none" w:sz="0" w:space="0" w:color="auto"/>
            <w:bottom w:val="none" w:sz="0" w:space="0" w:color="auto"/>
            <w:right w:val="none" w:sz="0" w:space="0" w:color="auto"/>
          </w:divBdr>
        </w:div>
        <w:div w:id="1454982442">
          <w:marLeft w:val="0"/>
          <w:marRight w:val="0"/>
          <w:marTop w:val="0"/>
          <w:marBottom w:val="0"/>
          <w:divBdr>
            <w:top w:val="none" w:sz="0" w:space="0" w:color="auto"/>
            <w:left w:val="none" w:sz="0" w:space="0" w:color="auto"/>
            <w:bottom w:val="none" w:sz="0" w:space="0" w:color="auto"/>
            <w:right w:val="none" w:sz="0" w:space="0" w:color="auto"/>
          </w:divBdr>
        </w:div>
        <w:div w:id="1889683033">
          <w:marLeft w:val="0"/>
          <w:marRight w:val="0"/>
          <w:marTop w:val="0"/>
          <w:marBottom w:val="0"/>
          <w:divBdr>
            <w:top w:val="none" w:sz="0" w:space="0" w:color="auto"/>
            <w:left w:val="none" w:sz="0" w:space="0" w:color="auto"/>
            <w:bottom w:val="none" w:sz="0" w:space="0" w:color="auto"/>
            <w:right w:val="none" w:sz="0" w:space="0" w:color="auto"/>
          </w:divBdr>
        </w:div>
      </w:divsChild>
    </w:div>
    <w:div w:id="1506214109">
      <w:bodyDiv w:val="1"/>
      <w:marLeft w:val="0"/>
      <w:marRight w:val="0"/>
      <w:marTop w:val="0"/>
      <w:marBottom w:val="0"/>
      <w:divBdr>
        <w:top w:val="none" w:sz="0" w:space="0" w:color="auto"/>
        <w:left w:val="none" w:sz="0" w:space="0" w:color="auto"/>
        <w:bottom w:val="none" w:sz="0" w:space="0" w:color="auto"/>
        <w:right w:val="none" w:sz="0" w:space="0" w:color="auto"/>
      </w:divBdr>
      <w:divsChild>
        <w:div w:id="282082333">
          <w:marLeft w:val="547"/>
          <w:marRight w:val="0"/>
          <w:marTop w:val="77"/>
          <w:marBottom w:val="120"/>
          <w:divBdr>
            <w:top w:val="none" w:sz="0" w:space="0" w:color="auto"/>
            <w:left w:val="none" w:sz="0" w:space="0" w:color="auto"/>
            <w:bottom w:val="none" w:sz="0" w:space="0" w:color="auto"/>
            <w:right w:val="none" w:sz="0" w:space="0" w:color="auto"/>
          </w:divBdr>
        </w:div>
        <w:div w:id="1627589758">
          <w:marLeft w:val="547"/>
          <w:marRight w:val="0"/>
          <w:marTop w:val="77"/>
          <w:marBottom w:val="120"/>
          <w:divBdr>
            <w:top w:val="none" w:sz="0" w:space="0" w:color="auto"/>
            <w:left w:val="none" w:sz="0" w:space="0" w:color="auto"/>
            <w:bottom w:val="none" w:sz="0" w:space="0" w:color="auto"/>
            <w:right w:val="none" w:sz="0" w:space="0" w:color="auto"/>
          </w:divBdr>
        </w:div>
        <w:div w:id="676230171">
          <w:marLeft w:val="547"/>
          <w:marRight w:val="0"/>
          <w:marTop w:val="77"/>
          <w:marBottom w:val="120"/>
          <w:divBdr>
            <w:top w:val="none" w:sz="0" w:space="0" w:color="auto"/>
            <w:left w:val="none" w:sz="0" w:space="0" w:color="auto"/>
            <w:bottom w:val="none" w:sz="0" w:space="0" w:color="auto"/>
            <w:right w:val="none" w:sz="0" w:space="0" w:color="auto"/>
          </w:divBdr>
        </w:div>
      </w:divsChild>
    </w:div>
    <w:div w:id="1669475213">
      <w:bodyDiv w:val="1"/>
      <w:marLeft w:val="0"/>
      <w:marRight w:val="0"/>
      <w:marTop w:val="0"/>
      <w:marBottom w:val="0"/>
      <w:divBdr>
        <w:top w:val="none" w:sz="0" w:space="0" w:color="auto"/>
        <w:left w:val="none" w:sz="0" w:space="0" w:color="auto"/>
        <w:bottom w:val="none" w:sz="0" w:space="0" w:color="auto"/>
        <w:right w:val="none" w:sz="0" w:space="0" w:color="auto"/>
      </w:divBdr>
    </w:div>
    <w:div w:id="1757483028">
      <w:bodyDiv w:val="1"/>
      <w:marLeft w:val="0"/>
      <w:marRight w:val="0"/>
      <w:marTop w:val="0"/>
      <w:marBottom w:val="0"/>
      <w:divBdr>
        <w:top w:val="none" w:sz="0" w:space="0" w:color="auto"/>
        <w:left w:val="none" w:sz="0" w:space="0" w:color="auto"/>
        <w:bottom w:val="none" w:sz="0" w:space="0" w:color="auto"/>
        <w:right w:val="none" w:sz="0" w:space="0" w:color="auto"/>
      </w:divBdr>
      <w:divsChild>
        <w:div w:id="338584826">
          <w:marLeft w:val="547"/>
          <w:marRight w:val="0"/>
          <w:marTop w:val="96"/>
          <w:marBottom w:val="120"/>
          <w:divBdr>
            <w:top w:val="none" w:sz="0" w:space="0" w:color="auto"/>
            <w:left w:val="none" w:sz="0" w:space="0" w:color="auto"/>
            <w:bottom w:val="none" w:sz="0" w:space="0" w:color="auto"/>
            <w:right w:val="none" w:sz="0" w:space="0" w:color="auto"/>
          </w:divBdr>
        </w:div>
        <w:div w:id="681082227">
          <w:marLeft w:val="547"/>
          <w:marRight w:val="0"/>
          <w:marTop w:val="96"/>
          <w:marBottom w:val="120"/>
          <w:divBdr>
            <w:top w:val="none" w:sz="0" w:space="0" w:color="auto"/>
            <w:left w:val="none" w:sz="0" w:space="0" w:color="auto"/>
            <w:bottom w:val="none" w:sz="0" w:space="0" w:color="auto"/>
            <w:right w:val="none" w:sz="0" w:space="0" w:color="auto"/>
          </w:divBdr>
        </w:div>
        <w:div w:id="1177354765">
          <w:marLeft w:val="547"/>
          <w:marRight w:val="0"/>
          <w:marTop w:val="96"/>
          <w:marBottom w:val="120"/>
          <w:divBdr>
            <w:top w:val="none" w:sz="0" w:space="0" w:color="auto"/>
            <w:left w:val="none" w:sz="0" w:space="0" w:color="auto"/>
            <w:bottom w:val="none" w:sz="0" w:space="0" w:color="auto"/>
            <w:right w:val="none" w:sz="0" w:space="0" w:color="auto"/>
          </w:divBdr>
        </w:div>
        <w:div w:id="701058312">
          <w:marLeft w:val="547"/>
          <w:marRight w:val="0"/>
          <w:marTop w:val="96"/>
          <w:marBottom w:val="120"/>
          <w:divBdr>
            <w:top w:val="none" w:sz="0" w:space="0" w:color="auto"/>
            <w:left w:val="none" w:sz="0" w:space="0" w:color="auto"/>
            <w:bottom w:val="none" w:sz="0" w:space="0" w:color="auto"/>
            <w:right w:val="none" w:sz="0" w:space="0" w:color="auto"/>
          </w:divBdr>
        </w:div>
        <w:div w:id="48699751">
          <w:marLeft w:val="547"/>
          <w:marRight w:val="0"/>
          <w:marTop w:val="96"/>
          <w:marBottom w:val="120"/>
          <w:divBdr>
            <w:top w:val="none" w:sz="0" w:space="0" w:color="auto"/>
            <w:left w:val="none" w:sz="0" w:space="0" w:color="auto"/>
            <w:bottom w:val="none" w:sz="0" w:space="0" w:color="auto"/>
            <w:right w:val="none" w:sz="0" w:space="0" w:color="auto"/>
          </w:divBdr>
        </w:div>
        <w:div w:id="589243864">
          <w:marLeft w:val="547"/>
          <w:marRight w:val="0"/>
          <w:marTop w:val="96"/>
          <w:marBottom w:val="120"/>
          <w:divBdr>
            <w:top w:val="none" w:sz="0" w:space="0" w:color="auto"/>
            <w:left w:val="none" w:sz="0" w:space="0" w:color="auto"/>
            <w:bottom w:val="none" w:sz="0" w:space="0" w:color="auto"/>
            <w:right w:val="none" w:sz="0" w:space="0" w:color="auto"/>
          </w:divBdr>
        </w:div>
      </w:divsChild>
    </w:div>
    <w:div w:id="1848514918">
      <w:bodyDiv w:val="1"/>
      <w:marLeft w:val="0"/>
      <w:marRight w:val="0"/>
      <w:marTop w:val="0"/>
      <w:marBottom w:val="0"/>
      <w:divBdr>
        <w:top w:val="none" w:sz="0" w:space="0" w:color="auto"/>
        <w:left w:val="none" w:sz="0" w:space="0" w:color="auto"/>
        <w:bottom w:val="none" w:sz="0" w:space="0" w:color="auto"/>
        <w:right w:val="none" w:sz="0" w:space="0" w:color="auto"/>
      </w:divBdr>
    </w:div>
    <w:div w:id="2034499781">
      <w:bodyDiv w:val="1"/>
      <w:marLeft w:val="0"/>
      <w:marRight w:val="0"/>
      <w:marTop w:val="0"/>
      <w:marBottom w:val="0"/>
      <w:divBdr>
        <w:top w:val="none" w:sz="0" w:space="0" w:color="auto"/>
        <w:left w:val="none" w:sz="0" w:space="0" w:color="auto"/>
        <w:bottom w:val="none" w:sz="0" w:space="0" w:color="auto"/>
        <w:right w:val="none" w:sz="0" w:space="0" w:color="auto"/>
      </w:divBdr>
      <w:divsChild>
        <w:div w:id="1354070815">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Total</a:t>
            </a:r>
            <a:r>
              <a:rPr lang="en-US" baseline="0" dirty="0"/>
              <a:t> Return vs. Benchmark %</a:t>
            </a:r>
          </a:p>
          <a:p>
            <a:pPr>
              <a:defRPr/>
            </a:pP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7.4233814523184602E-2"/>
          <c:y val="0.21324074074074079"/>
          <c:w val="0.89521062992125988"/>
          <c:h val="0.62993000874890648"/>
        </c:manualLayout>
      </c:layout>
      <c:lineChart>
        <c:grouping val="standard"/>
        <c:varyColors val="0"/>
        <c:ser>
          <c:idx val="0"/>
          <c:order val="0"/>
          <c:tx>
            <c:strRef>
              <c:f>Sheet1!$H$33</c:f>
              <c:strCache>
                <c:ptCount val="1"/>
                <c:pt idx="0">
                  <c:v>Total Return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Sheet1!$I$32:$M$32</c:f>
              <c:numCache>
                <c:formatCode>General</c:formatCode>
                <c:ptCount val="5"/>
                <c:pt idx="0">
                  <c:v>2013</c:v>
                </c:pt>
                <c:pt idx="1">
                  <c:v>2014</c:v>
                </c:pt>
                <c:pt idx="2">
                  <c:v>2015</c:v>
                </c:pt>
                <c:pt idx="3">
                  <c:v>2016</c:v>
                </c:pt>
                <c:pt idx="4">
                  <c:v>2017</c:v>
                </c:pt>
              </c:numCache>
            </c:numRef>
          </c:cat>
          <c:val>
            <c:numRef>
              <c:f>Sheet1!$I$33:$M$33</c:f>
              <c:numCache>
                <c:formatCode>General</c:formatCode>
                <c:ptCount val="5"/>
                <c:pt idx="0">
                  <c:v>18.760000000000002</c:v>
                </c:pt>
                <c:pt idx="1">
                  <c:v>1.1299999999999999</c:v>
                </c:pt>
                <c:pt idx="2">
                  <c:v>-0.98</c:v>
                </c:pt>
                <c:pt idx="3">
                  <c:v>-6.85</c:v>
                </c:pt>
                <c:pt idx="4">
                  <c:v>12.85</c:v>
                </c:pt>
              </c:numCache>
            </c:numRef>
          </c:val>
          <c:smooth val="0"/>
          <c:extLst>
            <c:ext xmlns:c16="http://schemas.microsoft.com/office/drawing/2014/chart" uri="{C3380CC4-5D6E-409C-BE32-E72D297353CC}">
              <c16:uniqueId val="{00000000-6EBB-4E2B-8DA8-30A1F881156F}"/>
            </c:ext>
          </c:extLst>
        </c:ser>
        <c:ser>
          <c:idx val="1"/>
          <c:order val="1"/>
          <c:tx>
            <c:strRef>
              <c:f>Sheet1!$H$34</c:f>
              <c:strCache>
                <c:ptCount val="1"/>
                <c:pt idx="0">
                  <c:v>Benchmark</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Sheet1!$I$32:$M$32</c:f>
              <c:numCache>
                <c:formatCode>General</c:formatCode>
                <c:ptCount val="5"/>
                <c:pt idx="0">
                  <c:v>2013</c:v>
                </c:pt>
                <c:pt idx="1">
                  <c:v>2014</c:v>
                </c:pt>
                <c:pt idx="2">
                  <c:v>2015</c:v>
                </c:pt>
                <c:pt idx="3">
                  <c:v>2016</c:v>
                </c:pt>
                <c:pt idx="4">
                  <c:v>2017</c:v>
                </c:pt>
              </c:numCache>
            </c:numRef>
          </c:cat>
          <c:val>
            <c:numRef>
              <c:f>Sheet1!$I$34:$M$34</c:f>
              <c:numCache>
                <c:formatCode>General</c:formatCode>
                <c:ptCount val="5"/>
                <c:pt idx="0">
                  <c:v>7.0000000000000007E-2</c:v>
                </c:pt>
                <c:pt idx="1">
                  <c:v>0.03</c:v>
                </c:pt>
                <c:pt idx="2">
                  <c:v>0.05</c:v>
                </c:pt>
                <c:pt idx="3">
                  <c:v>0.33</c:v>
                </c:pt>
                <c:pt idx="4">
                  <c:v>0.86</c:v>
                </c:pt>
              </c:numCache>
            </c:numRef>
          </c:val>
          <c:smooth val="0"/>
          <c:extLst>
            <c:ext xmlns:c16="http://schemas.microsoft.com/office/drawing/2014/chart" uri="{C3380CC4-5D6E-409C-BE32-E72D297353CC}">
              <c16:uniqueId val="{00000001-6EBB-4E2B-8DA8-30A1F881156F}"/>
            </c:ext>
          </c:extLst>
        </c:ser>
        <c:dLbls>
          <c:showLegendKey val="0"/>
          <c:showVal val="0"/>
          <c:showCatName val="0"/>
          <c:showSerName val="0"/>
          <c:showPercent val="0"/>
          <c:showBubbleSize val="0"/>
        </c:dLbls>
        <c:smooth val="0"/>
        <c:axId val="667410488"/>
        <c:axId val="667417048"/>
      </c:lineChart>
      <c:catAx>
        <c:axId val="6674104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7417048"/>
        <c:crosses val="autoZero"/>
        <c:auto val="1"/>
        <c:lblAlgn val="ctr"/>
        <c:lblOffset val="100"/>
        <c:noMultiLvlLbl val="0"/>
      </c:catAx>
      <c:valAx>
        <c:axId val="6674170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7410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Sheet1!$B$3</c:f>
              <c:strCache>
                <c:ptCount val="1"/>
                <c:pt idx="0">
                  <c:v>Long</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0C17-4EC1-B2B4-283B58B909B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0C17-4EC1-B2B4-283B58B909BC}"/>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0C17-4EC1-B2B4-283B58B909BC}"/>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0C17-4EC1-B2B4-283B58B909BC}"/>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0C17-4EC1-B2B4-283B58B909BC}"/>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0C17-4EC1-B2B4-283B58B909BC}"/>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0C17-4EC1-B2B4-283B58B909BC}"/>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0C17-4EC1-B2B4-283B58B909BC}"/>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0C17-4EC1-B2B4-283B58B909BC}"/>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3-0C17-4EC1-B2B4-283B58B909BC}"/>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5-0C17-4EC1-B2B4-283B58B909BC}"/>
              </c:ext>
            </c:extLst>
          </c:dPt>
          <c:dLbls>
            <c:dLbl>
              <c:idx val="0"/>
              <c:layout>
                <c:manualLayout>
                  <c:x val="-7.5694987982847212E-2"/>
                  <c:y val="0.1634395892368876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C17-4EC1-B2B4-283B58B909BC}"/>
                </c:ext>
              </c:extLst>
            </c:dLbl>
            <c:dLbl>
              <c:idx val="4"/>
              <c:layout>
                <c:manualLayout>
                  <c:x val="8.4952270311425382E-2"/>
                  <c:y val="-0.105798292530970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C17-4EC1-B2B4-283B58B909BC}"/>
                </c:ext>
              </c:extLst>
            </c:dLbl>
            <c:dLbl>
              <c:idx val="5"/>
              <c:layout>
                <c:manualLayout>
                  <c:x val="8.3095685579391246E-2"/>
                  <c:y val="-2.435209566611939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C17-4EC1-B2B4-283B58B909BC}"/>
                </c:ext>
              </c:extLst>
            </c:dLbl>
            <c:dLbl>
              <c:idx val="7"/>
              <c:layout>
                <c:manualLayout>
                  <c:x val="1.2091030281397113E-2"/>
                  <c:y val="0.10711510019490939"/>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6.2323922118390343E-2"/>
                      <c:h val="7.3880660830195413E-2"/>
                    </c:manualLayout>
                  </c15:layout>
                </c:ext>
                <c:ext xmlns:c16="http://schemas.microsoft.com/office/drawing/2014/chart" uri="{C3380CC4-5D6E-409C-BE32-E72D297353CC}">
                  <c16:uniqueId val="{0000000F-0C17-4EC1-B2B4-283B58B909BC}"/>
                </c:ext>
              </c:extLst>
            </c:dLbl>
            <c:dLbl>
              <c:idx val="8"/>
              <c:layout>
                <c:manualLayout>
                  <c:x val="2.9690884862043229E-2"/>
                  <c:y val="0.10371440017220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C17-4EC1-B2B4-283B58B909BC}"/>
                </c:ext>
              </c:extLst>
            </c:dLbl>
            <c:dLbl>
              <c:idx val="9"/>
              <c:layout>
                <c:manualLayout>
                  <c:x val="3.252920255712622E-2"/>
                  <c:y val="8.22431898591487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0C17-4EC1-B2B4-283B58B909BC}"/>
                </c:ext>
              </c:extLst>
            </c:dLbl>
            <c:dLbl>
              <c:idx val="10"/>
              <c:delete val="1"/>
              <c:extLst>
                <c:ext xmlns:c15="http://schemas.microsoft.com/office/drawing/2012/chart" uri="{CE6537A1-D6FC-4f65-9D91-7224C49458BB}"/>
                <c:ext xmlns:c16="http://schemas.microsoft.com/office/drawing/2014/chart" uri="{C3380CC4-5D6E-409C-BE32-E72D297353CC}">
                  <c16:uniqueId val="{00000015-0C17-4EC1-B2B4-283B58B909B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Sheet1!$A$4:$A$14</c:f>
              <c:strCache>
                <c:ptCount val="11"/>
                <c:pt idx="0">
                  <c:v>Industrials</c:v>
                </c:pt>
                <c:pt idx="1">
                  <c:v>Consumer Discretionary</c:v>
                </c:pt>
                <c:pt idx="2">
                  <c:v>Information Technology</c:v>
                </c:pt>
                <c:pt idx="3">
                  <c:v>Materials</c:v>
                </c:pt>
                <c:pt idx="4">
                  <c:v>Health Care</c:v>
                </c:pt>
                <c:pt idx="5">
                  <c:v>Consumer Staples</c:v>
                </c:pt>
                <c:pt idx="6">
                  <c:v>Real Estate</c:v>
                </c:pt>
                <c:pt idx="7">
                  <c:v>Utilities</c:v>
                </c:pt>
                <c:pt idx="8">
                  <c:v>Communication</c:v>
                </c:pt>
                <c:pt idx="9">
                  <c:v>Energy</c:v>
                </c:pt>
                <c:pt idx="10">
                  <c:v>Cash or Other Derivatives</c:v>
                </c:pt>
              </c:strCache>
            </c:strRef>
          </c:cat>
          <c:val>
            <c:numRef>
              <c:f>Sheet1!$B$4:$B$14</c:f>
              <c:numCache>
                <c:formatCode>General</c:formatCode>
                <c:ptCount val="11"/>
                <c:pt idx="0">
                  <c:v>22.9</c:v>
                </c:pt>
                <c:pt idx="1">
                  <c:v>25.5</c:v>
                </c:pt>
                <c:pt idx="2">
                  <c:v>20.5</c:v>
                </c:pt>
                <c:pt idx="3">
                  <c:v>14.5</c:v>
                </c:pt>
                <c:pt idx="4">
                  <c:v>8.4</c:v>
                </c:pt>
                <c:pt idx="5">
                  <c:v>9.9</c:v>
                </c:pt>
                <c:pt idx="6">
                  <c:v>8.9</c:v>
                </c:pt>
                <c:pt idx="7">
                  <c:v>4.9000000000000004</c:v>
                </c:pt>
                <c:pt idx="8">
                  <c:v>3.9</c:v>
                </c:pt>
                <c:pt idx="9">
                  <c:v>3.5</c:v>
                </c:pt>
                <c:pt idx="10">
                  <c:v>0</c:v>
                </c:pt>
              </c:numCache>
            </c:numRef>
          </c:val>
          <c:extLst>
            <c:ext xmlns:c16="http://schemas.microsoft.com/office/drawing/2014/chart" uri="{C3380CC4-5D6E-409C-BE32-E72D297353CC}">
              <c16:uniqueId val="{00000016-0C17-4EC1-B2B4-283B58B909BC}"/>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Sheet1!$E$83</c:f>
              <c:strCache>
                <c:ptCount val="1"/>
                <c:pt idx="0">
                  <c:v>Short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47F5-4D6E-9B11-0550D39E455A}"/>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47F5-4D6E-9B11-0550D39E455A}"/>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47F5-4D6E-9B11-0550D39E455A}"/>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47F5-4D6E-9B11-0550D39E455A}"/>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47F5-4D6E-9B11-0550D39E455A}"/>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47F5-4D6E-9B11-0550D39E455A}"/>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47F5-4D6E-9B11-0550D39E455A}"/>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47F5-4D6E-9B11-0550D39E455A}"/>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47F5-4D6E-9B11-0550D39E455A}"/>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3-47F5-4D6E-9B11-0550D39E455A}"/>
              </c:ext>
            </c:extLst>
          </c:dPt>
          <c:dPt>
            <c:idx val="10"/>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5-47F5-4D6E-9B11-0550D39E455A}"/>
              </c:ext>
            </c:extLst>
          </c:dPt>
          <c:dLbls>
            <c:dLbl>
              <c:idx val="0"/>
              <c:layout>
                <c:manualLayout>
                  <c:x val="9.4444444444444345E-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7F5-4D6E-9B11-0550D39E455A}"/>
                </c:ext>
              </c:extLst>
            </c:dLbl>
            <c:dLbl>
              <c:idx val="1"/>
              <c:layout>
                <c:manualLayout>
                  <c:x val="-1.8702778884156989E-3"/>
                  <c:y val="6.5619873447386928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AEB6008E-04EB-4F3A-8924-27FA72353D8A}" type="CATEGORYNAME">
                      <a:rPr lang="en-US">
                        <a:solidFill>
                          <a:schemeClr val="accent2"/>
                        </a:solidFill>
                      </a:rPr>
                      <a:pPr>
                        <a:defRPr>
                          <a:solidFill>
                            <a:schemeClr val="accent1"/>
                          </a:solidFill>
                        </a:defRPr>
                      </a:pPr>
                      <a:t>[CATEGORY NAME]</a:t>
                    </a:fld>
                    <a:r>
                      <a:rPr lang="en-US" baseline="0">
                        <a:solidFill>
                          <a:schemeClr val="accent2"/>
                        </a:solidFill>
                      </a:rPr>
                      <a:t>
</a:t>
                    </a:r>
                    <a:fld id="{60434033-6939-49CB-99BF-A82C0D43DD64}" type="PERCENTAGE">
                      <a:rPr lang="en-US" baseline="0">
                        <a:solidFill>
                          <a:schemeClr val="accent2"/>
                        </a:solidFill>
                      </a:rPr>
                      <a:pPr>
                        <a:defRPr>
                          <a:solidFill>
                            <a:schemeClr val="accent1"/>
                          </a:solidFill>
                        </a:defRPr>
                      </a:pPr>
                      <a:t>[PERCENTAGE]</a:t>
                    </a:fld>
                    <a:endParaRPr lang="en-US" baseline="0">
                      <a:solidFill>
                        <a:schemeClr val="accent2"/>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0075221329199136"/>
                      <c:h val="0.2354631497170189"/>
                    </c:manualLayout>
                  </c15:layout>
                  <c15:dlblFieldTable/>
                  <c15:showDataLabelsRange val="0"/>
                </c:ext>
                <c:ext xmlns:c16="http://schemas.microsoft.com/office/drawing/2014/chart" uri="{C3380CC4-5D6E-409C-BE32-E72D297353CC}">
                  <c16:uniqueId val="{00000003-47F5-4D6E-9B11-0550D39E455A}"/>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7F5-4D6E-9B11-0550D39E455A}"/>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47F5-4D6E-9B11-0550D39E455A}"/>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7F5-4D6E-9B11-0550D39E455A}"/>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47F5-4D6E-9B11-0550D39E455A}"/>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D-47F5-4D6E-9B11-0550D39E455A}"/>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47F5-4D6E-9B11-0550D39E455A}"/>
                </c:ext>
              </c:extLst>
            </c:dLbl>
            <c:dLbl>
              <c:idx val="8"/>
              <c:layout>
                <c:manualLayout>
                  <c:x val="-1.8795723749804497E-2"/>
                  <c:y val="-5.0925925925925958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9960932749410984"/>
                      <c:h val="0.18011239380047958"/>
                    </c:manualLayout>
                  </c15:layout>
                </c:ext>
                <c:ext xmlns:c16="http://schemas.microsoft.com/office/drawing/2014/chart" uri="{C3380CC4-5D6E-409C-BE32-E72D297353CC}">
                  <c16:uniqueId val="{00000011-47F5-4D6E-9B11-0550D39E455A}"/>
                </c:ext>
              </c:extLst>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3-47F5-4D6E-9B11-0550D39E455A}"/>
                </c:ext>
              </c:extLst>
            </c:dLbl>
            <c:dLbl>
              <c:idx val="10"/>
              <c:layout>
                <c:manualLayout>
                  <c:x val="0.23333333333333334"/>
                  <c:y val="-1.388888888888889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47F5-4D6E-9B11-0550D39E455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Sheet1!$D$84:$D$94</c:f>
              <c:strCache>
                <c:ptCount val="11"/>
                <c:pt idx="0">
                  <c:v>Industrials</c:v>
                </c:pt>
                <c:pt idx="1">
                  <c:v>Consumer Discretionary</c:v>
                </c:pt>
                <c:pt idx="2">
                  <c:v>Information Technology</c:v>
                </c:pt>
                <c:pt idx="3">
                  <c:v>Materials</c:v>
                </c:pt>
                <c:pt idx="4">
                  <c:v>Health Care</c:v>
                </c:pt>
                <c:pt idx="5">
                  <c:v>Consumer Staples</c:v>
                </c:pt>
                <c:pt idx="6">
                  <c:v>Real Estate</c:v>
                </c:pt>
                <c:pt idx="7">
                  <c:v>Utilities</c:v>
                </c:pt>
                <c:pt idx="8">
                  <c:v>Communication</c:v>
                </c:pt>
                <c:pt idx="9">
                  <c:v>Energy</c:v>
                </c:pt>
                <c:pt idx="10">
                  <c:v>Cash or Other Derivatives</c:v>
                </c:pt>
              </c:strCache>
            </c:strRef>
          </c:cat>
          <c:val>
            <c:numRef>
              <c:f>Sheet1!$E$84:$E$94</c:f>
              <c:numCache>
                <c:formatCode>General</c:formatCode>
                <c:ptCount val="11"/>
                <c:pt idx="0">
                  <c:v>-23.8</c:v>
                </c:pt>
                <c:pt idx="1">
                  <c:v>-19.5</c:v>
                </c:pt>
                <c:pt idx="2">
                  <c:v>-14.4</c:v>
                </c:pt>
                <c:pt idx="3">
                  <c:v>-13.4</c:v>
                </c:pt>
                <c:pt idx="4">
                  <c:v>-12.7</c:v>
                </c:pt>
                <c:pt idx="5">
                  <c:v>-9.6999999999999993</c:v>
                </c:pt>
                <c:pt idx="6">
                  <c:v>-7.6</c:v>
                </c:pt>
                <c:pt idx="7">
                  <c:v>-7.2</c:v>
                </c:pt>
                <c:pt idx="8">
                  <c:v>-6.1</c:v>
                </c:pt>
                <c:pt idx="9">
                  <c:v>-4.3</c:v>
                </c:pt>
                <c:pt idx="10">
                  <c:v>-2.1</c:v>
                </c:pt>
              </c:numCache>
            </c:numRef>
          </c:val>
          <c:extLst>
            <c:ext xmlns:c16="http://schemas.microsoft.com/office/drawing/2014/chart" uri="{C3380CC4-5D6E-409C-BE32-E72D297353CC}">
              <c16:uniqueId val="{00000016-47F5-4D6E-9B11-0550D39E455A}"/>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Sheet1!$B$19</c:f>
              <c:strCache>
                <c:ptCount val="1"/>
                <c:pt idx="0">
                  <c:v>Long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616-48A7-911A-1E4BFCD95F5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616-48A7-911A-1E4BFCD95F5B}"/>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616-48A7-911A-1E4BFCD95F5B}"/>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8616-48A7-911A-1E4BFCD95F5B}"/>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8616-48A7-911A-1E4BFCD95F5B}"/>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8616-48A7-911A-1E4BFCD95F5B}"/>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8616-48A7-911A-1E4BFCD95F5B}"/>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8616-48A7-911A-1E4BFCD95F5B}"/>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8616-48A7-911A-1E4BFCD95F5B}"/>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3-8616-48A7-911A-1E4BFCD95F5B}"/>
              </c:ext>
            </c:extLst>
          </c:dPt>
          <c:dLbls>
            <c:dLbl>
              <c:idx val="1"/>
              <c:layout>
                <c:manualLayout>
                  <c:x val="6.7956416156385271E-2"/>
                  <c:y val="-0.1904475902478542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616-48A7-911A-1E4BFCD95F5B}"/>
                </c:ext>
              </c:extLst>
            </c:dLbl>
            <c:dLbl>
              <c:idx val="2"/>
              <c:layout>
                <c:manualLayout>
                  <c:x val="6.772345573968036E-2"/>
                  <c:y val="-0.1364684837123363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616-48A7-911A-1E4BFCD95F5B}"/>
                </c:ext>
              </c:extLst>
            </c:dLbl>
            <c:dLbl>
              <c:idx val="3"/>
              <c:layout>
                <c:manualLayout>
                  <c:x val="8.3363926821815246E-2"/>
                  <c:y val="-0.102341261250115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616-48A7-911A-1E4BFCD95F5B}"/>
                </c:ext>
              </c:extLst>
            </c:dLbl>
            <c:dLbl>
              <c:idx val="4"/>
              <c:layout>
                <c:manualLayout>
                  <c:x val="7.9680290846896151E-2"/>
                  <c:y val="2.17010883717124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616-48A7-911A-1E4BFCD95F5B}"/>
                </c:ext>
              </c:extLst>
            </c:dLbl>
            <c:dLbl>
              <c:idx val="6"/>
              <c:layout>
                <c:manualLayout>
                  <c:x val="4.0199034037595435E-2"/>
                  <c:y val="0.1048683907283380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616-48A7-911A-1E4BFCD95F5B}"/>
                </c:ext>
              </c:extLst>
            </c:dLbl>
            <c:dLbl>
              <c:idx val="7"/>
              <c:layout>
                <c:manualLayout>
                  <c:x val="8.5548841784514579E-2"/>
                  <c:y val="0.1001812788891405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8616-48A7-911A-1E4BFCD95F5B}"/>
                </c:ext>
              </c:extLst>
            </c:dLbl>
            <c:dLbl>
              <c:idx val="8"/>
              <c:delete val="1"/>
              <c:extLst>
                <c:ext xmlns:c15="http://schemas.microsoft.com/office/drawing/2012/chart" uri="{CE6537A1-D6FC-4f65-9D91-7224C49458BB}"/>
                <c:ext xmlns:c16="http://schemas.microsoft.com/office/drawing/2014/chart" uri="{C3380CC4-5D6E-409C-BE32-E72D297353CC}">
                  <c16:uniqueId val="{00000011-8616-48A7-911A-1E4BFCD95F5B}"/>
                </c:ext>
              </c:extLst>
            </c:dLbl>
            <c:dLbl>
              <c:idx val="9"/>
              <c:delete val="1"/>
              <c:extLst>
                <c:ext xmlns:c15="http://schemas.microsoft.com/office/drawing/2012/chart" uri="{CE6537A1-D6FC-4f65-9D91-7224C49458BB}"/>
                <c:ext xmlns:c16="http://schemas.microsoft.com/office/drawing/2014/chart" uri="{C3380CC4-5D6E-409C-BE32-E72D297353CC}">
                  <c16:uniqueId val="{00000013-8616-48A7-911A-1E4BFCD95F5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Sheet1!$A$20:$A$29</c:f>
              <c:strCache>
                <c:ptCount val="10"/>
                <c:pt idx="0">
                  <c:v>United States</c:v>
                </c:pt>
                <c:pt idx="1">
                  <c:v>Cash or Other Derivatives</c:v>
                </c:pt>
                <c:pt idx="2">
                  <c:v>United Kingdom</c:v>
                </c:pt>
                <c:pt idx="3">
                  <c:v>Japan</c:v>
                </c:pt>
                <c:pt idx="4">
                  <c:v>Germany</c:v>
                </c:pt>
                <c:pt idx="5">
                  <c:v>France</c:v>
                </c:pt>
                <c:pt idx="6">
                  <c:v>Netherlands</c:v>
                </c:pt>
                <c:pt idx="7">
                  <c:v>Australia</c:v>
                </c:pt>
                <c:pt idx="8">
                  <c:v>Canada</c:v>
                </c:pt>
                <c:pt idx="9">
                  <c:v>Sweden</c:v>
                </c:pt>
              </c:strCache>
            </c:strRef>
          </c:cat>
          <c:val>
            <c:numRef>
              <c:f>Sheet1!$B$20:$B$29</c:f>
              <c:numCache>
                <c:formatCode>General</c:formatCode>
                <c:ptCount val="10"/>
                <c:pt idx="0">
                  <c:v>73.7</c:v>
                </c:pt>
                <c:pt idx="1">
                  <c:v>16.8</c:v>
                </c:pt>
                <c:pt idx="2">
                  <c:v>10</c:v>
                </c:pt>
                <c:pt idx="3">
                  <c:v>11.4</c:v>
                </c:pt>
                <c:pt idx="4">
                  <c:v>14.4</c:v>
                </c:pt>
                <c:pt idx="5">
                  <c:v>6.8</c:v>
                </c:pt>
                <c:pt idx="6">
                  <c:v>9.6</c:v>
                </c:pt>
                <c:pt idx="7">
                  <c:v>4.4000000000000004</c:v>
                </c:pt>
                <c:pt idx="8">
                  <c:v>2.9</c:v>
                </c:pt>
                <c:pt idx="9">
                  <c:v>1.8</c:v>
                </c:pt>
              </c:numCache>
            </c:numRef>
          </c:val>
          <c:extLst>
            <c:ext xmlns:c16="http://schemas.microsoft.com/office/drawing/2014/chart" uri="{C3380CC4-5D6E-409C-BE32-E72D297353CC}">
              <c16:uniqueId val="{00000014-8616-48A7-911A-1E4BFCD95F5B}"/>
            </c:ext>
          </c:extLst>
        </c:ser>
        <c:ser>
          <c:idx val="1"/>
          <c:order val="1"/>
          <c:tx>
            <c:strRef>
              <c:f>Sheet1!$C$19</c:f>
              <c:strCache>
                <c:ptCount val="1"/>
                <c:pt idx="0">
                  <c:v>Short </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6-8616-48A7-911A-1E4BFCD95F5B}"/>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8-8616-48A7-911A-1E4BFCD95F5B}"/>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A-8616-48A7-911A-1E4BFCD95F5B}"/>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C-8616-48A7-911A-1E4BFCD95F5B}"/>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E-8616-48A7-911A-1E4BFCD95F5B}"/>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20-8616-48A7-911A-1E4BFCD95F5B}"/>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22-8616-48A7-911A-1E4BFCD95F5B}"/>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24-8616-48A7-911A-1E4BFCD95F5B}"/>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26-8616-48A7-911A-1E4BFCD95F5B}"/>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28-8616-48A7-911A-1E4BFCD95F5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Sheet1!$A$20:$A$29</c:f>
              <c:strCache>
                <c:ptCount val="10"/>
                <c:pt idx="0">
                  <c:v>United States</c:v>
                </c:pt>
                <c:pt idx="1">
                  <c:v>Cash or Other Derivatives</c:v>
                </c:pt>
                <c:pt idx="2">
                  <c:v>United Kingdom</c:v>
                </c:pt>
                <c:pt idx="3">
                  <c:v>Japan</c:v>
                </c:pt>
                <c:pt idx="4">
                  <c:v>Germany</c:v>
                </c:pt>
                <c:pt idx="5">
                  <c:v>France</c:v>
                </c:pt>
                <c:pt idx="6">
                  <c:v>Netherlands</c:v>
                </c:pt>
                <c:pt idx="7">
                  <c:v>Australia</c:v>
                </c:pt>
                <c:pt idx="8">
                  <c:v>Canada</c:v>
                </c:pt>
                <c:pt idx="9">
                  <c:v>Sweden</c:v>
                </c:pt>
              </c:strCache>
            </c:strRef>
          </c:cat>
          <c:val>
            <c:numRef>
              <c:f>Sheet1!$C$20:$C$29</c:f>
              <c:numCache>
                <c:formatCode>General</c:formatCode>
                <c:ptCount val="10"/>
                <c:pt idx="0">
                  <c:v>-82.5</c:v>
                </c:pt>
                <c:pt idx="1">
                  <c:v>-17.2</c:v>
                </c:pt>
                <c:pt idx="2">
                  <c:v>-11</c:v>
                </c:pt>
                <c:pt idx="3">
                  <c:v>-8.1999999999999993</c:v>
                </c:pt>
                <c:pt idx="4">
                  <c:v>-4.7</c:v>
                </c:pt>
                <c:pt idx="5">
                  <c:v>-10.6</c:v>
                </c:pt>
                <c:pt idx="6">
                  <c:v>-1.7</c:v>
                </c:pt>
                <c:pt idx="7">
                  <c:v>-3.9</c:v>
                </c:pt>
                <c:pt idx="8">
                  <c:v>-1.9</c:v>
                </c:pt>
                <c:pt idx="9">
                  <c:v>-3</c:v>
                </c:pt>
              </c:numCache>
            </c:numRef>
          </c:val>
          <c:extLst>
            <c:ext xmlns:c16="http://schemas.microsoft.com/office/drawing/2014/chart" uri="{C3380CC4-5D6E-409C-BE32-E72D297353CC}">
              <c16:uniqueId val="{00000029-8616-48A7-911A-1E4BFCD95F5B}"/>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0.84334</cdr:x>
      <cdr:y>0.90737</cdr:y>
    </cdr:from>
    <cdr:to>
      <cdr:x>0.99676</cdr:x>
      <cdr:y>0.99558</cdr:y>
    </cdr:to>
    <cdr:sp macro="" textlink="">
      <cdr:nvSpPr>
        <cdr:cNvPr id="2" name="Text Box 2"/>
        <cdr:cNvSpPr txBox="1">
          <a:spLocks xmlns:a="http://schemas.openxmlformats.org/drawingml/2006/main" noChangeArrowheads="1"/>
        </cdr:cNvSpPr>
      </cdr:nvSpPr>
      <cdr:spPr bwMode="auto">
        <a:xfrm xmlns:a="http://schemas.openxmlformats.org/drawingml/2006/main">
          <a:off x="3092633" y="2168749"/>
          <a:ext cx="562610" cy="210820"/>
        </a:xfrm>
        <a:prstGeom xmlns:a="http://schemas.openxmlformats.org/drawingml/2006/main" prst="rect">
          <a:avLst/>
        </a:prstGeom>
        <a:solidFill xmlns:a="http://schemas.openxmlformats.org/drawingml/2006/main">
          <a:schemeClr val="accent3">
            <a:lumMod val="75000"/>
          </a:schemeClr>
        </a:solidFill>
        <a:ln xmlns:a="http://schemas.openxmlformats.org/drawingml/2006/main" w="9525">
          <a:solidFill>
            <a:srgbClr val="000000"/>
          </a:solid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nSpc>
              <a:spcPct val="107000"/>
            </a:lnSpc>
            <a:spcBef>
              <a:spcPts val="0"/>
            </a:spcBef>
            <a:spcAft>
              <a:spcPts val="800"/>
            </a:spcAft>
          </a:pPr>
          <a:r>
            <a:rPr lang="en-US" sz="800" b="1">
              <a:effectLst/>
              <a:latin typeface="Calibri" panose="020F0502020204030204" pitchFamily="34" charset="0"/>
              <a:ea typeface="Calibri" panose="020F0502020204030204" pitchFamily="34" charset="0"/>
              <a:cs typeface="Times New Roman" panose="02020603050405020304" pitchFamily="18" charset="0"/>
            </a:rPr>
            <a:t>Figure 1</a:t>
          </a:r>
          <a:endParaRPr lang="en-US" sz="1100" b="1">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0.00215</cdr:x>
      <cdr:y>0.00419</cdr:y>
    </cdr:from>
    <cdr:to>
      <cdr:x>0.15059</cdr:x>
      <cdr:y>0.0807</cdr:y>
    </cdr:to>
    <cdr:sp macro="" textlink="">
      <cdr:nvSpPr>
        <cdr:cNvPr id="2" name="Text Box 2"/>
        <cdr:cNvSpPr txBox="1">
          <a:spLocks xmlns:a="http://schemas.openxmlformats.org/drawingml/2006/main" noChangeArrowheads="1"/>
        </cdr:cNvSpPr>
      </cdr:nvSpPr>
      <cdr:spPr bwMode="auto">
        <a:xfrm xmlns:a="http://schemas.openxmlformats.org/drawingml/2006/main">
          <a:off x="7993" y="11904"/>
          <a:ext cx="552275" cy="217575"/>
        </a:xfrm>
        <a:prstGeom xmlns:a="http://schemas.openxmlformats.org/drawingml/2006/main" prst="rect">
          <a:avLst/>
        </a:prstGeom>
        <a:solidFill xmlns:a="http://schemas.openxmlformats.org/drawingml/2006/main">
          <a:schemeClr val="accent3">
            <a:lumMod val="75000"/>
          </a:schemeClr>
        </a:solidFill>
        <a:ln xmlns:a="http://schemas.openxmlformats.org/drawingml/2006/main" w="9525">
          <a:solidFill>
            <a:srgbClr val="000000"/>
          </a:solid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800" b="1">
              <a:effectLst/>
              <a:latin typeface="Calibri" panose="020F0502020204030204" pitchFamily="34" charset="0"/>
              <a:ea typeface="Calibri" panose="020F0502020204030204" pitchFamily="34" charset="0"/>
              <a:cs typeface="Times New Roman" panose="02020603050405020304" pitchFamily="18" charset="0"/>
            </a:rPr>
            <a:t>Figure 3</a:t>
          </a:r>
          <a:endParaRPr lang="en-US" sz="1100" b="1">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0.86065</cdr:x>
      <cdr:y>0.00287</cdr:y>
    </cdr:from>
    <cdr:to>
      <cdr:x>0.99855</cdr:x>
      <cdr:y>0.08068</cdr:y>
    </cdr:to>
    <cdr:sp macro="" textlink="">
      <cdr:nvSpPr>
        <cdr:cNvPr id="2" name="Text Box 2"/>
        <cdr:cNvSpPr txBox="1">
          <a:spLocks xmlns:a="http://schemas.openxmlformats.org/drawingml/2006/main" noChangeArrowheads="1"/>
        </cdr:cNvSpPr>
      </cdr:nvSpPr>
      <cdr:spPr bwMode="auto">
        <a:xfrm xmlns:a="http://schemas.openxmlformats.org/drawingml/2006/main">
          <a:off x="3361610" y="6707"/>
          <a:ext cx="538617" cy="181620"/>
        </a:xfrm>
        <a:prstGeom xmlns:a="http://schemas.openxmlformats.org/drawingml/2006/main" prst="rect">
          <a:avLst/>
        </a:prstGeom>
        <a:solidFill xmlns:a="http://schemas.openxmlformats.org/drawingml/2006/main">
          <a:schemeClr val="accent3">
            <a:lumMod val="75000"/>
          </a:schemeClr>
        </a:solidFill>
        <a:ln xmlns:a="http://schemas.openxmlformats.org/drawingml/2006/main" w="9525">
          <a:solidFill>
            <a:srgbClr val="000000"/>
          </a:solid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nSpc>
              <a:spcPct val="107000"/>
            </a:lnSpc>
            <a:spcBef>
              <a:spcPts val="0"/>
            </a:spcBef>
            <a:spcAft>
              <a:spcPts val="800"/>
            </a:spcAft>
          </a:pPr>
          <a:r>
            <a:rPr lang="en-US" sz="800" b="1">
              <a:effectLst/>
              <a:latin typeface="Calibri" panose="020F0502020204030204" pitchFamily="34" charset="0"/>
              <a:ea typeface="Calibri" panose="020F0502020204030204" pitchFamily="34" charset="0"/>
              <a:cs typeface="Times New Roman" panose="02020603050405020304" pitchFamily="18" charset="0"/>
            </a:rPr>
            <a:t>Figure 2</a:t>
          </a:r>
          <a:endParaRPr lang="en-US" sz="1100" b="1">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0.00164</cdr:x>
      <cdr:y>0</cdr:y>
    </cdr:from>
    <cdr:to>
      <cdr:x>0.08418</cdr:x>
      <cdr:y>0.07624</cdr:y>
    </cdr:to>
    <cdr:sp macro="" textlink="">
      <cdr:nvSpPr>
        <cdr:cNvPr id="2" name="Text Box 2"/>
        <cdr:cNvSpPr txBox="1">
          <a:spLocks xmlns:a="http://schemas.openxmlformats.org/drawingml/2006/main" noChangeArrowheads="1"/>
        </cdr:cNvSpPr>
      </cdr:nvSpPr>
      <cdr:spPr bwMode="auto">
        <a:xfrm xmlns:a="http://schemas.openxmlformats.org/drawingml/2006/main">
          <a:off x="11223" y="0"/>
          <a:ext cx="564902" cy="217575"/>
        </a:xfrm>
        <a:prstGeom xmlns:a="http://schemas.openxmlformats.org/drawingml/2006/main" prst="rect">
          <a:avLst/>
        </a:prstGeom>
        <a:solidFill xmlns:a="http://schemas.openxmlformats.org/drawingml/2006/main">
          <a:schemeClr val="accent3">
            <a:lumMod val="75000"/>
          </a:schemeClr>
        </a:solidFill>
        <a:ln xmlns:a="http://schemas.openxmlformats.org/drawingml/2006/main" w="9525">
          <a:solidFill>
            <a:srgbClr val="000000"/>
          </a:solid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800" b="1">
              <a:effectLst/>
              <a:latin typeface="Calibri" panose="020F0502020204030204" pitchFamily="34" charset="0"/>
              <a:ea typeface="Calibri" panose="020F0502020204030204" pitchFamily="34" charset="0"/>
              <a:cs typeface="Times New Roman" panose="02020603050405020304" pitchFamily="18" charset="0"/>
            </a:rPr>
            <a:t>Figure 4</a:t>
          </a:r>
          <a:endParaRPr lang="en-US" sz="1100" b="1">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C67E1-D11A-4D06-B336-5F116C20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2454</Words>
  <Characters>13991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Hendrickson</dc:creator>
  <cp:keywords/>
  <dc:description/>
  <cp:lastModifiedBy>Peter Hendrickson</cp:lastModifiedBy>
  <cp:revision>2</cp:revision>
  <cp:lastPrinted>2018-12-13T11:00:00Z</cp:lastPrinted>
  <dcterms:created xsi:type="dcterms:W3CDTF">2019-12-07T06:21:00Z</dcterms:created>
  <dcterms:modified xsi:type="dcterms:W3CDTF">2019-12-07T06:21:00Z</dcterms:modified>
</cp:coreProperties>
</file>