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Vesting future stock a 30% Cliff 12 meses Consolidación trimestral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Requerimientos: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Inversión mínima 2 millones COP pauta mensual.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Reunion semanal presencial y/o virtual para discutir plan estratégico Paretomed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Acceso a la contabilidad y facturación de Paretomed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Funciones a desarrollar: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Edicion de videos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Edición de guiones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Corrección de material audiovisual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Asesoría comercial y en marketing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Dirección general de la empresa dependiendo de las necesidades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Asesoria en compra de equipos para estudio de grabación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Remuneración: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Mes 0 a mes 3 acceso a curso Paretomed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Desde mes 4 a mes 12 phantom stock 30% (mensual)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Explicación: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Pedro y Oscar empiezan a trabajar el 1 de enero de 2024, Ambos establecen metas SMART y funciones que Pedro debe cumplir trimestralmente.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Si Pedro cumple los objetivos, al final de cada trimestre recibirá un 7.5% del total de las acciones, equivalente a la cuarta parte del total pactado en el Vesting, es decir 30%.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Sin embargo Pedro no recibirá remuneración monetaria durante los primeros 3 meses de trabajo, en cambio recibirá acceso al material educativo de Paretomed y a asesorías para presentarse a los exámenes de residencia por parte de Óscar, mientras termina su preparación, también podrá acudir a las sesiones presenciales del curso.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Desde el inicio del mes 4 al final del mes 12 Pedro recibirá Un 30% de los ingresos totales mediante la modalidad Phantom Stock.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Si al final del Año Pedro cumplió con los objetivos pactados en cada reunión trimestral, Pedro recibe el 30% deempresa acciones de la empresa.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