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40"/>
          <w:szCs w:val="40"/>
        </w:rPr>
        <w:t xml:space="preserve">The Process Trap</w:t>
      </w:r>
    </w:p>
    <w:p>
      <w:pPr>
        <w:spacing w:after="240"/>
      </w:pPr>
      <w:r>
        <w:rPr>
          <w:rFonts w:ascii="Georgia" w:cs="Georgia" w:eastAsia="Georgia" w:hAnsi="Georgia"/>
          <w:i/>
          <w:iCs/>
          <w:color w:val="444444"/>
          <w:sz w:val="28"/>
          <w:szCs w:val="28"/>
        </w:rPr>
        <w:t xml:space="preserve">Generative Abundance and the Equivocation of the Creative</w:t>
      </w:r>
    </w:p>
    <w:p>
      <w:pPr>
        <w:spacing w:after="60"/>
      </w:pPr>
      <w:r>
        <w:rPr>
          <w:b/>
          <w:bCs/>
          <w:sz w:val="22"/>
          <w:szCs w:val="22"/>
        </w:rPr>
        <w:t xml:space="preserve">Abstract</w:t>
      </w:r>
    </w:p>
    <w:p>
      <w:pPr>
        <w:spacing w:after="160" w:line="252"/>
        <w:jc w:val="both"/>
      </w:pPr>
      <w:r>
        <w:t xml:space="preserve">The reassurance now circulating through the creative industries — that generative artificial intelligence will automate the rote while leaving genuinely creative work to humans — is at once true and catastrophic. It is true of </w:t>
      </w:r>
      <w:r>
        <w:rPr>
          <w:i/>
          <w:iCs/>
        </w:rPr>
        <w:t xml:space="preserve">creativity</w:t>
      </w:r>
      <w:r>
        <w:t xml:space="preserve">, the rare capacity to bring the genuinely new into being; it is catastrophic for </w:t>
      </w:r>
      <w:r>
        <w:rPr>
          <w:i/>
          <w:iCs/>
        </w:rPr>
        <w:t xml:space="preserve">creatives</w:t>
      </w:r>
      <w:r>
        <w:t xml:space="preserve">, the workforce that sells something else. This article argues that the reassurance trades on an equivocation the creative industries are structurally unable to detect, because their entire apparatus is built on conflating the two terms. Drawing on Boden’s taxonomy of creativity, Csikszentmihalyi’s systems model, Bourdieu’s theory of the cultural field, and the political economy of cultural labour, I separate </w:t>
      </w:r>
      <w:r>
        <w:rPr>
          <w:i/>
          <w:iCs/>
        </w:rPr>
        <w:t xml:space="preserve">process</w:t>
      </w:r>
      <w:r>
        <w:t xml:space="preserve"> — the codifiable, transferable, executional competence the industries actually sell — from </w:t>
      </w:r>
      <w:r>
        <w:rPr>
          <w:i/>
          <w:iCs/>
        </w:rPr>
        <w:t xml:space="preserve">creativity</w:t>
      </w:r>
      <w:r>
        <w:t xml:space="preserve">, redefined here as positioned negation under risk in pursuit of significance. Generative AI is, precisely, a process technology: it drives the marginal cost of combinational and exploratory creativity toward zero, including the tacit craft long believed inimitable, while leaving the transformational act untouched — because that act resides not in the artifact but in the position of the maker. The creative industries, however, are process-selling institutions, organised to suppress the very high-variance activity now revealed as the only defensible one. The conclusion is bracing rather than consoling. The survivors will not be the most skilled; skill is now free. They will be the most </w:t>
      </w:r>
      <w:r>
        <w:rPr>
          <w:i/>
          <w:iCs/>
        </w:rPr>
        <w:t xml:space="preserve">positioned</w:t>
      </w:r>
      <w:r>
        <w:t xml:space="preserve">, and they will be far fewer than the optimists pretend. Generative abundance did not kill creativity. It stripped the costume from it, and revealed how few were ever wearing the real thing.</w:t>
      </w:r>
    </w:p>
    <w:p>
      <w:pPr>
        <w:spacing w:after="240"/>
      </w:pPr>
      <w:r>
        <w:rPr>
          <w:b/>
          <w:bCs/>
          <w:sz w:val="20"/>
          <w:szCs w:val="20"/>
        </w:rPr>
        <w:t xml:space="preserve">Keywords: </w:t>
      </w:r>
      <w:r>
        <w:rPr>
          <w:i/>
          <w:iCs/>
          <w:sz w:val="20"/>
          <w:szCs w:val="20"/>
        </w:rPr>
        <w:t xml:space="preserve">generative artificial intelligence; creativity theory; cultural and creative industries; transformational creativity; cultural labour; problem-finding; aura; Bourdieu; Boden; synthetic abundance.</w:t>
      </w:r>
    </w:p>
    <w:p>
      <w:pPr>
        <w:pStyle w:val="Heading1"/>
      </w:pPr>
      <w:r>
        <w:t xml:space="preserve">1. The Comforting Lie</w:t>
      </w:r>
    </w:p>
    <w:p>
      <w:pPr>
        <w:spacing w:after="120" w:line="276"/>
        <w:jc w:val="both"/>
      </w:pPr>
      <w:r>
        <w:t xml:space="preserve">A single reassuring sentence is doing an enormous amount of work in the creative industries right now. It runs, with minor variation: </w:t>
      </w:r>
      <w:r>
        <w:rPr>
          <w:i/>
          <w:iCs/>
        </w:rPr>
        <w:t xml:space="preserve">automation will take the rote and the repetitive, but real creative work is safe, because creativity is the one thing machines cannot do.</w:t>
      </w:r>
      <w:r>
        <w:t xml:space="preserve"> It is repeated in studio all-hands and trade-press op-eds, in conference keynotes and the prospectuses of the very firms building the automating tools. It is comforting precisely because it asks nothing of anyone. It promises that the existing order of creative labour will survive the most disruptive production technology since the printing press, and that those already inside the order need only keep doing what they have always done.</w:t>
      </w:r>
    </w:p>
    <w:p>
      <w:pPr>
        <w:spacing w:after="120" w:line="276"/>
        <w:ind w:firstLine="360"/>
        <w:jc w:val="both"/>
      </w:pPr>
      <w:r>
        <w:t xml:space="preserve">This essay argues that the sentence is both true and catastrophic, and that its danger lies exactly in the comfort. It is true of one thing and ruinous for another, and it survives only because the two things share a name. The word </w:t>
      </w:r>
      <w:r>
        <w:rPr>
          <w:i/>
          <w:iCs/>
        </w:rPr>
        <w:t xml:space="preserve">creative</w:t>
      </w:r>
      <w:r>
        <w:t xml:space="preserve"> names a capacity: the rare act of bringing into being something that did not have to be, and need not have been, and is recognised afterward as having mattered. It also names a workforce, a sector, a class — the millions employed to execute symbolic production at industrial scale.</w:t>
      </w:r>
      <w:r>
        <w:rPr>
          <w:rStyle w:val="FootnoteReference"/>
        </w:rPr>
        <w:footnoteReference w:id="2"/>
      </w:r>
      <w:r>
        <w:t xml:space="preserve"> The reassurance is true of the capacity and false of the class, and it slides between them without anyone noticing the switch, because the institutions doing the reassuring were built on the conflation and cannot see past it.</w:t>
      </w:r>
    </w:p>
    <w:p>
      <w:pPr>
        <w:spacing w:after="120" w:line="276"/>
        <w:ind w:firstLine="360"/>
        <w:jc w:val="both"/>
      </w:pPr>
      <w:r>
        <w:t xml:space="preserve">The argument can be stated in a single move. The creative industries have spent the better part of a century optimising for </w:t>
      </w:r>
      <w:r>
        <w:rPr>
          <w:i/>
          <w:iCs/>
        </w:rPr>
        <w:t xml:space="preserve">process</w:t>
      </w:r>
      <w:r>
        <w:t xml:space="preserve"> — craft, technique, executional competence, production value, the dependable conversion of a brief into a deliverable — and calling the result </w:t>
      </w:r>
      <w:r>
        <w:rPr>
          <w:i/>
          <w:iCs/>
        </w:rPr>
        <w:t xml:space="preserve">creativity</w:t>
      </w:r>
      <w:r>
        <w:t xml:space="preserve">. Generative AI exposes the equivocation with surgical precision. It drives the marginal cost of process toward zero while leaving genuine creativity exactly where it stood. The consequence is not that creatives are safe. It is that creativity is safe and most creatives are not, because most creatives, trained and hired and rewarded by a process economy, sell process. The survivors will not be the most skilled. Skill — executional competence, the thing the industry has always misnamed talent — is now abundant, and an abundant thing is no moat. The survivors will be the few who can perform the act that process was always a proxy for and never identical to, and they will be far fewer than the consoling sentence implies.</w:t>
      </w:r>
    </w:p>
    <w:p>
      <w:pPr>
        <w:spacing w:after="120" w:line="276"/>
        <w:ind w:firstLine="360"/>
        <w:jc w:val="both"/>
      </w:pPr>
      <w:r>
        <w:t xml:space="preserve">My contribution is threefold. First, I draw an analytic distinction, grounded in the psychology and philosophy of creativity, between process and creativity proper, and show that the two have been systematically fused — not by accident, but by the operating logic of the cultural industries. Second, I locate, with some precision, </w:t>
      </w:r>
      <w:r>
        <w:rPr>
          <w:i/>
          <w:iCs/>
        </w:rPr>
        <w:t xml:space="preserve">why</w:t>
      </w:r>
      <w:r>
        <w:t xml:space="preserve"> generative systems annihilate the first and not the second: not because their outputs are inimitable — they manifestly are not — but because the residual moat was never in the artifact at all. Third, I draw the implication the optimists evade: the prescription is not for the industry, which cannot follow it, but for the worker, and it is harder, slower, and lonelier than the reassuring sentence admits. I begin with what synthetic abundance actually destroyed.</w:t>
      </w:r>
    </w:p>
    <w:p>
      <w:pPr>
        <w:pStyle w:val="Heading1"/>
      </w:pPr>
      <w:r>
        <w:t xml:space="preserve">2. The Collapse of the Process Premium</w:t>
      </w:r>
    </w:p>
    <w:p>
      <w:pPr>
        <w:spacing w:after="120" w:line="276"/>
        <w:jc w:val="both"/>
      </w:pPr>
      <w:r>
        <w:t xml:space="preserve">The companion paper to this essay describes a regime it calls </w:t>
      </w:r>
      <w:r>
        <w:rPr>
          <w:i/>
          <w:iCs/>
        </w:rPr>
        <w:t xml:space="preserve">synthetic abundance</w:t>
      </w:r>
      <w:r>
        <w:t xml:space="preserve">: the marginal cost of producing symbolic artifacts — text, image, audio, video — has fallen, with the diffusion of large generative models, asymptotically toward zero, uncoupling the supply of content from any human or cognitive constraint.</w:t>
      </w:r>
      <w:r>
        <w:rPr>
          <w:rStyle w:val="FootnoteReference"/>
        </w:rPr>
        <w:footnoteReference w:id="1"/>
      </w:r>
      <w:r>
        <w:t xml:space="preserve"> The macro-economic picture is sound. But for the creative worker the relevant collapse is more specific and more intimate than a fall in the price of content. What has collapsed is the </w:t>
      </w:r>
      <w:r>
        <w:rPr>
          <w:i/>
          <w:iCs/>
        </w:rPr>
        <w:t xml:space="preserve">process premium</w:t>
      </w:r>
      <w:r>
        <w:t xml:space="preserve">: the rent that craft, technique and executional competence have historically commanded in the labour market for symbolic production.</w:t>
      </w:r>
    </w:p>
    <w:p>
      <w:pPr>
        <w:spacing w:after="120" w:line="276"/>
        <w:ind w:firstLine="360"/>
        <w:jc w:val="both"/>
      </w:pPr>
      <w:r>
        <w:t xml:space="preserve">For most of the modern era, a well-made artifact was evidence of something rare. A clean retouch, a confident edit, a properly balanced mix, a competent layout, a grammatical and well-shaped paragraph — each was a costly signal, because the capacity to produce it was scarce, slow to acquire and unevenly distributed. The labour market priced that scarcity. The professional was, in large part, paid for the difference between what she could execute and what the client could not. This is the deep structure beneath the romance of the studio: the creative professional as the holder of a competence the layperson lacked, and the deliverable as proof of the competence.</w:t>
      </w:r>
    </w:p>
    <w:p>
      <w:pPr>
        <w:spacing w:after="120" w:line="276"/>
        <w:ind w:firstLine="360"/>
        <w:jc w:val="both"/>
      </w:pPr>
      <w:r>
        <w:t xml:space="preserve">Walter Benjamin taught a generation to see that mechanical reproduction stripped the aura from the singular work — that the print, the recording, the copy dissolved the authority of the here-and-now original.</w:t>
      </w:r>
      <w:r>
        <w:rPr>
          <w:rStyle w:val="FootnoteReference"/>
        </w:rPr>
        <w:footnoteReference w:id="4"/>
      </w:r>
      <w:r>
        <w:t xml:space="preserve"> Synthetic abundance performs a different and, for the wage-earning maker, more total operation. It does not threaten the aura of the original; it abolishes the </w:t>
      </w:r>
      <w:r>
        <w:rPr>
          <w:i/>
          <w:iCs/>
        </w:rPr>
        <w:t xml:space="preserve">scarcity of competence</w:t>
      </w:r>
      <w:r>
        <w:t xml:space="preserve">. When a competent artifact can be produced in seconds at no cost, the well-made thing ceases to be evidence of anything rare. The signal goes to noise. The professional who was paid for the gap between her execution and the client’s has watched that gap close, not because she has become less skilled, but because the skill itself has been decanted into a tool the client now operates directly.</w:t>
      </w:r>
    </w:p>
    <w:p>
      <w:pPr>
        <w:spacing w:after="120" w:line="276"/>
        <w:ind w:firstLine="360"/>
        <w:jc w:val="both"/>
      </w:pPr>
      <w:r>
        <w:t xml:space="preserve">The cruellest part of this is what it has reached. The optimistic assumption — repeated as confidently as the reassuring sentence — was that tacit craft would survive: the unteachable feel, the judgement in the hands, the thing that cannot be put into a manual. Michael Polanyi’s formula, that we know more than we can tell, was treated as the craftworker’s last redoubt.</w:t>
      </w:r>
      <w:r>
        <w:rPr>
          <w:rStyle w:val="FootnoteReference"/>
        </w:rPr>
        <w:footnoteReference w:id="5"/>
      </w:r>
      <w:r>
        <w:t xml:space="preserve"> It is precisely this redoubt that large models have breached. A model trained on the aggregate residue of millions of skilled acts does not need the tacit rule to be articulable; it needs only the acts themselves, in sufficient quantity, to reconstruct the regularity statistically. The tacit dimension turns out to be tacit to the individual practitioner, not to the corpus. What no single craftsperson could explain, the corpus encodes. Craft, including its silent and embodied portion, is therefore the part of creative work </w:t>
      </w:r>
      <w:r>
        <w:rPr>
          <w:i/>
          <w:iCs/>
        </w:rPr>
        <w:t xml:space="preserve">most</w:t>
      </w:r>
      <w:r>
        <w:t xml:space="preserve"> exposed, not least — the opposite of what the industry assumed.</w:t>
      </w:r>
    </w:p>
    <w:p>
      <w:pPr>
        <w:spacing w:after="120" w:line="276"/>
        <w:ind w:firstLine="360"/>
        <w:jc w:val="both"/>
      </w:pPr>
      <w:r>
        <w:t xml:space="preserve">None of this means craft is worthless in the human sense. Richard Sennett’s defence of craftsmanship as an intrinsic good — the desire to do a thing well for its own sake — stands entirely intact.</w:t>
      </w:r>
      <w:r>
        <w:rPr>
          <w:rStyle w:val="FootnoteReference"/>
        </w:rPr>
        <w:footnoteReference w:id="6"/>
      </w:r>
      <w:r>
        <w:t xml:space="preserve"> But intrinsic goods are not market moats. The dignity of craft is real; the rent it commanded is gone. To confuse the two is to confuse a virtue with a wage, and the creative worker who stakes a livelihood on the wage while invoking the virtue is making a category error that synthetic abundance will not forgive.</w:t>
      </w:r>
    </w:p>
    <w:p>
      <w:pPr>
        <w:spacing w:after="120" w:line="276"/>
        <w:ind w:firstLine="360"/>
        <w:jc w:val="both"/>
      </w:pPr>
      <w:r>
        <w:t xml:space="preserve">There is a further irony, which the cultural-industries tradition equips us to name. Long before generative models, Adorno and Horkheimer described the culture industry as a machine for </w:t>
      </w:r>
      <w:r>
        <w:rPr>
          <w:i/>
          <w:iCs/>
        </w:rPr>
        <w:t xml:space="preserve">standardisation</w:t>
      </w:r>
      <w:r>
        <w:t xml:space="preserve"> dressed in the costume of </w:t>
      </w:r>
      <w:r>
        <w:rPr>
          <w:i/>
          <w:iCs/>
        </w:rPr>
        <w:t xml:space="preserve">pseudo-individualisation</w:t>
      </w:r>
      <w:r>
        <w:t xml:space="preserve">: identical structures differentiated by superficial, interchangeable detail to simulate variety and choice.</w:t>
      </w:r>
      <w:r>
        <w:rPr>
          <w:rStyle w:val="FootnoteReference"/>
        </w:rPr>
        <w:footnoteReference w:id="7"/>
      </w:r>
      <w:r>
        <w:t xml:space="preserve"> The personalisation-at-scale now marketed as the answer to synthetic abundance is pseudo-individualisation industrialised — the same standardised core, recombined and surface-tuned per recipient, presented as bespoke. It is worth holding this in view, because the firm-level remedies on offer often turn out to be the disease in finer clothing. The collapse of the process premium is not solved by automating personalisation; that is process at a higher altitude. To find what survives, we have to look elsewhere — and first we have to dismantle the word that has been hiding the problem.</w:t>
      </w:r>
    </w:p>
    <w:p>
      <w:pPr>
        <w:pStyle w:val="Heading1"/>
      </w:pPr>
      <w:r>
        <w:t xml:space="preserve">3. The Equivocation of the Creative</w:t>
      </w:r>
    </w:p>
    <w:p>
      <w:pPr>
        <w:spacing w:after="120" w:line="276"/>
        <w:jc w:val="both"/>
      </w:pPr>
      <w:r>
        <w:t xml:space="preserve">The word </w:t>
      </w:r>
      <w:r>
        <w:rPr>
          <w:i/>
          <w:iCs/>
        </w:rPr>
        <w:t xml:space="preserve">creative</w:t>
      </w:r>
      <w:r>
        <w:t xml:space="preserve"> does two incompatible jobs, and the reassuring sentence depends on our not noticing. As an adjective of capacity it picks out a rare event: the genuine origination of the new. As a noun of occupation — </w:t>
      </w:r>
      <w:r>
        <w:rPr>
          <w:i/>
          <w:iCs/>
        </w:rPr>
        <w:t xml:space="preserve">a creative</w:t>
      </w:r>
      <w:r>
        <w:t xml:space="preserve">, </w:t>
      </w:r>
      <w:r>
        <w:rPr>
          <w:i/>
          <w:iCs/>
        </w:rPr>
        <w:t xml:space="preserve">the creatives</w:t>
      </w:r>
      <w:r>
        <w:t xml:space="preserve">, </w:t>
      </w:r>
      <w:r>
        <w:rPr>
          <w:i/>
          <w:iCs/>
        </w:rPr>
        <w:t xml:space="preserve">the creative class</w:t>
      </w:r>
      <w:r>
        <w:t xml:space="preserve">, </w:t>
      </w:r>
      <w:r>
        <w:rPr>
          <w:i/>
          <w:iCs/>
        </w:rPr>
        <w:t xml:space="preserve">the creative industries</w:t>
      </w:r>
      <w:r>
        <w:t xml:space="preserve"> — it picks out a category of employment defined by sector and task, with no implication whatever that the work so described is creative in the strong sense.</w:t>
      </w:r>
      <w:r>
        <w:rPr>
          <w:rStyle w:val="FootnoteReference"/>
        </w:rPr>
        <w:footnoteReference w:id="2"/>
      </w:r>
      <w:r>
        <w:t xml:space="preserve"> Almost all public discussion of AI and creative work equivocates between the two, and the equivocation is not innocent. It is the load-bearing wall of an entire ideological structure.</w:t>
      </w:r>
    </w:p>
    <w:p>
      <w:pPr>
        <w:spacing w:after="120" w:line="276"/>
        <w:ind w:firstLine="360"/>
        <w:jc w:val="both"/>
      </w:pPr>
      <w:r>
        <w:t xml:space="preserve">The cultural-industries scholarship has been telling us for decades what the creative industries actually are, and it is not a guild of originators. Hesmondhalgh describes their organising logic as the management of risk through formatting, repertoire and star systems: the industrialisation of symbolic production, in which the unpredictability of the genuinely new is contained by repeating proven formulae, hedging across portfolios, and binding audiences to recognisable franchises.</w:t>
      </w:r>
      <w:r>
        <w:rPr>
          <w:rStyle w:val="FootnoteReference"/>
        </w:rPr>
        <w:footnoteReference w:id="8"/>
      </w:r>
      <w:r>
        <w:t xml:space="preserve"> The overwhelming majority of creative employment is, on this account, </w:t>
      </w:r>
      <w:r>
        <w:rPr>
          <w:i/>
          <w:iCs/>
        </w:rPr>
        <w:t xml:space="preserve">process work</w:t>
      </w:r>
      <w:r>
        <w:t xml:space="preserve">: execution against a brief, within a format, to a specification, on a schedule. The junior designer producing the fourteenth variant of a campaign; the editor cutting to a house style; the staff writer hitting a template and a word count; the production artist preparing files for output — these are skilled roles, often highly so, and they are process roles to the core. The work is the reliable application of competence to a defined problem. It is exactly, and only, what generative systems now do at no cost.</w:t>
      </w:r>
    </w:p>
    <w:p>
      <w:pPr>
        <w:spacing w:after="120" w:line="276"/>
        <w:ind w:firstLine="360"/>
        <w:jc w:val="both"/>
      </w:pPr>
      <w:r>
        <w:t xml:space="preserve">Why, then, does everyone in these roles feel like a creator? Because the romance of the artist is doing ideological labour. The genius myth — the solitary originator, the spark, the gift — circulates through the creative industries not as an accurate description of the work but as a disciplinary device. It persuades the process worker that she is an artist, and so makes her accept the conditions of artistic life: precarity, long hours, deferred pay, self-exploitation, the privilege-of-the-work as substitute for security.</w:t>
      </w:r>
      <w:r>
        <w:rPr>
          <w:rStyle w:val="FootnoteReference"/>
        </w:rPr>
        <w:footnoteReference w:id="9"/>
      </w:r>
      <w:r>
        <w:t xml:space="preserve"> The political economy of cultural labour has documented this with some bleakness. The romance is what allows an industry of process to recruit, retain and underpay a workforce that believes itself to be a community of creators. Generative AI calls the bluff with brutal economy. It performs the process, leaves the romance intact, and thereby reveals that the romance was never load-bearing on the value side — only on the labour-discipline side. The work was process; the self-image was art; the wage was paid for the former and justified by the latter.</w:t>
      </w:r>
    </w:p>
    <w:p>
      <w:pPr>
        <w:spacing w:after="120" w:line="276"/>
        <w:ind w:firstLine="360"/>
        <w:jc w:val="both"/>
      </w:pPr>
      <w:r>
        <w:t xml:space="preserve">So when the reassuring sentence says </w:t>
      </w:r>
      <w:r>
        <w:rPr>
          <w:i/>
          <w:iCs/>
        </w:rPr>
        <w:t xml:space="preserve">creatives will survive because they are creative</w:t>
      </w:r>
      <w:r>
        <w:t xml:space="preserve">, it equivocates across this exact gap. </w:t>
      </w:r>
      <w:r>
        <w:rPr>
          <w:i/>
          <w:iCs/>
        </w:rPr>
        <w:t xml:space="preserve">Creativity</w:t>
      </w:r>
      <w:r>
        <w:t xml:space="preserve">, the capacity, will survive — I will argue it cannot be otherwise. </w:t>
      </w:r>
      <w:r>
        <w:rPr>
          <w:i/>
          <w:iCs/>
        </w:rPr>
        <w:t xml:space="preserve">Creatives</w:t>
      </w:r>
      <w:r>
        <w:t xml:space="preserve">, the class, largely will not, because the class is defined by, hired for, and skilled in the thing that just became free. The two propositions feel like one sentence because one word covers both. Pull the word apart and the consolation evaporates. The honest formulation is harsher and more useful: </w:t>
      </w:r>
      <w:r>
        <w:rPr>
          <w:i/>
          <w:iCs/>
        </w:rPr>
        <w:t xml:space="preserve">creativity is safe; most who are called creative are not, because being called creative was never the same as being creative.</w:t>
      </w:r>
      <w:r>
        <w:t xml:space="preserve"> To make that formulation rigorous rather than merely rhetorical, we need an account of what creativity proper actually is — one precise enough to explain why a machine that has mastered process still cannot touch it.</w:t>
      </w:r>
    </w:p>
    <w:p>
      <w:pPr>
        <w:pStyle w:val="Heading1"/>
      </w:pPr>
      <w:r>
        <w:t xml:space="preserve">4. What Creativity Is, and Why It Resists Automation</w:t>
      </w:r>
    </w:p>
    <w:p>
      <w:pPr>
        <w:spacing w:after="120" w:line="276"/>
        <w:jc w:val="both"/>
      </w:pPr>
      <w:r>
        <w:t xml:space="preserve">Begin with a concession the defensive literature is reluctant to make, because the whole subsequent argument depends on its being made honestly. Generative models are </w:t>
      </w:r>
      <w:r>
        <w:rPr>
          <w:i/>
          <w:iCs/>
        </w:rPr>
        <w:t xml:space="preserve">extraordinarily</w:t>
      </w:r>
      <w:r>
        <w:t xml:space="preserve"> creative in two of the three senses that matter, and pretending otherwise is the surest route to being wrong about the third.</w:t>
      </w:r>
    </w:p>
    <w:p>
      <w:pPr>
        <w:spacing w:after="120" w:line="276"/>
        <w:ind w:firstLine="360"/>
        <w:jc w:val="both"/>
      </w:pPr>
      <w:r>
        <w:t xml:space="preserve">Margaret Boden’s taxonomy remains the most serviceable map.</w:t>
      </w:r>
      <w:r>
        <w:rPr>
          <w:rStyle w:val="FootnoteReference"/>
        </w:rPr>
        <w:footnoteReference w:id="3"/>
      </w:r>
      <w:r>
        <w:t xml:space="preserve"> She distinguishes </w:t>
      </w:r>
      <w:r>
        <w:rPr>
          <w:i/>
          <w:iCs/>
        </w:rPr>
        <w:t xml:space="preserve">combinational</w:t>
      </w:r>
      <w:r>
        <w:t xml:space="preserve"> creativity — the novel combination of familiar ideas; </w:t>
      </w:r>
      <w:r>
        <w:rPr>
          <w:i/>
          <w:iCs/>
        </w:rPr>
        <w:t xml:space="preserve">exploratory</w:t>
      </w:r>
      <w:r>
        <w:t xml:space="preserve"> creativity — the generation of new structures within an established conceptual space, by searching its possibilities; and </w:t>
      </w:r>
      <w:r>
        <w:rPr>
          <w:i/>
          <w:iCs/>
        </w:rPr>
        <w:t xml:space="preserve">transformational</w:t>
      </w:r>
      <w:r>
        <w:t xml:space="preserve"> creativity — the alteration of the conceptual space itself, so that what was previously impossible within it becomes possible. Generative models are superb combinational engines. They are, in Koestler’s older vocabulary, </w:t>
      </w:r>
      <w:r>
        <w:rPr>
          <w:i/>
          <w:iCs/>
        </w:rPr>
        <w:t xml:space="preserve">bisociation</w:t>
      </w:r>
      <w:r>
        <w:t xml:space="preserve"> machines: their high-dimensional latent spaces collide previously unrelated frames of reference tirelessly and at scale, which is exactly the operation Koestler placed at the root of the creative act.</w:t>
      </w:r>
      <w:r>
        <w:rPr>
          <w:rStyle w:val="FootnoteReference"/>
        </w:rPr>
        <w:footnoteReference w:id="10"/>
      </w:r>
      <w:r>
        <w:t xml:space="preserve"> They are also formidable explorers, traversing the possibility-space of a genre or a style faster and more exhaustively than any human could. To insist that this is mere interpolation, that the model only ever recombines and never creates, is both technically shaky and strategically suicidal: it stakes the human position on a claim the next model release will embarrass. P-creativity — novelty relative to the individual mind — is now cheap. A great deal of what passes for H-creativity — novelty relative to the whole of history — is within reach of a sufficiently prompted system.</w:t>
      </w:r>
    </w:p>
    <w:p>
      <w:pPr>
        <w:spacing w:after="120" w:line="276"/>
        <w:ind w:firstLine="360"/>
        <w:jc w:val="both"/>
      </w:pPr>
      <w:r>
        <w:t xml:space="preserve">The genuine and durable limit is at the third level, transformational creativity, and the discipline of the argument lies in locating </w:t>
      </w:r>
      <w:r>
        <w:rPr>
          <w:i/>
          <w:iCs/>
        </w:rPr>
        <w:t xml:space="preserve">why</w:t>
      </w:r>
      <w:r>
        <w:t xml:space="preserve"> the limit holds — not in the artifact, but in four interlocking features of the maker’s position. None of the four is a property of the output. All four are properties of where the maker stands. This is the crux of the essay, and the reason the residual moat is so easily mislocated.</w:t>
      </w:r>
      <w:r>
        <w:rPr>
          <w:rStyle w:val="FootnoteReference"/>
        </w:rPr>
        <w:footnoteReference w:id="19"/>
      </w:r>
    </w:p>
    <w:p>
      <w:pPr>
        <w:pStyle w:val="Heading2"/>
      </w:pPr>
      <w:r>
        <w:t xml:space="preserve">4.1 The originating problem</w:t>
      </w:r>
    </w:p>
    <w:p>
      <w:pPr>
        <w:spacing w:after="120" w:line="276"/>
        <w:ind w:firstLine="360"/>
        <w:jc w:val="both"/>
      </w:pPr>
      <w:r>
        <w:t xml:space="preserve">The most under-absorbed result in the psychology of creativity comes from Getzels and Csikszentmihalyi’s longitudinal study of art students. What predicted later artistic achievement was not problem-</w:t>
      </w:r>
      <w:r>
        <w:rPr>
          <w:i/>
          <w:iCs/>
        </w:rPr>
        <w:t xml:space="preserve">solving</w:t>
      </w:r>
      <w:r>
        <w:t xml:space="preserve"> skill but problem-</w:t>
      </w:r>
      <w:r>
        <w:rPr>
          <w:i/>
          <w:iCs/>
        </w:rPr>
        <w:t xml:space="preserve">finding</w:t>
      </w:r>
      <w:r>
        <w:t xml:space="preserve"> behaviour: the disposition to discover, frame and reframe the problem worth working on, rather than to execute against a problem already given.</w:t>
      </w:r>
      <w:r>
        <w:rPr>
          <w:rStyle w:val="FootnoteReference"/>
        </w:rPr>
        <w:footnoteReference w:id="11"/>
      </w:r>
      <w:r>
        <w:t xml:space="preserve"> This is the precise axis along which human and machine diverge. A generative model is a peerless problem-solver and a non-problem-finder. It has no problem of its own. It can answer any question put to it and originate none, because origination of a problem requires a standpoint from which some absence in the world registers as a lack worth repairing. Hannah Arendt gives this its proper name: </w:t>
      </w:r>
      <w:r>
        <w:rPr>
          <w:i/>
          <w:iCs/>
        </w:rPr>
        <w:t xml:space="preserve">natality</w:t>
      </w:r>
      <w:r>
        <w:t xml:space="preserve">, the human capacity to begin, to introduce into the world something that the world did not contain and could not have predicted.</w:t>
      </w:r>
      <w:r>
        <w:rPr>
          <w:rStyle w:val="FootnoteReference"/>
        </w:rPr>
        <w:footnoteReference w:id="12"/>
      </w:r>
      <w:r>
        <w:t xml:space="preserve"> Creation in the strong sense is beginning, and beginning is something done by someone for whom the beginning matters. The model continues; it does not begin. Prompt it and it solves; it never arrives, unbidden, at the problem that nobody asked it to have.</w:t>
      </w:r>
    </w:p>
    <w:p>
      <w:pPr>
        <w:pStyle w:val="Heading2"/>
      </w:pPr>
      <w:r>
        <w:t xml:space="preserve">4.2 The stake</w:t>
      </w:r>
    </w:p>
    <w:p>
      <w:pPr>
        <w:spacing w:after="120" w:line="276"/>
        <w:ind w:firstLine="360"/>
        <w:jc w:val="both"/>
      </w:pPr>
      <w:r>
        <w:t xml:space="preserve">Bourdieu’s field theory supplies the second feature and reframes the whole question of value. In the field of cultural production, the worth of a work is not a property the work carries intrinsically; it is produced by </w:t>
      </w:r>
      <w:r>
        <w:rPr>
          <w:i/>
          <w:iCs/>
        </w:rPr>
        <w:t xml:space="preserve">position-taking</w:t>
      </w:r>
      <w:r>
        <w:t xml:space="preserve"> — by an agent who occupies a determinate position in the field and makes a move that is legible, and consequential, as a move within it.</w:t>
      </w:r>
      <w:r>
        <w:rPr>
          <w:rStyle w:val="FootnoteReference"/>
        </w:rPr>
        <w:footnoteReference w:id="13"/>
      </w:r>
      <w:r>
        <w:t xml:space="preserve"> What animates the agent is </w:t>
      </w:r>
      <w:r>
        <w:rPr>
          <w:i/>
          <w:iCs/>
        </w:rPr>
        <w:t xml:space="preserve">illusio</w:t>
      </w:r>
      <w:r>
        <w:t xml:space="preserve">: an invested belief in the stakes of the game, a sense that the moves matter and that one’s own move risks something. Here the machine is not merely deficient but categorically absent. A generative model occupies no position in any field. It has no biography, no trajectory, no rivals, nothing accrued and nothing to lose. It cannot make a move that costs it anything, because there is no it for the move to cost. Harry Frankfurt’s analysis of bullshit sharpens the point: the bullshitter is defined not by lying but by indifference to the truth of what he says.</w:t>
      </w:r>
      <w:r>
        <w:rPr>
          <w:rStyle w:val="FootnoteReference"/>
        </w:rPr>
        <w:footnoteReference w:id="14"/>
      </w:r>
      <w:r>
        <w:t xml:space="preserve"> The model is the perfected case — not deceitful, simply unconcerned — and its fluency is so persuasive precisely because nothing in it is at stake. Creative value, on the Bourdieusian account, is staked value. The maker who has skin in the game produces a different </w:t>
      </w:r>
      <w:r>
        <w:rPr>
          <w:i/>
          <w:iCs/>
        </w:rPr>
        <w:t xml:space="preserve">kind</w:t>
      </w:r>
      <w:r>
        <w:t xml:space="preserve"> of object from the maker who does not, even when the surfaces are identical, because the object is a wager and the wager is part of the meaning.</w:t>
      </w:r>
    </w:p>
    <w:p>
      <w:pPr>
        <w:pStyle w:val="Heading2"/>
      </w:pPr>
      <w:r>
        <w:t xml:space="preserve">4.3 Significance</w:t>
      </w:r>
    </w:p>
    <w:p>
      <w:pPr>
        <w:spacing w:after="120" w:line="276"/>
        <w:ind w:firstLine="360"/>
        <w:jc w:val="both"/>
      </w:pPr>
      <w:r>
        <w:t xml:space="preserve">Csikszentmihalyi’s mature position locates creativity not in the person at all, but in a system: the interaction of an </w:t>
      </w:r>
      <w:r>
        <w:rPr>
          <w:i/>
          <w:iCs/>
        </w:rPr>
        <w:t xml:space="preserve">individual</w:t>
      </w:r>
      <w:r>
        <w:t xml:space="preserve">, who varies a domain; a </w:t>
      </w:r>
      <w:r>
        <w:rPr>
          <w:i/>
          <w:iCs/>
        </w:rPr>
        <w:t xml:space="preserve">domain</w:t>
      </w:r>
      <w:r>
        <w:t xml:space="preserve">, the symbolic tradition that stores the variation; and a </w:t>
      </w:r>
      <w:r>
        <w:rPr>
          <w:i/>
          <w:iCs/>
        </w:rPr>
        <w:t xml:space="preserve">field</w:t>
      </w:r>
      <w:r>
        <w:t xml:space="preserve">, the community of practitioners and gatekeepers that judges which variations are retained.</w:t>
      </w:r>
      <w:r>
        <w:rPr>
          <w:rStyle w:val="FootnoteReference"/>
        </w:rPr>
        <w:footnoteReference w:id="15"/>
      </w:r>
      <w:r>
        <w:t xml:space="preserve"> On this model, a transformation is creative only if the field judges it to matter and the domain absorbs it. This is decisive for our question, because it relocates the scarce thing. The hard part of transformational creativity is not generating a transformation — a model can generate a thousand — but knowing </w:t>
      </w:r>
      <w:r>
        <w:rPr>
          <w:i/>
          <w:iCs/>
        </w:rPr>
        <w:t xml:space="preserve">which</w:t>
      </w:r>
      <w:r>
        <w:t xml:space="preserve"> transformation matters, a judgement that is internal to a living tradition and earned by long, embedded participation in it. Mattering is not in the artifact; it is a relation between the artifact, the history that makes it legible, and the field that confers significance. The model can produce the move. It cannot know the move matters, because knowing-that-it-matters is not the kind of thing an output can contain. It is the kind of thing a positioned, historically embedded judge supplies.</w:t>
      </w:r>
    </w:p>
    <w:p>
      <w:pPr>
        <w:pStyle w:val="Heading2"/>
      </w:pPr>
      <w:r>
        <w:t xml:space="preserve">4.4 Negation under risk</w:t>
      </w:r>
    </w:p>
    <w:p>
      <w:pPr>
        <w:spacing w:after="120" w:line="276"/>
        <w:ind w:firstLine="360"/>
        <w:jc w:val="both"/>
      </w:pPr>
      <w:r>
        <w:t xml:space="preserve">The fourth feature is the one most directly opposed to the machine’s architecture, and it returns us to Keats. </w:t>
      </w:r>
      <w:r>
        <w:rPr>
          <w:i/>
          <w:iCs/>
        </w:rPr>
        <w:t xml:space="preserve">Negative capability</w:t>
      </w:r>
      <w:r>
        <w:t xml:space="preserve"> — the capacity to remain in uncertainty, mystery and doubt without any irritable reaching after fact and reason — is not a poetic ornament but a description of the cognitive posture that genuine creation requires.</w:t>
      </w:r>
      <w:r>
        <w:rPr>
          <w:rStyle w:val="FootnoteReference"/>
        </w:rPr>
        <w:footnoteReference w:id="16"/>
      </w:r>
      <w:r>
        <w:t xml:space="preserve"> To make something new is, in large part, to </w:t>
      </w:r>
      <w:r>
        <w:rPr>
          <w:i/>
          <w:iCs/>
        </w:rPr>
        <w:t xml:space="preserve">negate</w:t>
      </w:r>
      <w:r>
        <w:t xml:space="preserve">: to refuse the obvious continuation, the probable phrase, the well-formed and expected resolution; to dwell in the not-yet-resolved long enough for the improbable to become available. A next-token model is built to do the exact opposite. Its gradient runs toward the probable; it is optimised, at every step, to reach for the likeliest continuation. This is not a flaw to be patched but the principle of the thing. It is also the mechanism behind what Ghafouri calls the </w:t>
      </w:r>
      <w:r>
        <w:rPr>
          <w:i/>
          <w:iCs/>
        </w:rPr>
        <w:t xml:space="preserve">AI Prism</w:t>
      </w:r>
      <w:r>
        <w:t xml:space="preserve">: the systematic compression of variance toward the mean as outputs converge on the high-probability paths.</w:t>
      </w:r>
      <w:r>
        <w:rPr>
          <w:rStyle w:val="FootnoteReference"/>
        </w:rPr>
        <w:footnoteReference w:id="17"/>
      </w:r>
      <w:r>
        <w:t xml:space="preserve"> Ghafouri rightly notes a countervailing </w:t>
      </w:r>
      <w:r>
        <w:rPr>
          <w:i/>
          <w:iCs/>
        </w:rPr>
        <w:t xml:space="preserve">Paradoxical Bridge</w:t>
      </w:r>
      <w:r>
        <w:t xml:space="preserve"> — recombinant novelty available to those who refuse epistemic deference and spar with the model rather than defer to it. But notice what the bridge requires: a human who negates, who pushes against the probable, who carries the stake and the problem. The bridge is not a property of the tool. It is the positioned human creativity of §§4.1–4.3, using the tool. And creation under negation is creation under </w:t>
      </w:r>
      <w:r>
        <w:rPr>
          <w:i/>
          <w:iCs/>
        </w:rPr>
        <w:t xml:space="preserve">risk</w:t>
      </w:r>
      <w:r>
        <w:t xml:space="preserve">, because to abandon the probable is to court failure that costs the maker something — reputation, time, standing in the field. The model cannot fail in this sense; there is nothing it can lose. Risk-free production is, definitionally, the production of the unrisked, which is to say the probable, which is to say the mean.</w:t>
      </w:r>
    </w:p>
    <w:p>
      <w:pPr>
        <w:pStyle w:val="Heading2"/>
      </w:pPr>
      <w:r>
        <w:t xml:space="preserve">4.5 The residual moat is the position, not the artifact</w:t>
      </w:r>
    </w:p>
    <w:p>
      <w:pPr>
        <w:spacing w:after="120" w:line="276"/>
        <w:ind w:firstLine="360"/>
        <w:jc w:val="both"/>
      </w:pPr>
      <w:r>
        <w:t xml:space="preserve">Assemble the four and a definition emerges that is precise enough to do work. Creativity, in the strong sense that resists automation, is </w:t>
      </w:r>
      <w:r>
        <w:rPr>
          <w:i/>
          <w:iCs/>
        </w:rPr>
        <w:t xml:space="preserve">positioned negation under risk in pursuit of significance</w:t>
      </w:r>
      <w:r>
        <w:t xml:space="preserve">: the bringing-into-being of something that did not have to be, by an agent who has a problem of her own and a stake in the game, achieved by refusing the probable, and judged to matter by a living field. Every clause names a feature of the maker’s position; not one names a feature of the output. This is why the moat is so consistently mislocated. The industry, the commentary, and the defensive literature all look for the human residue in the artifact — the brushstroke the model can’t fake, the turn of phrase it can’t match, the je-ne-sais-quoi of the human hand — and there is nothing reliably there, because there was never anything reliably there. The model will match the surface; surfaces are exactly what it learns. The defensible thing was always upstream of the surface, in the standpoint from which the work was made. Strip the costume from creativity and what remains is not a better-made object. It is a person who had a problem, took a stake, refused the easy answer, and was answerable to a field. That person is a much rarer thing than the creative industries have ever admitted — and the admission is overdue.</w:t>
      </w:r>
    </w:p>
    <w:p>
      <w:pPr>
        <w:pStyle w:val="Heading1"/>
      </w:pPr>
      <w:r>
        <w:t xml:space="preserve">5. The Process Trap</w:t>
      </w:r>
    </w:p>
    <w:p>
      <w:pPr>
        <w:spacing w:after="120" w:line="276"/>
        <w:jc w:val="both"/>
      </w:pPr>
      <w:r>
        <w:t xml:space="preserve">If the defensible thing is the maker’s position and the worthless thing is executional competence, the creative industries are in a far worse situation than the reassuring sentence allows, and for a structural reason. They have spent a century training, hiring and rewarding for exactly the wrong variable. Call this the </w:t>
      </w:r>
      <w:r>
        <w:rPr>
          <w:i/>
          <w:iCs/>
        </w:rPr>
        <w:t xml:space="preserve">process trap</w:t>
      </w:r>
      <w:r>
        <w:t xml:space="preserve">: the institutionalised mistaking of process mastery for creativity, built so deep into pedagogy, recruitment, tooling and reward that the people inside it cannot easily climb out, because the trap is also their identity.</w:t>
      </w:r>
    </w:p>
    <w:p>
      <w:pPr>
        <w:spacing w:after="120" w:line="276"/>
        <w:ind w:firstLine="360"/>
        <w:jc w:val="both"/>
      </w:pPr>
      <w:r>
        <w:t xml:space="preserve">The Dreyfus model of skill acquisition describes the ladder the creative professional has been taught to climb: novice, advanced beginner, competent, proficient, expert.</w:t>
      </w:r>
      <w:r>
        <w:rPr>
          <w:rStyle w:val="FootnoteReference"/>
        </w:rPr>
        <w:footnoteReference w:id="18"/>
      </w:r>
      <w:r>
        <w:t xml:space="preserve"> Every rung is a rung of </w:t>
      </w:r>
      <w:r>
        <w:rPr>
          <w:i/>
          <w:iCs/>
        </w:rPr>
        <w:t xml:space="preserve">process</w:t>
      </w:r>
      <w:r>
        <w:t xml:space="preserve"> mastery — the progressive internalisation of technique until execution becomes fluent, intuitive, unconscious. The entire prestige economy of creative work is built on this ladder. The master craftsperson at the top is the most admired and the best paid, and the figure everyone is taught to become. Generative systems have ascended the lower and middle rungs of this ladder with a speed that earlier scepticism, including Dreyfus’s own, did not predict. And here is the trap’s cruelty: the higher you climbed, the more exposed you now are. The expert’s identity, income and self-conception are most heavily invested in the very competence that just became abundant. The process trap is a sunk-cost trap of the self. The years of deliberate practice, the hard-won fluency, the craft pride — all of it real, all of it now uncompensated by the market that priced it. The better you were at process, the harder the fall, and the more of your sense of who you are is staked on the thing that no longer commands a wage.</w:t>
      </w:r>
    </w:p>
    <w:p>
      <w:pPr>
        <w:spacing w:after="120" w:line="276"/>
        <w:ind w:firstLine="360"/>
        <w:jc w:val="both"/>
      </w:pPr>
      <w:r>
        <w:t xml:space="preserve">One might expect the industry to respond by retraining its workforce toward creativity proper. It cannot, and the reason is not failure of will but structure. The cultural industries are </w:t>
      </w:r>
      <w:r>
        <w:rPr>
          <w:i/>
          <w:iCs/>
        </w:rPr>
        <w:t xml:space="preserve">process at scale by design</w:t>
      </w:r>
      <w:r>
        <w:t xml:space="preserve">. Their entire apparatus — the format, the repertoire, the franchise, the brief, the schedule, the portfolio hedge — exists to suppress the high-variance, illegible, unschedulable, frequently unprofitable activity that genuine creation actually is.</w:t>
      </w:r>
      <w:r>
        <w:rPr>
          <w:rStyle w:val="FootnoteReference"/>
        </w:rPr>
        <w:footnoteReference w:id="8"/>
      </w:r>
      <w:r>
        <w:t xml:space="preserve"> Positioned negation under risk is everything the industrial machine is built to manage out of existence. You cannot put problem-finding on a Gantt chart; you cannot guarantee significance to a client; you cannot schedule negative capability for the third quarter; you cannot de-risk a wager without destroying it. The institutions are optimised against the only thing now worth optimising for. They will therefore do the thing they know how to do — automate the process they were already selling, faster and cheaper — and call it transformation, and in doing so accelerate precisely the collapse they are trying to survive.</w:t>
      </w:r>
    </w:p>
    <w:p>
      <w:pPr>
        <w:spacing w:after="120" w:line="276"/>
        <w:ind w:firstLine="360"/>
        <w:jc w:val="both"/>
      </w:pPr>
      <w:r>
        <w:t xml:space="preserve">This is also why the firm-level moats proposed in the companion paper — experience orchestration, community, personalisation, data network effects — though real for </w:t>
      </w:r>
      <w:r>
        <w:rPr>
          <w:i/>
          <w:iCs/>
        </w:rPr>
        <w:t xml:space="preserve">firms</w:t>
      </w:r>
      <w:r>
        <w:t xml:space="preserve">, are largely irrelevant to, or actively corrosive of, the position of the individual </w:t>
      </w:r>
      <w:r>
        <w:rPr>
          <w:i/>
          <w:iCs/>
        </w:rPr>
        <w:t xml:space="preserve">maker</w:t>
      </w:r>
      <w:r>
        <w:t xml:space="preserve">.</w:t>
      </w:r>
      <w:r>
        <w:rPr>
          <w:rStyle w:val="FootnoteReference"/>
        </w:rPr>
        <w:footnoteReference w:id="21"/>
      </w:r>
      <w:r>
        <w:t xml:space="preserve"> They are, on inspection, mostly process moats wearing the language of the human: orchestration is process applied to the customer journey; personalisation-at-scale is pseudo-individualisation, as we have seen; community-as-retention-mechanism is the management of attention, not the practice of creation. A firm can build a durable business on these and employ, in the building of it, almost no one doing creative work in the strong sense. The moat protects the platform; it does not protect the creative, and frequently it is </w:t>
      </w:r>
      <w:r>
        <w:rPr>
          <w:i/>
          <w:iCs/>
        </w:rPr>
        <w:t xml:space="preserve">constructed by replacing her</w:t>
      </w:r>
      <w:r>
        <w:t xml:space="preserve">. The conflation at the level of the word reappears at the level of strategy: defensibility for the enterprise is sold as defensibility for the worker, and they are not the same thing. The community appears once more in the next section — but in a different role, not as a retention asset but as something without which creativity is literally impossible.</w:t>
      </w:r>
    </w:p>
    <w:p>
      <w:pPr>
        <w:pStyle w:val="Heading1"/>
      </w:pPr>
      <w:r>
        <w:t xml:space="preserve">6. The Migration: From Making to Creating</w:t>
      </w:r>
    </w:p>
    <w:p>
      <w:pPr>
        <w:spacing w:after="120" w:line="276"/>
        <w:jc w:val="both"/>
      </w:pPr>
      <w:r>
        <w:t xml:space="preserve">What, then, is to be done — by the worker, since the institution cannot? The prescription follows directly from the definition. If creativity is positioned negation under risk in pursuit of significance, then migrating out of the process trap means deliberately cultivating each of the four features that no model can supply. This is not a reskilling programme; reskilling is more process. It is closer to a change of vocation within the same vocation. I set it out plainly, with no pretence that it is easy or that most will manage it.</w:t>
      </w:r>
    </w:p>
    <w:p>
      <w:pPr>
        <w:spacing w:after="120" w:line="276"/>
        <w:ind w:firstLine="360"/>
        <w:jc w:val="both"/>
      </w:pPr>
      <w:r>
        <w:rPr>
          <w:b/>
          <w:bCs/>
        </w:rPr>
        <w:t xml:space="preserve">Compete on the problem, not the execution.</w:t>
      </w:r>
      <w:r>
        <w:t xml:space="preserve"> The first discipline is the inversion of everything the process trap rewards: to become a problem-finder in a world of infinite problem-solvers. When solution is free, all the remaining value migrates to the question — to the framing of a problem worth solving that no one else had seen as a problem. The practical form of this is a refusal: stop competing on how well you execute, because you will lose to a tool, and start competing on what you choose to make and why it matters. The creative worker who can originate the brief is worth orders of magnitude more than the one who can fulfil it, and the gap will only widen. This is learnable, but it is learned by exposure, obsession and standpoint, not by technique — which is exactly why the industry, organised around technique, cannot teach it.</w:t>
      </w:r>
    </w:p>
    <w:p>
      <w:pPr>
        <w:spacing w:after="120" w:line="276"/>
        <w:ind w:firstLine="360"/>
        <w:jc w:val="both"/>
      </w:pPr>
      <w:r>
        <w:rPr>
          <w:b/>
          <w:bCs/>
        </w:rPr>
        <w:t xml:space="preserve">Take a stake; make work that can fail and that costs you something.</w:t>
      </w:r>
      <w:r>
        <w:t xml:space="preserve"> The second discipline is to re-introduce risk on purpose, against every incentive of a career built to minimise it. Bourdieu’s illusio cannot be faked; either you have something invested in the move or you do not. In practice this means treating biography, conviction and obsession as inputs rather than contaminants — making the work that only you, from where you stand, would make, and accepting that it might be rejected. The unrisked work is now produced for free by a machine that risks nothing. The only work with a defensible premium is work that could have failed, made by someone for whom failure would have cost something. Safety, the prized virtue of the process professional, is now a liability: safe work is the machine’s native register.</w:t>
      </w:r>
    </w:p>
    <w:p>
      <w:pPr>
        <w:spacing w:after="120" w:line="276"/>
        <w:ind w:firstLine="360"/>
        <w:jc w:val="both"/>
      </w:pPr>
      <w:r>
        <w:rPr>
          <w:b/>
          <w:bCs/>
        </w:rPr>
        <w:t xml:space="preserve">Re-enter the field.</w:t>
      </w:r>
      <w:r>
        <w:t xml:space="preserve"> The third discipline reframes the community the companion paper treats as a retention moat into something prior and more fundamental: the organ of significance-judgement without which creativity, on Csikszentmihalyi’s systems model, cannot occur at all.</w:t>
      </w:r>
      <w:r>
        <w:rPr>
          <w:rStyle w:val="FootnoteReference"/>
        </w:rPr>
        <w:footnoteReference w:id="15"/>
      </w:r>
      <w:r>
        <w:t xml:space="preserve"> Significance is not in the artifact and not in the lone maker; it is conferred by a living field of discriminating peers embedded in a domain’s history. To create transformationally is to be answerable to such a field — to know its tradition deeply enough to know which break from it will register as meaningful rather than merely deviant. The isolated genius is, here too, a myth; the real condition of creation is embeddedness. This is the one point at which the community argument and the creativity argument converge — but the function is different. Community is not where you retain customers. It is where mattering is decided, and a maker cut off from a field has no access to the very thing that distinguishes creation from noise.</w:t>
      </w:r>
    </w:p>
    <w:p>
      <w:pPr>
        <w:spacing w:after="120" w:line="276"/>
        <w:ind w:firstLine="360"/>
        <w:jc w:val="both"/>
      </w:pPr>
      <w:r>
        <w:rPr>
          <w:b/>
          <w:bCs/>
        </w:rPr>
        <w:t xml:space="preserve">Practise negation; use the machine as the producer of the probable.</w:t>
      </w:r>
      <w:r>
        <w:t xml:space="preserve"> The fourth discipline is the most counter-intuitive and the most operationally precise. The correct use of a generative system, for a maker pursuing creativity, is not as a creative partner and not as a curation engine, but as the </w:t>
      </w:r>
      <w:r>
        <w:rPr>
          <w:i/>
          <w:iCs/>
        </w:rPr>
        <w:t xml:space="preserve">maximally competent producer of the probable</w:t>
      </w:r>
      <w:r>
        <w:t xml:space="preserve"> — precisely so that the human can specialise in the improbable. Let the model occupy the mean it is built to occupy. Let it generate the obvious continuation, the expected resolution, the competent default, exhaustively and instantly. The human contribution is then defined by negation: the refusal of what the model offers, the reaching past the probable toward the move the model could not make because the model is built to avoid it. This reframes the worn phrase </w:t>
      </w:r>
      <w:r>
        <w:rPr>
          <w:i/>
          <w:iCs/>
        </w:rPr>
        <w:t xml:space="preserve">human-in-the-loop</w:t>
      </w:r>
      <w:r>
        <w:t xml:space="preserve"> from curation — choosing among the machine’s options, which is still deference — to negation: using the machine to map the space of the probable so as to depart from it deliberately. Ghafouri’s Paradoxical Bridge is crossed in exactly this posture and no other.</w:t>
      </w:r>
      <w:r>
        <w:rPr>
          <w:rStyle w:val="FootnoteReference"/>
        </w:rPr>
        <w:footnoteReference w:id="17"/>
      </w:r>
      <w:r>
        <w:t xml:space="preserve"> The maker who defers to the model’s best output has re-entered the process trap by another door. The maker who uses the model’s best output as a map of what to avoid has found the only durable use of the tool.</w:t>
      </w:r>
    </w:p>
    <w:p>
      <w:pPr>
        <w:spacing w:after="120" w:line="276"/>
        <w:ind w:firstLine="360"/>
        <w:jc w:val="both"/>
      </w:pPr>
      <w:r>
        <w:t xml:space="preserve">I will not soften the conclusion of this section, because softening it is the optimists’ characteristic dishonesty. Most creative workers will not make this migration. It is harder than the work they were trained for, slower to reward, lonelier, and structurally unsupported by the institutions that employ them. To pretend that everyone called creative can simply ascend to creativity proper is to repeat the equivocation in a consoling key, and it does a disservice to people making real decisions about real livelihoods. The scale of dislocation will be large, and naming it honestly is the least a serious account owes its subject. The migration is available; it is not general; and the difference between those two facts is where most of the human cost of this transition will fall.</w:t>
      </w:r>
    </w:p>
    <w:p>
      <w:pPr>
        <w:pStyle w:val="Heading1"/>
      </w:pPr>
      <w:r>
        <w:t xml:space="preserve">7. The Last to Fall</w:t>
      </w:r>
    </w:p>
    <w:p>
      <w:pPr>
        <w:spacing w:after="120" w:line="276"/>
        <w:jc w:val="both"/>
      </w:pPr>
      <w:r>
        <w:t xml:space="preserve">Return, finally, to the sentence that began this essay, and to the slogan beneath it — that creatives will be the last people standing. There is a sense in which it is true, and the sense matters. When process is free and code is free and competent symbolic production is free, the one thing that retains a premium is the strong-sense creative act: positioned negation under risk in pursuit of significance, an act no model can perform because the act is constituted by features of the maker’s standpoint and not of the artifact. In that sense, yes — the creative is the last to fall. Creation outlasts production. It always did; abundance has merely made the distinction visible by making everything else cheap.</w:t>
      </w:r>
    </w:p>
    <w:p>
      <w:pPr>
        <w:spacing w:after="120" w:line="276"/>
        <w:ind w:firstLine="360"/>
        <w:jc w:val="both"/>
      </w:pPr>
      <w:r>
        <w:t xml:space="preserve">But the standing ground is much smaller than the slogan implies, and the people standing on it are not who the industry believes them to be. They are not the most skilled, because skill — executional competence, the proudly accumulated mastery of the process ladder — is now abundant and therefore commands no rent. They are the most </w:t>
      </w:r>
      <w:r>
        <w:rPr>
          <w:i/>
          <w:iCs/>
        </w:rPr>
        <w:t xml:space="preserve">positioned</w:t>
      </w:r>
      <w:r>
        <w:t xml:space="preserve">: those who have a problem of their own, a genuine stake, an embedded place in a living field, and the nerve to refuse the probable answer the machine hands them for free. That is a far narrower population than the creative class, and it never mapped neatly onto employment, prestige or even talent in the ordinary sense. The reckoning now under way is therefore not, at bottom, a contest between artificial intelligence and creatives. It is a contest between creativity and the vast process economy that wore creativity’s clothes — that recruited a workforce on the romance of art and paid it for the execution of craft, and that can no longer pay, because the craft is free.</w:t>
      </w:r>
    </w:p>
    <w:p>
      <w:pPr>
        <w:spacing w:after="120" w:line="276"/>
        <w:ind w:firstLine="360"/>
        <w:jc w:val="both"/>
      </w:pPr>
      <w:r>
        <w:t xml:space="preserve">Generative abundance did not kill creativity. It did something more revealing and, for an industry built on the conflation, more dangerous. It stripped the costume from creativity and held it up to the light — and showed how few were ever wearing the real thing, and how many had mistaken the costume for the body. The honest response to that revelation is not reassurance. It is the harder work of becoming, deliberately and against every incentive of the process trap, one of the few. Most of the field will not. Some will. The difference between them will not be talent, and it will certainly not be skill. It will be where they choose to stand.</w:t>
      </w:r>
    </w:p>
    <w:p>
      <w:r>
        <w:br w:type="page"/>
      </w:r>
    </w:p>
    <w:p>
      <w:pPr>
        <w:pStyle w:val="Heading1"/>
      </w:pPr>
      <w:r>
        <w:t xml:space="preserve">References</w:t>
      </w:r>
    </w:p>
    <w:p>
      <w:pPr>
        <w:spacing w:after="80" w:line="252"/>
        <w:ind w:left="360" w:hanging="360"/>
        <w:jc w:val="left"/>
      </w:pPr>
      <w:r>
        <w:t xml:space="preserve">Adorno, T. (1941). “On Popular Music.” Studies in Philosophy and Social Science, 9(1), 17–48.</w:t>
      </w:r>
    </w:p>
    <w:p>
      <w:pPr>
        <w:spacing w:after="80" w:line="252"/>
        <w:ind w:left="360" w:hanging="360"/>
        <w:jc w:val="left"/>
      </w:pPr>
      <w:r>
        <w:t xml:space="preserve">Adorno, T. &amp; Horkheimer, M. (1944). Dialectic of Enlightenment. (Trans. E. Jephcott, 2002). Stanford: Stanford University Press.</w:t>
      </w:r>
    </w:p>
    <w:p>
      <w:pPr>
        <w:spacing w:after="80" w:line="252"/>
        <w:ind w:left="360" w:hanging="360"/>
        <w:jc w:val="left"/>
      </w:pPr>
      <w:r>
        <w:t xml:space="preserve">Arendt, H. (1958). The Human Condition. Chicago: University of Chicago Press.</w:t>
      </w:r>
    </w:p>
    <w:p>
      <w:pPr>
        <w:spacing w:after="80" w:line="252"/>
        <w:ind w:left="360" w:hanging="360"/>
        <w:jc w:val="left"/>
      </w:pPr>
      <w:r>
        <w:t xml:space="preserve">Banks, M. (2007). The Politics of Cultural Work. Basingstoke: Palgrave Macmillan.</w:t>
      </w:r>
    </w:p>
    <w:p>
      <w:pPr>
        <w:spacing w:after="80" w:line="252"/>
        <w:ind w:left="360" w:hanging="360"/>
        <w:jc w:val="left"/>
      </w:pPr>
      <w:r>
        <w:t xml:space="preserve">Benjamin, W. (1936). “The Work of Art in the Age of Its Technological Reproducibility.” In Selected Writings, Vol. 3 (2002). Cambridge, MA: Harvard University Press.</w:t>
      </w:r>
    </w:p>
    <w:p>
      <w:pPr>
        <w:spacing w:after="80" w:line="252"/>
        <w:ind w:left="360" w:hanging="360"/>
        <w:jc w:val="left"/>
      </w:pPr>
      <w:r>
        <w:t xml:space="preserve">Boden, M. (2004 [1990]). The Creative Mind: Myths and Mechanisms, 2nd edn. London: Routledge.</w:t>
      </w:r>
    </w:p>
    <w:p>
      <w:pPr>
        <w:spacing w:after="80" w:line="252"/>
        <w:ind w:left="360" w:hanging="360"/>
        <w:jc w:val="left"/>
      </w:pPr>
      <w:r>
        <w:t xml:space="preserve">Bourdieu, P. (1993). The Field of Cultural Production, ed. R. Johnson. Cambridge: Polity Press.</w:t>
      </w:r>
    </w:p>
    <w:p>
      <w:pPr>
        <w:spacing w:after="80" w:line="252"/>
        <w:ind w:left="360" w:hanging="360"/>
        <w:jc w:val="left"/>
      </w:pPr>
      <w:r>
        <w:t xml:space="preserve">Bourdieu, P. (1996 [1992]). The Rules of Art: Genesis and Structure of the Literary Field. Stanford: Stanford University Press.</w:t>
      </w:r>
    </w:p>
    <w:p>
      <w:pPr>
        <w:spacing w:after="80" w:line="252"/>
        <w:ind w:left="360" w:hanging="360"/>
        <w:jc w:val="left"/>
      </w:pPr>
      <w:r>
        <w:t xml:space="preserve">Csikszentmihalyi, M. (1996). Creativity: Flow and the Psychology of Discovery and Invention. New York: HarperCollins.</w:t>
      </w:r>
    </w:p>
    <w:p>
      <w:pPr>
        <w:spacing w:after="80" w:line="252"/>
        <w:ind w:left="360" w:hanging="360"/>
        <w:jc w:val="left"/>
      </w:pPr>
      <w:r>
        <w:t xml:space="preserve">Dreyfus, H. &amp; Dreyfus, S. (1986). Mind Over Machine: The Power of Human Intuition and Expertise in the Era of the Computer. New York: Free Press.</w:t>
      </w:r>
    </w:p>
    <w:p>
      <w:pPr>
        <w:spacing w:after="80" w:line="252"/>
        <w:ind w:left="360" w:hanging="360"/>
        <w:jc w:val="left"/>
      </w:pPr>
      <w:r>
        <w:t xml:space="preserve">Florida, R. (2002). The Rise of the Creative Class. New York: Basic Books.</w:t>
      </w:r>
    </w:p>
    <w:p>
      <w:pPr>
        <w:spacing w:after="80" w:line="252"/>
        <w:ind w:left="360" w:hanging="360"/>
        <w:jc w:val="left"/>
      </w:pPr>
      <w:r>
        <w:t xml:space="preserve">Frankfurt, H. (2005 [1986]). On Bullshit. Princeton: Princeton University Press.</w:t>
      </w:r>
    </w:p>
    <w:p>
      <w:pPr>
        <w:spacing w:after="80" w:line="252"/>
        <w:ind w:left="360" w:hanging="360"/>
        <w:jc w:val="left"/>
      </w:pPr>
      <w:r>
        <w:t xml:space="preserve">Getzels, J. W. &amp; Csikszentmihalyi, M. (1976). The Creative Vision: A Longitudinal Study of Problem Finding in Art. New York: Wiley.</w:t>
      </w:r>
    </w:p>
    <w:p>
      <w:pPr>
        <w:spacing w:after="80" w:line="252"/>
        <w:ind w:left="360" w:hanging="360"/>
        <w:jc w:val="left"/>
      </w:pPr>
      <w:r>
        <w:t xml:space="preserve">Ghafouri, B. (2025). “The Variance Paradox: How AI Reduces Diversity but Increases Novelty.” arXiv:2508.19264.</w:t>
      </w:r>
    </w:p>
    <w:p>
      <w:pPr>
        <w:spacing w:after="80" w:line="252"/>
        <w:ind w:left="360" w:hanging="360"/>
        <w:jc w:val="left"/>
      </w:pPr>
      <w:r>
        <w:t xml:space="preserve">Hesmondhalgh, D. (2019 [2002]). The Cultural Industries, 4th edn. London: Sage.</w:t>
      </w:r>
    </w:p>
    <w:p>
      <w:pPr>
        <w:spacing w:after="80" w:line="252"/>
        <w:ind w:left="360" w:hanging="360"/>
        <w:jc w:val="left"/>
      </w:pPr>
      <w:r>
        <w:t xml:space="preserve">Jenkins, H. (2006). Convergence Culture: Where Old and New Media Collide. New York: NYU Press.</w:t>
      </w:r>
    </w:p>
    <w:p>
      <w:pPr>
        <w:spacing w:after="80" w:line="252"/>
        <w:ind w:left="360" w:hanging="360"/>
        <w:jc w:val="left"/>
      </w:pPr>
      <w:r>
        <w:t xml:space="preserve">Keats, J. (1817). Letter to George and Thomas Keats, 21 December. In Selected Letters (2002). Oxford: Oxford University Press.</w:t>
      </w:r>
    </w:p>
    <w:p>
      <w:pPr>
        <w:spacing w:after="80" w:line="252"/>
        <w:ind w:left="360" w:hanging="360"/>
        <w:jc w:val="left"/>
      </w:pPr>
      <w:r>
        <w:t xml:space="preserve">Koestler, A. (1964). The Act of Creation. London: Hutchinson.</w:t>
      </w:r>
    </w:p>
    <w:p>
      <w:pPr>
        <w:spacing w:after="80" w:line="252"/>
        <w:ind w:left="360" w:hanging="360"/>
        <w:jc w:val="left"/>
      </w:pPr>
      <w:r>
        <w:t xml:space="preserve">McRobbie, A. (2016). Be Creative: Making a Living in the New Culture Industries. Cambridge: Polity Press.</w:t>
      </w:r>
    </w:p>
    <w:p>
      <w:pPr>
        <w:spacing w:after="80" w:line="252"/>
        <w:ind w:left="360" w:hanging="360"/>
        <w:jc w:val="left"/>
      </w:pPr>
      <w:r>
        <w:t xml:space="preserve">Pine, B. J. &amp; Gilmore, J. H. (1999). The Experience Economy: Work Is Theatre and Every Business a Stage. Boston: Harvard Business School Press.</w:t>
      </w:r>
    </w:p>
    <w:p>
      <w:pPr>
        <w:spacing w:after="80" w:line="252"/>
        <w:ind w:left="360" w:hanging="360"/>
        <w:jc w:val="left"/>
      </w:pPr>
      <w:r>
        <w:t xml:space="preserve">Polanyi, M. (1966). The Tacit Dimension. Chicago: University of Chicago Press.</w:t>
      </w:r>
    </w:p>
    <w:p>
      <w:pPr>
        <w:spacing w:after="80" w:line="252"/>
        <w:ind w:left="360" w:hanging="360"/>
        <w:jc w:val="left"/>
      </w:pPr>
      <w:r>
        <w:t xml:space="preserve">Ross, A. (2009). Nice Work If You Can Get It: Life and Labor in Precarious Times. New York: NYU Press.</w:t>
      </w:r>
    </w:p>
    <w:p>
      <w:pPr>
        <w:spacing w:after="80" w:line="252"/>
        <w:ind w:left="360" w:hanging="360"/>
        <w:jc w:val="left"/>
      </w:pPr>
      <w:r>
        <w:t xml:space="preserve">Schumpeter, J. A. (1934 [1911]). The Theory of Economic Development. Cambridge, MA: Harvard University Press.</w:t>
      </w:r>
    </w:p>
    <w:p>
      <w:pPr>
        <w:spacing w:after="80" w:line="252"/>
        <w:ind w:left="360" w:hanging="360"/>
        <w:jc w:val="left"/>
      </w:pPr>
      <w:r>
        <w:t xml:space="preserve">Schumpeter, J. A. (1942). Capitalism, Socialism and Democracy. New York: Harper &amp; Brothers.</w:t>
      </w:r>
    </w:p>
    <w:p>
      <w:pPr>
        <w:spacing w:after="80" w:line="252"/>
        <w:ind w:left="360" w:hanging="360"/>
        <w:jc w:val="left"/>
      </w:pPr>
      <w:r>
        <w:t xml:space="preserve">Sennett, R. (2008). The Craftsman. New Haven: Yale University Press.</w:t>
      </w:r>
    </w:p>
    <w:p>
      <w:pPr>
        <w:spacing w:after="80" w:line="252"/>
        <w:ind w:left="360" w:hanging="360"/>
        <w:jc w:val="left"/>
      </w:pPr>
      <w:r>
        <w:t xml:space="preserve">Simon, H. A. (1971). “Designing Organizations for an Information-Rich World.” In M. Greenberger (ed.), Computers, Communications, and the Public Interest. Baltimore: Johns Hopkins Press.</w:t>
      </w:r>
    </w:p>
    <w:sectPr>
      <w:headerReference w:type="default" r:id="rId7"/>
      <w:footerReference w:type="default" r:id="rId8"/>
      <w:pgSz w:w="12240" w:h="15840" w:orient="portrait"/>
      <w:pgMar w:top="1620" w:right="1800" w:bottom="162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The companion working paper to which this essay responds — “The Defensibility of Context: Experience, Personalisation, and Community as Strategic Moats in the Era of Synthetic Abundance” — develops the macro-economic frame of synthetic abundance. This essay narrows the focus to the creative worker and dissents from the paper’s more consoling reading of where defensibility lands.</w:t>
      </w:r>
    </w:p>
  </w:footnote>
  <w:footnote w:id="2">
    <w:p>
      <w:r>
        <w:rPr>
          <w:rStyle w:val="FootnoteReference"/>
        </w:rPr>
        <w:footnoteRef/>
      </w:r>
      <w:r>
        <w:t xml:space="preserve">Florida, R. (2002). The Rise of the Creative Class. New York: Basic Books. The term names a workforce defined by occupation; it carries no claim that the work in question is creative in the strong sense at issue here. The slippage is built into the category from the outset.</w:t>
      </w:r>
    </w:p>
  </w:footnote>
  <w:footnote w:id="3">
    <w:p>
      <w:r>
        <w:rPr>
          <w:rStyle w:val="FootnoteReference"/>
        </w:rPr>
        <w:footnoteRef/>
      </w:r>
      <w:r>
        <w:t xml:space="preserve">Boden, M. (2004 [1990]). The Creative Mind: Myths and Mechanisms, 2nd edn. London: Routledge. The combinational/exploratory/transformational taxonomy and the P-creativity / H-creativity distinction are developed throughout.</w:t>
      </w:r>
    </w:p>
  </w:footnote>
  <w:footnote w:id="4">
    <w:p>
      <w:r>
        <w:rPr>
          <w:rStyle w:val="FootnoteReference"/>
        </w:rPr>
        <w:footnoteRef/>
      </w:r>
      <w:r>
        <w:t xml:space="preserve">Benjamin, W. (1936). “The Work of Art in the Age of Its Technological Reproducibility.” The argument here inverts Benjamin: where mechanical reproduction threatened the aura of the singular original, synthetic abundance threatens the scarcity of competence — a different and, for the wage-earning maker, more total dispossession.</w:t>
      </w:r>
    </w:p>
  </w:footnote>
  <w:footnote w:id="5">
    <w:p>
      <w:r>
        <w:rPr>
          <w:rStyle w:val="FootnoteReference"/>
        </w:rPr>
        <w:footnoteRef/>
      </w:r>
      <w:r>
        <w:t xml:space="preserve">Polanyi, M. (1966). The Tacit Dimension. Chicago: University of Chicago Press. Polanyi’s thesis that we know more than we can tell was long treated as the craftworker’s last redoubt; large models trained on the aggregate residue of skilled acts are now extracting precisely this tacit layer.</w:t>
      </w:r>
    </w:p>
  </w:footnote>
  <w:footnote w:id="6">
    <w:p>
      <w:r>
        <w:rPr>
          <w:rStyle w:val="FootnoteReference"/>
        </w:rPr>
        <w:footnoteRef/>
      </w:r>
      <w:r>
        <w:t xml:space="preserve">Sennett, R. (2008). The Craftsman. New Haven: Yale University Press. Sennett’s defence of craft as an intrinsic human good is not contested here. What is contested is the market rent that craft has historically commanded — a rent, not a virtue, and it is the rent that synthetic abundance abolishes.</w:t>
      </w:r>
    </w:p>
  </w:footnote>
  <w:footnote w:id="7">
    <w:p>
      <w:r>
        <w:rPr>
          <w:rStyle w:val="FootnoteReference"/>
        </w:rPr>
        <w:footnoteRef/>
      </w:r>
      <w:r>
        <w:t xml:space="preserve">Adorno, T. &amp; Horkheimer, M. (1944). Dialectic of Enlightenment; and Adorno, T. (1941). “On Popular Music.” The pairing of standardisation with pseudo-individualisation anticipates personalisation-at-scale by some eight decades.</w:t>
      </w:r>
    </w:p>
  </w:footnote>
  <w:footnote w:id="8">
    <w:p>
      <w:r>
        <w:rPr>
          <w:rStyle w:val="FootnoteReference"/>
        </w:rPr>
        <w:footnoteRef/>
      </w:r>
      <w:r>
        <w:t xml:space="preserve">Hesmondhalgh, D. (2019 [2002]). The Cultural Industries, 4th edn. London: Sage. On the management of risk through formatting, repertoire and star systems as the organising logic of cultural production.</w:t>
      </w:r>
    </w:p>
  </w:footnote>
  <w:footnote w:id="9">
    <w:p>
      <w:r>
        <w:rPr>
          <w:rStyle w:val="FootnoteReference"/>
        </w:rPr>
        <w:footnoteRef/>
      </w:r>
      <w:r>
        <w:t xml:space="preserve">Banks, M. (2007). The Politics of Cultural Work. Basingstoke: Palgrave Macmillan; McRobbie, A. (2016). Be Creative. Cambridge: Polity; Ross, A. (2009). Nice Work If You Can Get It. New York: NYU Press.</w:t>
      </w:r>
    </w:p>
  </w:footnote>
  <w:footnote w:id="10">
    <w:p>
      <w:r>
        <w:rPr>
          <w:rStyle w:val="FootnoteReference"/>
        </w:rPr>
        <w:footnoteRef/>
      </w:r>
      <w:r>
        <w:t xml:space="preserve">Koestler, A. (1964). The Act of Creation. London: Hutchinson. Bisociation — the collision of two previously unrelated frames of reference — is, in retrospect, a near-exact specification of what a high-dimensional latent space does mechanically and tirelessly.</w:t>
      </w:r>
    </w:p>
  </w:footnote>
  <w:footnote w:id="11">
    <w:p>
      <w:r>
        <w:rPr>
          <w:rStyle w:val="FootnoteReference"/>
        </w:rPr>
        <w:footnoteRef/>
      </w:r>
      <w:r>
        <w:t xml:space="preserve">Getzels, J. W. &amp; Csikszentmihalyi, M. (1976). The Creative Vision: A Longitudinal Study of Problem Finding in Art. New York: Wiley. The finding that problem-finding behaviour, not problem-solving skill, predicted later artistic achievement remains among the most consequential and least absorbed results in the psychology of creativity.</w:t>
      </w:r>
    </w:p>
  </w:footnote>
  <w:footnote w:id="12">
    <w:p>
      <w:r>
        <w:rPr>
          <w:rStyle w:val="FootnoteReference"/>
        </w:rPr>
        <w:footnoteRef/>
      </w:r>
      <w:r>
        <w:t xml:space="preserve">Arendt, H. (1958). The Human Condition. Chicago: University of Chicago Press. The distinction between labour, work and action, and the concept of natality — the human capacity to begin — supply the vocabulary the psychology of problem-finding lacks.</w:t>
      </w:r>
    </w:p>
  </w:footnote>
  <w:footnote w:id="13">
    <w:p>
      <w:r>
        <w:rPr>
          <w:rStyle w:val="FootnoteReference"/>
        </w:rPr>
        <w:footnoteRef/>
      </w:r>
      <w:r>
        <w:t xml:space="preserve">Bourdieu, P. (1993). The Field of Cultural Production, ed. R. Johnson. Cambridge: Polity; and Bourdieu, P. (1996 [1992]). The Rules of Art. Stanford: Stanford University Press. Illusio names the agent’s invested belief in the stakes of the game; value is produced by position-taking within a field, not by the intrinsic properties of the work.</w:t>
      </w:r>
    </w:p>
  </w:footnote>
  <w:footnote w:id="14">
    <w:p>
      <w:r>
        <w:rPr>
          <w:rStyle w:val="FootnoteReference"/>
        </w:rPr>
        <w:footnoteRef/>
      </w:r>
      <w:r>
        <w:t xml:space="preserve">Frankfurt, H. (2005 [1986]). On Bullshit. Princeton: Princeton University Press. The bullshitter is defined not by falsehood but by indifference to the truth of what is said. A generative model is constitutively indifferent in exactly this sense — not deceitful, but unconcerned — which is why its fluency is so easily mistaken for meaning.</w:t>
      </w:r>
    </w:p>
  </w:footnote>
  <w:footnote w:id="15">
    <w:p>
      <w:r>
        <w:rPr>
          <w:rStyle w:val="FootnoteReference"/>
        </w:rPr>
        <w:footnoteRef/>
      </w:r>
      <w:r>
        <w:t xml:space="preserve">Csikszentmihalyi, M. (1996). Creativity: Flow and the Psychology of Discovery and Invention. New York: HarperCollins. The systems model locates creativity in the interaction of person, domain and field rather than in the individual.</w:t>
      </w:r>
    </w:p>
  </w:footnote>
  <w:footnote w:id="16">
    <w:p>
      <w:r>
        <w:rPr>
          <w:rStyle w:val="FootnoteReference"/>
        </w:rPr>
        <w:footnoteRef/>
      </w:r>
      <w:r>
        <w:t xml:space="preserve">Keats, J. Letter to George and Tom Keats, 21 December 1817. Negative capability: the capacity to remain in uncertainty and doubt without any irritable reaching after fact and reason — a description, almost line for line, of everything next-token prediction is built to avoid.</w:t>
      </w:r>
    </w:p>
  </w:footnote>
  <w:footnote w:id="17">
    <w:p>
      <w:r>
        <w:rPr>
          <w:rStyle w:val="FootnoteReference"/>
        </w:rPr>
        <w:footnoteRef/>
      </w:r>
      <w:r>
        <w:t xml:space="preserve">Ghafouri, B. (2025). “The Variance Paradox: How AI Reduces Diversity but Increases Novelty.” arXiv:2508.19264. The AI Prism compresses collective variance; the Paradoxical Bridge enables recombinant novelty for agents who refuse epistemic deference. I take the prism as robust and the bridge as conditional on precisely the positioned negation this essay describes.</w:t>
      </w:r>
    </w:p>
  </w:footnote>
  <w:footnote w:id="18">
    <w:p>
      <w:r>
        <w:rPr>
          <w:rStyle w:val="FootnoteReference"/>
        </w:rPr>
        <w:footnoteRef/>
      </w:r>
      <w:r>
        <w:t xml:space="preserve">Dreyfus, H. &amp; Dreyfus, S. (1986). Mind Over Machine. New York: Free Press. The five-stage model — novice, advanced beginner, competent, proficient, expert — describes the acquisition of process mastery. Generative systems have ascended its lower and middle rungs with a speed that Dreyfus’s own earlier scepticism did not anticipate.</w:t>
      </w:r>
    </w:p>
  </w:footnote>
  <w:footnote w:id="19">
    <w:p>
      <w:r>
        <w:rPr>
          <w:rStyle w:val="FootnoteReference"/>
        </w:rPr>
        <w:footnoteRef/>
      </w:r>
      <w:r>
        <w:t xml:space="preserve">This is the load-bearing claim of the essay and the one most likely to draw objection, so it is worth stating sharply: the defensibility of creative work has been mislocated in the artifact, where it cannot survive, when it was always in the position of the maker, where it can.</w:t>
      </w:r>
    </w:p>
  </w:footnote>
  <w:footnote w:id="20">
    <w:p>
      <w:r>
        <w:rPr>
          <w:rStyle w:val="FootnoteReference"/>
        </w:rPr>
        <w:footnoteRef/>
      </w:r>
      <w:r>
        <w:t xml:space="preserve">Schumpeter, J. (1942). Capitalism, Socialism and Democracy. New York: Harper; and Schumpeter, J. (1934 [1911]). The Theory of Economic Development. Cambridge, MA: Harvard University Press. Innovation as the carrying-out of new combinations prefigures both Koestler’s bisociation and the recombinant register of generative tools.</w:t>
      </w:r>
    </w:p>
  </w:footnote>
  <w:footnote w:id="21">
    <w:p>
      <w:r>
        <w:rPr>
          <w:rStyle w:val="FootnoteReference"/>
        </w:rPr>
        <w:footnoteRef/>
      </w:r>
      <w:r>
        <w:t xml:space="preserve">Pine, B. J. &amp; Gilmore, J. (1999). The Experience Economy. Boston: Harvard Business School Press; Jenkins, H. (2006). Convergence Culture. New York: NYU Press. These supply the firm-level moats — experience and community — that the companion paper advances, and which this essay holds to be largely irrelevant to, or actively corrosive of, the position of the individual maker.</w:t>
      </w:r>
    </w:p>
  </w:footnote>
  <w:footnote w:id="22">
    <w:p>
      <w:r>
        <w:rPr>
          <w:rStyle w:val="FootnoteReference"/>
        </w:rPr>
        <w:footnoteRef/>
      </w:r>
      <w:r>
        <w:t xml:space="preserve">Simon, H. (1971). “Designing Organizations for an Information-Rich World,” in M. Greenberger (ed.), Computers, Communications, and the Public Interest. Baltimore: Johns Hopkins Press. A wealth of information creates a poverty of attention.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The Process Trap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111111"/>
      <w:sz w:val="26"/>
      <w:szCs w:val="26"/>
    </w:rPr>
  </w:style>
  <w:style w:type="paragraph" w:styleId="Heading2">
    <w:name w:val="Heading 2"/>
    <w:basedOn w:val="Normal"/>
    <w:next w:val="Normal"/>
    <w:qFormat/>
    <w:pPr>
      <w:spacing w:after="100" w:before="200"/>
      <w:outlineLvl w:val="1"/>
    </w:pPr>
    <w:rPr>
      <w:rFonts w:ascii="Georgia" w:cs="Georgia" w:eastAsia="Georgia" w:hAnsi="Georgia"/>
      <w:b/>
      <w:bCs/>
      <w:i/>
      <w:i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Process Trap: Generative Abundance and the Equivocation of the Creative</dc:title>
  <dc:creator>Pete</dc:creator>
  <cp:lastModifiedBy>Un-named</cp:lastModifiedBy>
  <cp:revision>1</cp:revision>
  <dcterms:created xsi:type="dcterms:W3CDTF">2026-06-01T21:17:12.578Z</dcterms:created>
  <dcterms:modified xsi:type="dcterms:W3CDTF">2026-06-01T21:17:12.605Z</dcterms:modified>
</cp:coreProperties>
</file>

<file path=docProps/custom.xml><?xml version="1.0" encoding="utf-8"?>
<Properties xmlns="http://schemas.openxmlformats.org/officeDocument/2006/custom-properties" xmlns:vt="http://schemas.openxmlformats.org/officeDocument/2006/docPropsVTypes"/>
</file>