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c83bddcc22acda2d78c63dcccdfbe1b3bffa5f"/>
    <w:p>
      <w:pPr>
        <w:pStyle w:val="Heading1"/>
      </w:pPr>
      <w:r>
        <w:t xml:space="preserve">Fictional Marine Lifecycle Services Agreement</w:t>
      </w:r>
    </w:p>
    <w:bookmarkStart w:id="20" w:name="demo-contract-for-redlining-workflow"/>
    <w:p>
      <w:pPr>
        <w:pStyle w:val="Heading2"/>
      </w:pPr>
      <w:r>
        <w:t xml:space="preserve">Demo Contract for Redlining Workflow</w:t>
      </w:r>
    </w:p>
    <w:p>
      <w:pPr>
        <w:pStyle w:val="FirstParagraph"/>
      </w:pPr>
      <w:r>
        <w:rPr>
          <w:b/>
          <w:bCs/>
        </w:rPr>
        <w:t xml:space="preserve">Important Demo Notice:</w:t>
      </w:r>
      <w:r>
        <w:br/>
      </w:r>
      <w:r>
        <w:t xml:space="preserve">This is a fictional sample agreement created for product demonstration purposes only. It is not a real Wärtsilä contract, is not affiliated with Wärtsilä Corporation, and should not be used as legal advice.</w:t>
      </w:r>
    </w:p>
    <w:p>
      <w:r>
        <w:pict>
          <v:rect style="width:0;height:1.5pt" o:hralign="center" o:hrstd="t" o:hr="t"/>
        </w:pict>
      </w:r>
    </w:p>
    <w:bookmarkEnd w:id="20"/>
    <w:bookmarkStart w:id="21" w:name="marine-lifecycle-services-agreement"/>
    <w:p>
      <w:pPr>
        <w:pStyle w:val="Heading2"/>
      </w:pPr>
      <w:r>
        <w:t xml:space="preserve">Marine Lifecycle Services Agreement</w:t>
      </w:r>
    </w:p>
    <w:p>
      <w:pPr>
        <w:pStyle w:val="FirstParagraph"/>
      </w:pPr>
      <w:r>
        <w:t xml:space="preserve">This Marine Lifecycle Services Agreement (</w:t>
      </w:r>
      <w:r>
        <w:t xml:space="preserve">“Agreement”</w:t>
      </w:r>
      <w:r>
        <w:t xml:space="preserve">) is entered into as of</w:t>
      </w:r>
      <w:r>
        <w:t xml:space="preserve"> </w:t>
      </w:r>
      <w:r>
        <w:rPr>
          <w:b/>
          <w:bCs/>
        </w:rPr>
        <w:t xml:space="preserve">[Effective Date]</w:t>
      </w:r>
      <w:r>
        <w:t xml:space="preserve"> </w:t>
      </w:r>
      <w:r>
        <w:t xml:space="preserve">by and between:</w:t>
      </w:r>
    </w:p>
    <w:p>
      <w:pPr>
        <w:pStyle w:val="BodyText"/>
      </w:pPr>
      <w:r>
        <w:rPr>
          <w:b/>
          <w:bCs/>
        </w:rPr>
        <w:t xml:space="preserve">Baltic Horizon Shipping Ltd.</w:t>
      </w:r>
      <w:r>
        <w:t xml:space="preserve">, a company incorporated under the laws of England and Wales, with its principal office at</w:t>
      </w:r>
      <w:r>
        <w:t xml:space="preserve"> </w:t>
      </w:r>
      <w:r>
        <w:rPr>
          <w:b/>
          <w:bCs/>
        </w:rPr>
        <w:t xml:space="preserve">[Customer Address]</w:t>
      </w:r>
      <w:r>
        <w:t xml:space="preserve"> </w:t>
      </w:r>
      <w:r>
        <w:t xml:space="preserve">(</w:t>
      </w:r>
      <w:r>
        <w:t xml:space="preserve">“Customer”</w:t>
      </w:r>
      <w:r>
        <w:t xml:space="preserve">), and</w:t>
      </w:r>
    </w:p>
    <w:p>
      <w:pPr>
        <w:pStyle w:val="BodyText"/>
      </w:pPr>
      <w:r>
        <w:rPr>
          <w:b/>
          <w:bCs/>
        </w:rPr>
        <w:t xml:space="preserve">Nordic Marine Lifecycle Solutions Oy</w:t>
      </w:r>
      <w:r>
        <w:t xml:space="preserve">, a Finnish corporation with its principal office at</w:t>
      </w:r>
      <w:r>
        <w:t xml:space="preserve"> </w:t>
      </w:r>
      <w:r>
        <w:rPr>
          <w:b/>
          <w:bCs/>
        </w:rPr>
        <w:t xml:space="preserve">[Provider Address]</w:t>
      </w:r>
      <w:r>
        <w:t xml:space="preserve"> </w:t>
      </w:r>
      <w:r>
        <w:t xml:space="preserve">(</w:t>
      </w:r>
      <w:r>
        <w:t xml:space="preserve">“Provider”</w:t>
      </w:r>
      <w:r>
        <w:t xml:space="preserve">).</w:t>
      </w:r>
    </w:p>
    <w:p>
      <w:pPr>
        <w:pStyle w:val="BodyText"/>
      </w:pPr>
      <w:r>
        <w:t xml:space="preserve">Customer and Provider may each be referred to as a</w:t>
      </w:r>
      <w:r>
        <w:t xml:space="preserve"> </w:t>
      </w:r>
      <w:r>
        <w:t xml:space="preserve">“Party”</w:t>
      </w:r>
      <w:r>
        <w:t xml:space="preserve"> </w:t>
      </w:r>
      <w:r>
        <w:t xml:space="preserve">and together as the</w:t>
      </w:r>
      <w:r>
        <w:t xml:space="preserve"> </w:t>
      </w:r>
      <w:r>
        <w:t xml:space="preserve">“Parties.”</w:t>
      </w:r>
    </w:p>
    <w:p>
      <w:r>
        <w:pict>
          <v:rect style="width:0;height:1.5pt" o:hralign="center" o:hrstd="t" o:hr="t"/>
        </w:pict>
      </w:r>
    </w:p>
    <w:bookmarkEnd w:id="21"/>
    <w:bookmarkStart w:id="22" w:name="background-and-purpose"/>
    <w:p>
      <w:pPr>
        <w:pStyle w:val="Heading2"/>
      </w:pPr>
      <w:r>
        <w:t xml:space="preserve">1. Background and Purpose</w:t>
      </w:r>
    </w:p>
    <w:p>
      <w:pPr>
        <w:pStyle w:val="FirstParagraph"/>
      </w:pPr>
      <w:r>
        <w:t xml:space="preserve">Customer operates a fleet of liquefied natural gas carrier vessels and wishes to engage Provider to supply lifecycle maintenance, technical support, remote monitoring, spare parts coordination, and performance advisory services for selected marine engines and auxiliary systems.</w:t>
      </w:r>
    </w:p>
    <w:p>
      <w:pPr>
        <w:pStyle w:val="BodyText"/>
      </w:pPr>
      <w:r>
        <w:t xml:space="preserve">Provider has expertise in marine power systems, propulsion support, digital monitoring, maintenance planning, and operational efficiency services.</w:t>
      </w:r>
    </w:p>
    <w:p>
      <w:pPr>
        <w:pStyle w:val="BodyText"/>
      </w:pPr>
      <w:r>
        <w:t xml:space="preserve">The purpose of this Agreement is to support safe, reliable, efficient, and lower-emission vessel operations during the Term.</w:t>
      </w:r>
    </w:p>
    <w:p>
      <w:r>
        <w:pict>
          <v:rect style="width:0;height:1.5pt" o:hralign="center" o:hrstd="t" o:hr="t"/>
        </w:pict>
      </w:r>
    </w:p>
    <w:bookmarkEnd w:id="22"/>
    <w:bookmarkStart w:id="23" w:name="covered-vessels-and-equipment"/>
    <w:p>
      <w:pPr>
        <w:pStyle w:val="Heading2"/>
      </w:pPr>
      <w:r>
        <w:t xml:space="preserve">2. Covered Vessels and Equipment</w:t>
      </w:r>
    </w:p>
    <w:p>
      <w:pPr>
        <w:pStyle w:val="FirstParagraph"/>
      </w:pPr>
      <w:r>
        <w:t xml:space="preserve">The Agreement applies to the vessels listed in</w:t>
      </w:r>
      <w:r>
        <w:t xml:space="preserve"> </w:t>
      </w:r>
      <w:r>
        <w:rPr>
          <w:b/>
          <w:bCs/>
        </w:rPr>
        <w:t xml:space="preserve">Schedule 1</w:t>
      </w:r>
      <w:r>
        <w:t xml:space="preserve"> </w:t>
      </w:r>
      <w:r>
        <w:t xml:space="preserve">and the equipment listed in</w:t>
      </w:r>
      <w:r>
        <w:t xml:space="preserve"> </w:t>
      </w:r>
      <w:r>
        <w:rPr>
          <w:b/>
          <w:bCs/>
        </w:rPr>
        <w:t xml:space="preserve">Schedule 2</w:t>
      </w:r>
      <w:r>
        <w:t xml:space="preserve">, including:</w:t>
      </w:r>
    </w:p>
    <w:p>
      <w:pPr>
        <w:pStyle w:val="Compact"/>
        <w:numPr>
          <w:ilvl w:val="0"/>
          <w:numId w:val="1001"/>
        </w:numPr>
      </w:pPr>
      <w:r>
        <w:t xml:space="preserve">main engines;</w:t>
      </w:r>
      <w:r>
        <w:br/>
      </w:r>
    </w:p>
    <w:p>
      <w:pPr>
        <w:pStyle w:val="Compact"/>
        <w:numPr>
          <w:ilvl w:val="0"/>
          <w:numId w:val="1001"/>
        </w:numPr>
      </w:pPr>
      <w:r>
        <w:t xml:space="preserve">auxiliary engines;</w:t>
      </w:r>
      <w:r>
        <w:br/>
      </w:r>
    </w:p>
    <w:p>
      <w:pPr>
        <w:pStyle w:val="Compact"/>
        <w:numPr>
          <w:ilvl w:val="0"/>
          <w:numId w:val="1001"/>
        </w:numPr>
      </w:pPr>
      <w:r>
        <w:t xml:space="preserve">propulsion control systems;</w:t>
      </w:r>
      <w:r>
        <w:br/>
      </w:r>
    </w:p>
    <w:p>
      <w:pPr>
        <w:pStyle w:val="Compact"/>
        <w:numPr>
          <w:ilvl w:val="0"/>
          <w:numId w:val="1001"/>
        </w:numPr>
      </w:pPr>
      <w:r>
        <w:t xml:space="preserve">power management systems;</w:t>
      </w:r>
      <w:r>
        <w:br/>
      </w:r>
    </w:p>
    <w:p>
      <w:pPr>
        <w:pStyle w:val="Compact"/>
        <w:numPr>
          <w:ilvl w:val="0"/>
          <w:numId w:val="1001"/>
        </w:numPr>
      </w:pPr>
      <w:r>
        <w:t xml:space="preserve">selected engine automation components; and</w:t>
      </w:r>
      <w:r>
        <w:br/>
      </w:r>
    </w:p>
    <w:p>
      <w:pPr>
        <w:pStyle w:val="Compact"/>
        <w:numPr>
          <w:ilvl w:val="0"/>
          <w:numId w:val="1001"/>
        </w:numPr>
      </w:pPr>
      <w:r>
        <w:t xml:space="preserve">related monitoring hardware and software.</w:t>
      </w:r>
    </w:p>
    <w:p>
      <w:pPr>
        <w:pStyle w:val="FirstParagraph"/>
      </w:pPr>
      <w:r>
        <w:t xml:space="preserve">Customer may add additional vessels or equipment by written change order signed by both Parties.</w:t>
      </w:r>
    </w:p>
    <w:p>
      <w:r>
        <w:pict>
          <v:rect style="width:0;height:1.5pt" o:hralign="center" o:hrstd="t" o:hr="t"/>
        </w:pict>
      </w:r>
    </w:p>
    <w:bookmarkEnd w:id="23"/>
    <w:bookmarkStart w:id="24" w:name="scope-of-services"/>
    <w:p>
      <w:pPr>
        <w:pStyle w:val="Heading2"/>
      </w:pPr>
      <w:r>
        <w:t xml:space="preserve">3. Scope of Services</w:t>
      </w:r>
    </w:p>
    <w:p>
      <w:pPr>
        <w:pStyle w:val="FirstParagraph"/>
      </w:pPr>
      <w:r>
        <w:t xml:space="preserve">Provider shall provide the following services:</w:t>
      </w:r>
    </w:p>
    <w:p>
      <w:pPr>
        <w:pStyle w:val="Compact"/>
        <w:numPr>
          <w:ilvl w:val="0"/>
          <w:numId w:val="1002"/>
        </w:numPr>
      </w:pPr>
      <w:r>
        <w:t xml:space="preserve">planned maintenance coordination;</w:t>
      </w:r>
      <w:r>
        <w:br/>
      </w:r>
    </w:p>
    <w:p>
      <w:pPr>
        <w:pStyle w:val="Compact"/>
        <w:numPr>
          <w:ilvl w:val="0"/>
          <w:numId w:val="1002"/>
        </w:numPr>
      </w:pPr>
      <w:r>
        <w:t xml:space="preserve">remote technical support;</w:t>
      </w:r>
      <w:r>
        <w:br/>
      </w:r>
    </w:p>
    <w:p>
      <w:pPr>
        <w:pStyle w:val="Compact"/>
        <w:numPr>
          <w:ilvl w:val="0"/>
          <w:numId w:val="1002"/>
        </w:numPr>
      </w:pPr>
      <w:r>
        <w:t xml:space="preserve">condition-based monitoring;</w:t>
      </w:r>
      <w:r>
        <w:br/>
      </w:r>
    </w:p>
    <w:p>
      <w:pPr>
        <w:pStyle w:val="Compact"/>
        <w:numPr>
          <w:ilvl w:val="0"/>
          <w:numId w:val="1002"/>
        </w:numPr>
      </w:pPr>
      <w:r>
        <w:t xml:space="preserve">spare parts planning and availability support;</w:t>
      </w:r>
      <w:r>
        <w:br/>
      </w:r>
    </w:p>
    <w:p>
      <w:pPr>
        <w:pStyle w:val="Compact"/>
        <w:numPr>
          <w:ilvl w:val="0"/>
          <w:numId w:val="1002"/>
        </w:numPr>
      </w:pPr>
      <w:r>
        <w:t xml:space="preserve">technical inspections during scheduled port calls;</w:t>
      </w:r>
      <w:r>
        <w:br/>
      </w:r>
    </w:p>
    <w:p>
      <w:pPr>
        <w:pStyle w:val="Compact"/>
        <w:numPr>
          <w:ilvl w:val="0"/>
          <w:numId w:val="1002"/>
        </w:numPr>
      </w:pPr>
      <w:r>
        <w:t xml:space="preserve">performance reporting;</w:t>
      </w:r>
      <w:r>
        <w:br/>
      </w:r>
    </w:p>
    <w:p>
      <w:pPr>
        <w:pStyle w:val="Compact"/>
        <w:numPr>
          <w:ilvl w:val="0"/>
          <w:numId w:val="1002"/>
        </w:numPr>
      </w:pPr>
      <w:r>
        <w:t xml:space="preserve">fuel-efficiency recommendations;</w:t>
      </w:r>
      <w:r>
        <w:br/>
      </w:r>
    </w:p>
    <w:p>
      <w:pPr>
        <w:pStyle w:val="Compact"/>
        <w:numPr>
          <w:ilvl w:val="0"/>
          <w:numId w:val="1002"/>
        </w:numPr>
      </w:pPr>
      <w:r>
        <w:t xml:space="preserve">emissions-performance advisory support; and</w:t>
      </w:r>
      <w:r>
        <w:br/>
      </w:r>
    </w:p>
    <w:p>
      <w:pPr>
        <w:pStyle w:val="Compact"/>
        <w:numPr>
          <w:ilvl w:val="0"/>
          <w:numId w:val="1002"/>
        </w:numPr>
      </w:pPr>
      <w:r>
        <w:t xml:space="preserve">corrective maintenance support where agreed in writing.</w:t>
      </w:r>
    </w:p>
    <w:p>
      <w:pPr>
        <w:pStyle w:val="FirstParagraph"/>
      </w:pPr>
      <w:r>
        <w:t xml:space="preserve">Provider shall perform the Services in a professional and workmanlike manner using personnel with appropriate technical training and experience.</w:t>
      </w:r>
    </w:p>
    <w:p>
      <w:r>
        <w:pict>
          <v:rect style="width:0;height:1.5pt" o:hralign="center" o:hrstd="t" o:hr="t"/>
        </w:pict>
      </w:r>
    </w:p>
    <w:bookmarkEnd w:id="24"/>
    <w:bookmarkStart w:id="25" w:name="service-levels"/>
    <w:p>
      <w:pPr>
        <w:pStyle w:val="Heading2"/>
      </w:pPr>
      <w:r>
        <w:t xml:space="preserve">4. Service Levels</w:t>
      </w:r>
    </w:p>
    <w:p>
      <w:pPr>
        <w:pStyle w:val="FirstParagraph"/>
      </w:pPr>
      <w:r>
        <w:t xml:space="preserve">Provider shall use commercially reasonable efforts to meet the following service levels:</w:t>
      </w:r>
    </w:p>
    <w:p>
      <w:pPr>
        <w:pStyle w:val="Compact"/>
        <w:numPr>
          <w:ilvl w:val="0"/>
          <w:numId w:val="1003"/>
        </w:numPr>
      </w:pPr>
      <w:r>
        <w:t xml:space="preserve">acknowledge critical support requests within</w:t>
      </w:r>
      <w:r>
        <w:t xml:space="preserve"> </w:t>
      </w:r>
      <w:r>
        <w:rPr>
          <w:b/>
          <w:bCs/>
        </w:rPr>
        <w:t xml:space="preserve">four hours</w:t>
      </w:r>
      <w:r>
        <w:t xml:space="preserve">;</w:t>
      </w:r>
      <w:r>
        <w:br/>
      </w:r>
    </w:p>
    <w:p>
      <w:pPr>
        <w:pStyle w:val="Compact"/>
        <w:numPr>
          <w:ilvl w:val="0"/>
          <w:numId w:val="1003"/>
        </w:numPr>
      </w:pPr>
      <w:r>
        <w:t xml:space="preserve">provide a preliminary technical response to critical support requests within</w:t>
      </w:r>
      <w:r>
        <w:t xml:space="preserve"> </w:t>
      </w:r>
      <w:r>
        <w:rPr>
          <w:b/>
          <w:bCs/>
        </w:rPr>
        <w:t xml:space="preserve">twenty-four hours</w:t>
      </w:r>
      <w:r>
        <w:t xml:space="preserve">;</w:t>
      </w:r>
      <w:r>
        <w:br/>
      </w:r>
    </w:p>
    <w:p>
      <w:pPr>
        <w:pStyle w:val="Compact"/>
        <w:numPr>
          <w:ilvl w:val="0"/>
          <w:numId w:val="1003"/>
        </w:numPr>
      </w:pPr>
      <w:r>
        <w:t xml:space="preserve">deliver quarterly performance reports within</w:t>
      </w:r>
      <w:r>
        <w:t xml:space="preserve"> </w:t>
      </w:r>
      <w:r>
        <w:rPr>
          <w:b/>
          <w:bCs/>
        </w:rPr>
        <w:t xml:space="preserve">fifteen business days</w:t>
      </w:r>
      <w:r>
        <w:t xml:space="preserve"> </w:t>
      </w:r>
      <w:r>
        <w:t xml:space="preserve">after each calendar quarter; and</w:t>
      </w:r>
      <w:r>
        <w:br/>
      </w:r>
    </w:p>
    <w:p>
      <w:pPr>
        <w:pStyle w:val="Compact"/>
        <w:numPr>
          <w:ilvl w:val="0"/>
          <w:numId w:val="1003"/>
        </w:numPr>
      </w:pPr>
      <w:r>
        <w:t xml:space="preserve">provide maintenance planning recommendations at least</w:t>
      </w:r>
      <w:r>
        <w:t xml:space="preserve"> </w:t>
      </w:r>
      <w:r>
        <w:rPr>
          <w:b/>
          <w:bCs/>
        </w:rPr>
        <w:t xml:space="preserve">thirty days</w:t>
      </w:r>
      <w:r>
        <w:t xml:space="preserve"> </w:t>
      </w:r>
      <w:r>
        <w:t xml:space="preserve">before scheduled dry-docking or major overhaul events, where Customer has provided the required operating data.</w:t>
      </w:r>
    </w:p>
    <w:p>
      <w:pPr>
        <w:pStyle w:val="FirstParagraph"/>
      </w:pPr>
      <w:r>
        <w:t xml:space="preserve">Provider does not guarantee uninterrupted vessel operation, fuel savings, emissions reductions, or avoidance of all unplanned downtime.</w:t>
      </w:r>
    </w:p>
    <w:p>
      <w:r>
        <w:pict>
          <v:rect style="width:0;height:1.5pt" o:hralign="center" o:hrstd="t" o:hr="t"/>
        </w:pict>
      </w:r>
    </w:p>
    <w:bookmarkEnd w:id="25"/>
    <w:bookmarkStart w:id="26" w:name="customer-responsibilities"/>
    <w:p>
      <w:pPr>
        <w:pStyle w:val="Heading2"/>
      </w:pPr>
      <w:r>
        <w:t xml:space="preserve">5. Customer Responsibilities</w:t>
      </w:r>
    </w:p>
    <w:p>
      <w:pPr>
        <w:pStyle w:val="FirstParagraph"/>
      </w:pPr>
      <w:r>
        <w:t xml:space="preserve">Customer shall:</w:t>
      </w:r>
    </w:p>
    <w:p>
      <w:pPr>
        <w:pStyle w:val="Compact"/>
        <w:numPr>
          <w:ilvl w:val="0"/>
          <w:numId w:val="1004"/>
        </w:numPr>
      </w:pPr>
      <w:r>
        <w:t xml:space="preserve">provide accurate vessel operating data reasonably required for the Services;</w:t>
      </w:r>
      <w:r>
        <w:br/>
      </w:r>
    </w:p>
    <w:p>
      <w:pPr>
        <w:pStyle w:val="Compact"/>
        <w:numPr>
          <w:ilvl w:val="0"/>
          <w:numId w:val="1004"/>
        </w:numPr>
      </w:pPr>
      <w:r>
        <w:t xml:space="preserve">ensure Provider personnel are granted safe and timely access to vessels where onboard work is required;</w:t>
      </w:r>
      <w:r>
        <w:br/>
      </w:r>
    </w:p>
    <w:p>
      <w:pPr>
        <w:pStyle w:val="Compact"/>
        <w:numPr>
          <w:ilvl w:val="0"/>
          <w:numId w:val="1004"/>
        </w:numPr>
      </w:pPr>
      <w:r>
        <w:t xml:space="preserve">maintain vessel equipment in accordance with manufacturer instructions and applicable law;</w:t>
      </w:r>
      <w:r>
        <w:br/>
      </w:r>
    </w:p>
    <w:p>
      <w:pPr>
        <w:pStyle w:val="Compact"/>
        <w:numPr>
          <w:ilvl w:val="0"/>
          <w:numId w:val="1004"/>
        </w:numPr>
      </w:pPr>
      <w:r>
        <w:t xml:space="preserve">promptly notify Provider of material equipment faults, failures, or abnormal operating conditions; and</w:t>
      </w:r>
      <w:r>
        <w:br/>
      </w:r>
    </w:p>
    <w:p>
      <w:pPr>
        <w:pStyle w:val="Compact"/>
        <w:numPr>
          <w:ilvl w:val="0"/>
          <w:numId w:val="1004"/>
        </w:numPr>
      </w:pPr>
      <w:r>
        <w:t xml:space="preserve">ensure that vessel crews cooperate reasonably with Provider’s technical personnel.</w:t>
      </w:r>
    </w:p>
    <w:p>
      <w:pPr>
        <w:pStyle w:val="FirstParagraph"/>
      </w:pPr>
      <w:r>
        <w:t xml:space="preserve">Provider shall not be liable for delays or failures caused by Customer’s failure to comply with this Section.</w:t>
      </w:r>
    </w:p>
    <w:p>
      <w:r>
        <w:pict>
          <v:rect style="width:0;height:1.5pt" o:hralign="center" o:hrstd="t" o:hr="t"/>
        </w:pict>
      </w:r>
    </w:p>
    <w:bookmarkEnd w:id="26"/>
    <w:bookmarkStart w:id="27" w:name="remote-monitoring-and-operational-data"/>
    <w:p>
      <w:pPr>
        <w:pStyle w:val="Heading2"/>
      </w:pPr>
      <w:r>
        <w:t xml:space="preserve">6. Remote Monitoring and Operational Data</w:t>
      </w:r>
    </w:p>
    <w:p>
      <w:pPr>
        <w:pStyle w:val="FirstParagraph"/>
      </w:pPr>
      <w:r>
        <w:t xml:space="preserve">Customer authorizes Provider to collect and process operational data from covered vessels, including engine performance data, alarm logs, fuel consumption data, emissions-related data, maintenance history, and equipment condition data (</w:t>
      </w:r>
      <w:r>
        <w:t xml:space="preserve">“Operational Data”</w:t>
      </w:r>
      <w:r>
        <w:t xml:space="preserve">).</w:t>
      </w:r>
    </w:p>
    <w:p>
      <w:pPr>
        <w:pStyle w:val="BodyText"/>
      </w:pPr>
      <w:r>
        <w:t xml:space="preserve">Provider may use Operational Data to:</w:t>
      </w:r>
    </w:p>
    <w:p>
      <w:pPr>
        <w:pStyle w:val="Compact"/>
        <w:numPr>
          <w:ilvl w:val="0"/>
          <w:numId w:val="1005"/>
        </w:numPr>
      </w:pPr>
      <w:r>
        <w:t xml:space="preserve">provide the Services;</w:t>
      </w:r>
      <w:r>
        <w:br/>
      </w:r>
    </w:p>
    <w:p>
      <w:pPr>
        <w:pStyle w:val="Compact"/>
        <w:numPr>
          <w:ilvl w:val="0"/>
          <w:numId w:val="1005"/>
        </w:numPr>
      </w:pPr>
      <w:r>
        <w:t xml:space="preserve">troubleshoot technical issues;</w:t>
      </w:r>
      <w:r>
        <w:br/>
      </w:r>
    </w:p>
    <w:p>
      <w:pPr>
        <w:pStyle w:val="Compact"/>
        <w:numPr>
          <w:ilvl w:val="0"/>
          <w:numId w:val="1005"/>
        </w:numPr>
      </w:pPr>
      <w:r>
        <w:t xml:space="preserve">improve maintenance planning;</w:t>
      </w:r>
      <w:r>
        <w:br/>
      </w:r>
    </w:p>
    <w:p>
      <w:pPr>
        <w:pStyle w:val="Compact"/>
        <w:numPr>
          <w:ilvl w:val="0"/>
          <w:numId w:val="1005"/>
        </w:numPr>
      </w:pPr>
      <w:r>
        <w:t xml:space="preserve">prepare performance reports;</w:t>
      </w:r>
      <w:r>
        <w:br/>
      </w:r>
    </w:p>
    <w:p>
      <w:pPr>
        <w:pStyle w:val="Compact"/>
        <w:numPr>
          <w:ilvl w:val="0"/>
          <w:numId w:val="1005"/>
        </w:numPr>
      </w:pPr>
      <w:r>
        <w:t xml:space="preserve">benchmark equipment performance across Provider’s customer base; and</w:t>
      </w:r>
      <w:r>
        <w:br/>
      </w:r>
    </w:p>
    <w:p>
      <w:pPr>
        <w:pStyle w:val="Compact"/>
        <w:numPr>
          <w:ilvl w:val="0"/>
          <w:numId w:val="1005"/>
        </w:numPr>
      </w:pPr>
      <w:r>
        <w:t xml:space="preserve">improve Provider’s products, analytics, algorithms, and service offerings.</w:t>
      </w:r>
    </w:p>
    <w:p>
      <w:pPr>
        <w:pStyle w:val="FirstParagraph"/>
      </w:pPr>
      <w:r>
        <w:t xml:space="preserve">Provider may retain Operational Data for as long as it considers commercially useful.</w:t>
      </w:r>
    </w:p>
    <w:p>
      <w:r>
        <w:pict>
          <v:rect style="width:0;height:1.5pt" o:hralign="center" o:hrstd="t" o:hr="t"/>
        </w:pict>
      </w:r>
    </w:p>
    <w:bookmarkEnd w:id="27"/>
    <w:bookmarkStart w:id="28" w:name="data-security"/>
    <w:p>
      <w:pPr>
        <w:pStyle w:val="Heading2"/>
      </w:pPr>
      <w:r>
        <w:t xml:space="preserve">7. Data Security</w:t>
      </w:r>
    </w:p>
    <w:p>
      <w:pPr>
        <w:pStyle w:val="FirstParagraph"/>
      </w:pPr>
      <w:r>
        <w:t xml:space="preserve">Provider shall maintain reasonable technical and organizational measures designed to protect Operational Data from unauthorized access, loss, or misuse.</w:t>
      </w:r>
    </w:p>
    <w:p>
      <w:pPr>
        <w:pStyle w:val="BodyText"/>
      </w:pPr>
      <w:r>
        <w:t xml:space="preserve">Provider shall notify Customer of a confirmed security incident affecting Operational Data without undue delay.</w:t>
      </w:r>
    </w:p>
    <w:p>
      <w:pPr>
        <w:pStyle w:val="BodyText"/>
      </w:pPr>
      <w:r>
        <w:t xml:space="preserve">Provider may use subcontractors and cloud service providers to process Operational Data, provided Provider remains responsible for their performance.</w:t>
      </w:r>
    </w:p>
    <w:p>
      <w:r>
        <w:pict>
          <v:rect style="width:0;height:1.5pt" o:hralign="center" o:hrstd="t" o:hr="t"/>
        </w:pict>
      </w:r>
    </w:p>
    <w:bookmarkEnd w:id="28"/>
    <w:bookmarkStart w:id="29" w:name="artificial-intelligence-and-analytics"/>
    <w:p>
      <w:pPr>
        <w:pStyle w:val="Heading2"/>
      </w:pPr>
      <w:r>
        <w:t xml:space="preserve">8. Artificial Intelligence and Analytics</w:t>
      </w:r>
    </w:p>
    <w:p>
      <w:pPr>
        <w:pStyle w:val="FirstParagraph"/>
      </w:pPr>
      <w:r>
        <w:t xml:space="preserve">Provider may use automated analytics, machine learning tools, and artificial intelligence systems to analyze Operational Data and generate maintenance recommendations, performance insights, and efficiency reports.</w:t>
      </w:r>
    </w:p>
    <w:p>
      <w:pPr>
        <w:pStyle w:val="BodyText"/>
      </w:pPr>
      <w:r>
        <w:t xml:space="preserve">Customer acknowledges that such outputs are advisory only and that final operational decisions remain the responsibility of Customer and the vessel master.</w:t>
      </w:r>
    </w:p>
    <w:p>
      <w:pPr>
        <w:pStyle w:val="BodyText"/>
      </w:pPr>
      <w:r>
        <w:t xml:space="preserve">Provider may use Operational Data to train or improve general analytics models, provided that Provider does not intentionally disclose Customer’s vessel name or Customer identity in external-facing materials.</w:t>
      </w:r>
    </w:p>
    <w:p>
      <w:r>
        <w:pict>
          <v:rect style="width:0;height:1.5pt" o:hralign="center" o:hrstd="t" o:hr="t"/>
        </w:pict>
      </w:r>
    </w:p>
    <w:bookmarkEnd w:id="29"/>
    <w:bookmarkStart w:id="30" w:name="spare-parts"/>
    <w:p>
      <w:pPr>
        <w:pStyle w:val="Heading2"/>
      </w:pPr>
      <w:r>
        <w:t xml:space="preserve">9. Spare Parts</w:t>
      </w:r>
    </w:p>
    <w:p>
      <w:pPr>
        <w:pStyle w:val="FirstParagraph"/>
      </w:pPr>
      <w:r>
        <w:t xml:space="preserve">Provider shall assist Customer with spare parts planning and procurement for covered equipment.</w:t>
      </w:r>
    </w:p>
    <w:p>
      <w:pPr>
        <w:pStyle w:val="BodyText"/>
      </w:pPr>
      <w:r>
        <w:t xml:space="preserve">Unless expressly stated in an accepted purchase order, delivery dates for spare parts are estimates only.</w:t>
      </w:r>
    </w:p>
    <w:p>
      <w:pPr>
        <w:pStyle w:val="BodyText"/>
      </w:pPr>
      <w:r>
        <w:t xml:space="preserve">Provider shall not be responsible for delay caused by customs procedures, port restrictions, supplier shortages, export controls, sanctions, force majeure events, or transport disruption.</w:t>
      </w:r>
    </w:p>
    <w:p>
      <w:pPr>
        <w:pStyle w:val="BodyText"/>
      </w:pPr>
      <w:r>
        <w:t xml:space="preserve">Title and risk of loss for spare parts shall pass to Customer upon delivery to the carrier.</w:t>
      </w:r>
    </w:p>
    <w:p>
      <w:r>
        <w:pict>
          <v:rect style="width:0;height:1.5pt" o:hralign="center" o:hrstd="t" o:hr="t"/>
        </w:pict>
      </w:r>
    </w:p>
    <w:bookmarkEnd w:id="30"/>
    <w:bookmarkStart w:id="31" w:name="fees-and-payment"/>
    <w:p>
      <w:pPr>
        <w:pStyle w:val="Heading2"/>
      </w:pPr>
      <w:r>
        <w:t xml:space="preserve">10. Fees and Payment</w:t>
      </w:r>
    </w:p>
    <w:p>
      <w:pPr>
        <w:pStyle w:val="FirstParagraph"/>
      </w:pPr>
      <w:r>
        <w:t xml:space="preserve">Customer shall pay the annual lifecycle services fee set out in</w:t>
      </w:r>
      <w:r>
        <w:t xml:space="preserve"> </w:t>
      </w:r>
      <w:r>
        <w:rPr>
          <w:b/>
          <w:bCs/>
        </w:rPr>
        <w:t xml:space="preserve">Schedule 3</w:t>
      </w:r>
      <w:r>
        <w:t xml:space="preserve">.</w:t>
      </w:r>
    </w:p>
    <w:p>
      <w:pPr>
        <w:pStyle w:val="BodyText"/>
      </w:pPr>
      <w:r>
        <w:t xml:space="preserve">Fees are payable annually in advance within</w:t>
      </w:r>
      <w:r>
        <w:t xml:space="preserve"> </w:t>
      </w:r>
      <w:r>
        <w:rPr>
          <w:b/>
          <w:bCs/>
        </w:rPr>
        <w:t xml:space="preserve">thirty days</w:t>
      </w:r>
      <w:r>
        <w:t xml:space="preserve"> </w:t>
      </w:r>
      <w:r>
        <w:t xml:space="preserve">of invoice date.</w:t>
      </w:r>
    </w:p>
    <w:p>
      <w:pPr>
        <w:pStyle w:val="BodyText"/>
      </w:pPr>
      <w:r>
        <w:t xml:space="preserve">Additional onboard services, emergency call-outs, spare parts, travel, lodging, and third-party costs are not included unless expressly stated in Schedule 3.</w:t>
      </w:r>
    </w:p>
    <w:p>
      <w:pPr>
        <w:pStyle w:val="BodyText"/>
      </w:pPr>
      <w:r>
        <w:t xml:space="preserve">Late payments shall accrue interest at</w:t>
      </w:r>
      <w:r>
        <w:t xml:space="preserve"> </w:t>
      </w:r>
      <w:r>
        <w:rPr>
          <w:b/>
          <w:bCs/>
        </w:rPr>
        <w:t xml:space="preserve">1.5% per month</w:t>
      </w:r>
      <w:r>
        <w:t xml:space="preserve"> </w:t>
      </w:r>
      <w:r>
        <w:t xml:space="preserve">or the maximum amount permitted by applicable law, whichever is lower.</w:t>
      </w:r>
    </w:p>
    <w:p>
      <w:r>
        <w:pict>
          <v:rect style="width:0;height:1.5pt" o:hralign="center" o:hrstd="t" o:hr="t"/>
        </w:pict>
      </w:r>
    </w:p>
    <w:bookmarkEnd w:id="31"/>
    <w:bookmarkStart w:id="32" w:name="term"/>
    <w:p>
      <w:pPr>
        <w:pStyle w:val="Heading2"/>
      </w:pPr>
      <w:r>
        <w:t xml:space="preserve">11. Term</w:t>
      </w:r>
    </w:p>
    <w:p>
      <w:pPr>
        <w:pStyle w:val="FirstParagraph"/>
      </w:pPr>
      <w:r>
        <w:t xml:space="preserve">The Agreement begins on the Effective Date and continues for</w:t>
      </w:r>
      <w:r>
        <w:t xml:space="preserve"> </w:t>
      </w:r>
      <w:r>
        <w:rPr>
          <w:b/>
          <w:bCs/>
        </w:rPr>
        <w:t xml:space="preserve">five years</w:t>
      </w:r>
      <w:r>
        <w:t xml:space="preserve"> </w:t>
      </w:r>
      <w:r>
        <w:t xml:space="preserve">unless terminated earlier in accordance with this Agreement.</w:t>
      </w:r>
    </w:p>
    <w:p>
      <w:pPr>
        <w:pStyle w:val="BodyText"/>
      </w:pPr>
      <w:r>
        <w:t xml:space="preserve">The Agreement shall automatically renew for successive one-year periods unless either Party gives written notice of non-renewal at least</w:t>
      </w:r>
      <w:r>
        <w:t xml:space="preserve"> </w:t>
      </w:r>
      <w:r>
        <w:rPr>
          <w:b/>
          <w:bCs/>
        </w:rPr>
        <w:t xml:space="preserve">ninety days</w:t>
      </w:r>
      <w:r>
        <w:t xml:space="preserve"> </w:t>
      </w:r>
      <w:r>
        <w:t xml:space="preserve">before the end of the then-current term.</w:t>
      </w:r>
    </w:p>
    <w:p>
      <w:r>
        <w:pict>
          <v:rect style="width:0;height:1.5pt" o:hralign="center" o:hrstd="t" o:hr="t"/>
        </w:pict>
      </w:r>
    </w:p>
    <w:bookmarkEnd w:id="32"/>
    <w:bookmarkStart w:id="33" w:name="termination"/>
    <w:p>
      <w:pPr>
        <w:pStyle w:val="Heading2"/>
      </w:pPr>
      <w:r>
        <w:t xml:space="preserve">12. Termination</w:t>
      </w:r>
    </w:p>
    <w:p>
      <w:pPr>
        <w:pStyle w:val="FirstParagraph"/>
      </w:pPr>
      <w:r>
        <w:t xml:space="preserve">Either Party may terminate this Agreement if the other Party materially breaches the Agreement and fails to cure the breach within</w:t>
      </w:r>
      <w:r>
        <w:t xml:space="preserve"> </w:t>
      </w:r>
      <w:r>
        <w:rPr>
          <w:b/>
          <w:bCs/>
        </w:rPr>
        <w:t xml:space="preserve">thirty days</w:t>
      </w:r>
      <w:r>
        <w:t xml:space="preserve"> </w:t>
      </w:r>
      <w:r>
        <w:t xml:space="preserve">after receiving written notice.</w:t>
      </w:r>
    </w:p>
    <w:p>
      <w:pPr>
        <w:pStyle w:val="BodyText"/>
      </w:pPr>
      <w:r>
        <w:t xml:space="preserve">Provider may suspend Services or terminate this Agreement upon written notice if Customer fails to pay undisputed amounts when due.</w:t>
      </w:r>
    </w:p>
    <w:p>
      <w:pPr>
        <w:pStyle w:val="BodyText"/>
      </w:pPr>
      <w:r>
        <w:t xml:space="preserve">Customer may terminate the Agreement for convenience upon</w:t>
      </w:r>
      <w:r>
        <w:t xml:space="preserve"> </w:t>
      </w:r>
      <w:r>
        <w:rPr>
          <w:b/>
          <w:bCs/>
        </w:rPr>
        <w:t xml:space="preserve">one hundred eighty days’</w:t>
      </w:r>
      <w:r>
        <w:t xml:space="preserve"> </w:t>
      </w:r>
      <w:r>
        <w:t xml:space="preserve">written notice, provided that Customer pays all fees due for the remainder of the then-current annual period.</w:t>
      </w:r>
    </w:p>
    <w:p>
      <w:r>
        <w:pict>
          <v:rect style="width:0;height:1.5pt" o:hralign="center" o:hrstd="t" o:hr="t"/>
        </w:pict>
      </w:r>
    </w:p>
    <w:bookmarkEnd w:id="33"/>
    <w:bookmarkStart w:id="34" w:name="warranties"/>
    <w:p>
      <w:pPr>
        <w:pStyle w:val="Heading2"/>
      </w:pPr>
      <w:r>
        <w:t xml:space="preserve">13. Warranties</w:t>
      </w:r>
    </w:p>
    <w:p>
      <w:pPr>
        <w:pStyle w:val="FirstParagraph"/>
      </w:pPr>
      <w:r>
        <w:t xml:space="preserve">Provider warrants that the Services will be performed in a professional and workmanlike manner.</w:t>
      </w:r>
    </w:p>
    <w:p>
      <w:pPr>
        <w:pStyle w:val="BodyText"/>
      </w:pPr>
      <w:r>
        <w:t xml:space="preserve">Except as expressly stated in this Agreement, Provider disclaims all warranties, including implied warranties of merchantability, fitness for a particular purpose, non-infringement, uninterrupted operation, fuel savings, emissions reduction, and regulatory compliance.</w:t>
      </w:r>
    </w:p>
    <w:p>
      <w:r>
        <w:pict>
          <v:rect style="width:0;height:1.5pt" o:hralign="center" o:hrstd="t" o:hr="t"/>
        </w:pict>
      </w:r>
    </w:p>
    <w:bookmarkEnd w:id="34"/>
    <w:bookmarkStart w:id="35" w:name="compliance"/>
    <w:p>
      <w:pPr>
        <w:pStyle w:val="Heading2"/>
      </w:pPr>
      <w:r>
        <w:t xml:space="preserve">14. Compliance</w:t>
      </w:r>
    </w:p>
    <w:p>
      <w:pPr>
        <w:pStyle w:val="FirstParagraph"/>
      </w:pPr>
      <w:r>
        <w:t xml:space="preserve">Each Party shall comply with applicable laws, including sanctions, export controls, anti-bribery laws, maritime safety regulations, and environmental regulations.</w:t>
      </w:r>
    </w:p>
    <w:p>
      <w:pPr>
        <w:pStyle w:val="BodyText"/>
      </w:pPr>
      <w:r>
        <w:t xml:space="preserve">Customer is responsible for vessel operation, regulatory compliance, voyage decisions, crew actions, and instructions issued to the vessel master.</w:t>
      </w:r>
    </w:p>
    <w:p>
      <w:pPr>
        <w:pStyle w:val="BodyText"/>
      </w:pPr>
      <w:r>
        <w:t xml:space="preserve">Provider shall not be responsible for determining whether a vessel may lawfully enter a port, complete a voyage, carry a cargo, or satisfy a particular emissions regime.</w:t>
      </w:r>
    </w:p>
    <w:p>
      <w:r>
        <w:pict>
          <v:rect style="width:0;height:1.5pt" o:hralign="center" o:hrstd="t" o:hr="t"/>
        </w:pict>
      </w:r>
    </w:p>
    <w:bookmarkEnd w:id="35"/>
    <w:bookmarkStart w:id="36" w:name="limitation-of-liability"/>
    <w:p>
      <w:pPr>
        <w:pStyle w:val="Heading2"/>
      </w:pPr>
      <w:r>
        <w:t xml:space="preserve">15. Limitation of Liability</w:t>
      </w:r>
    </w:p>
    <w:p>
      <w:pPr>
        <w:pStyle w:val="FirstParagraph"/>
      </w:pPr>
      <w:r>
        <w:t xml:space="preserve">Provider’s total aggregate liability arising out of or relating to this Agreement shall not exceed the fees paid by Customer under this Agreement during the twelve months preceding the event giving rise to the claim.</w:t>
      </w:r>
    </w:p>
    <w:p>
      <w:pPr>
        <w:pStyle w:val="BodyText"/>
      </w:pPr>
      <w:r>
        <w:t xml:space="preserve">Provider shall not be liable for loss of profit, loss of revenue, loss of use, loss of charter hire, loss of cargo, vessel delay, off-hire time, business interruption, or any indirect, incidental, special, punitive, or consequential damages.</w:t>
      </w:r>
    </w:p>
    <w:p>
      <w:pPr>
        <w:pStyle w:val="BodyText"/>
      </w:pPr>
      <w:r>
        <w:t xml:space="preserve">The limitations in this Section apply regardless of the theory of liability and even if a remedy fails of its essential purpose.</w:t>
      </w:r>
    </w:p>
    <w:p>
      <w:r>
        <w:pict>
          <v:rect style="width:0;height:1.5pt" o:hralign="center" o:hrstd="t" o:hr="t"/>
        </w:pict>
      </w:r>
    </w:p>
    <w:bookmarkEnd w:id="36"/>
    <w:bookmarkStart w:id="37" w:name="indemnity"/>
    <w:p>
      <w:pPr>
        <w:pStyle w:val="Heading2"/>
      </w:pPr>
      <w:r>
        <w:t xml:space="preserve">16. Indemnity</w:t>
      </w:r>
    </w:p>
    <w:p>
      <w:pPr>
        <w:pStyle w:val="FirstParagraph"/>
      </w:pPr>
      <w:r>
        <w:t xml:space="preserve">Customer shall indemnify Provider against third-party claims arising from vessel operation, crew negligence, unsafe access conditions, cargo claims, voyage instructions, or Customer’s failure to comply with applicable law.</w:t>
      </w:r>
    </w:p>
    <w:p>
      <w:pPr>
        <w:pStyle w:val="BodyText"/>
      </w:pPr>
      <w:r>
        <w:t xml:space="preserve">Provider shall indemnify Customer against third-party claims alleging that Provider’s Services, as provided by Provider and used in accordance with this Agreement, infringe a third party’s intellectual property rights.</w:t>
      </w:r>
    </w:p>
    <w:p>
      <w:r>
        <w:pict>
          <v:rect style="width:0;height:1.5pt" o:hralign="center" o:hrstd="t" o:hr="t"/>
        </w:pict>
      </w:r>
    </w:p>
    <w:bookmarkEnd w:id="37"/>
    <w:bookmarkStart w:id="38" w:name="confidentiality"/>
    <w:p>
      <w:pPr>
        <w:pStyle w:val="Heading2"/>
      </w:pPr>
      <w:r>
        <w:t xml:space="preserve">17. Confidentiality</w:t>
      </w:r>
    </w:p>
    <w:p>
      <w:pPr>
        <w:pStyle w:val="FirstParagraph"/>
      </w:pPr>
      <w:r>
        <w:t xml:space="preserve">Each Party shall protect the other Party’s confidential information using reasonable care and shall use such information only for purposes of performing this Agreement.</w:t>
      </w:r>
    </w:p>
    <w:p>
      <w:pPr>
        <w:pStyle w:val="BodyText"/>
      </w:pPr>
      <w:r>
        <w:t xml:space="preserve">Confidential information does not include information that is publicly available, already known without restriction, independently developed, or lawfully received from a third party.</w:t>
      </w:r>
    </w:p>
    <w:p>
      <w:r>
        <w:pict>
          <v:rect style="width:0;height:1.5pt" o:hralign="center" o:hrstd="t" o:hr="t"/>
        </w:pict>
      </w:r>
    </w:p>
    <w:bookmarkEnd w:id="38"/>
    <w:bookmarkStart w:id="39" w:name="publicity"/>
    <w:p>
      <w:pPr>
        <w:pStyle w:val="Heading2"/>
      </w:pPr>
      <w:r>
        <w:t xml:space="preserve">18. Publicity</w:t>
      </w:r>
    </w:p>
    <w:p>
      <w:pPr>
        <w:pStyle w:val="FirstParagraph"/>
      </w:pPr>
      <w:r>
        <w:t xml:space="preserve">Provider may identify Customer as a customer in marketing materials, investor presentations, case studies, and website listings unless Customer objects in writing.</w:t>
      </w:r>
    </w:p>
    <w:p>
      <w:pPr>
        <w:pStyle w:val="BodyText"/>
      </w:pPr>
      <w:r>
        <w:t xml:space="preserve">Provider may describe the general nature of the Services and any operational improvements achieved during the Term, provided that Provider does not disclose Customer’s confidential information.</w:t>
      </w:r>
    </w:p>
    <w:p>
      <w:r>
        <w:pict>
          <v:rect style="width:0;height:1.5pt" o:hralign="center" o:hrstd="t" o:hr="t"/>
        </w:pict>
      </w:r>
    </w:p>
    <w:bookmarkEnd w:id="39"/>
    <w:bookmarkStart w:id="40" w:name="governing-law-and-dispute-resolution"/>
    <w:p>
      <w:pPr>
        <w:pStyle w:val="Heading2"/>
      </w:pPr>
      <w:r>
        <w:t xml:space="preserve">19. Governing Law and Dispute Resolution</w:t>
      </w:r>
    </w:p>
    <w:p>
      <w:pPr>
        <w:pStyle w:val="FirstParagraph"/>
      </w:pPr>
      <w:r>
        <w:t xml:space="preserve">This Agreement shall be governed by the laws of Finland, excluding conflict-of-law rules.</w:t>
      </w:r>
    </w:p>
    <w:p>
      <w:pPr>
        <w:pStyle w:val="BodyText"/>
      </w:pPr>
      <w:r>
        <w:t xml:space="preserve">Any dispute arising out of or relating to this Agreement shall be finally resolved by arbitration in Helsinki, Finland, under the rules of the Finland Chamber of Commerce. The language of arbitration shall be English.</w:t>
      </w:r>
    </w:p>
    <w:p>
      <w:r>
        <w:pict>
          <v:rect style="width:0;height:1.5pt" o:hralign="center" o:hrstd="t" o:hr="t"/>
        </w:pict>
      </w:r>
    </w:p>
    <w:bookmarkEnd w:id="40"/>
    <w:bookmarkStart w:id="41" w:name="entire-agreement"/>
    <w:p>
      <w:pPr>
        <w:pStyle w:val="Heading2"/>
      </w:pPr>
      <w:r>
        <w:t xml:space="preserve">20. Entire Agreement</w:t>
      </w:r>
    </w:p>
    <w:p>
      <w:pPr>
        <w:pStyle w:val="FirstParagraph"/>
      </w:pPr>
      <w:r>
        <w:t xml:space="preserve">This Agreement, including its schedules, constitutes the entire agreement between the Parties regarding the Services and supersedes all prior discussions, proposals, and understandings.</w:t>
      </w:r>
    </w:p>
    <w:p>
      <w:r>
        <w:pict>
          <v:rect style="width:0;height:1.5pt" o:hralign="center" o:hrstd="t" o:hr="t"/>
        </w:pict>
      </w:r>
    </w:p>
    <w:bookmarkEnd w:id="41"/>
    <w:bookmarkStart w:id="42" w:name="schedule-1-covered-vessels"/>
    <w:p>
      <w:pPr>
        <w:pStyle w:val="Heading2"/>
      </w:pPr>
      <w:r>
        <w:t xml:space="preserve">Schedule 1 — Covered Vessels</w:t>
      </w:r>
    </w:p>
    <w:p>
      <w:pPr>
        <w:pStyle w:val="Compact"/>
        <w:numPr>
          <w:ilvl w:val="0"/>
          <w:numId w:val="1006"/>
        </w:numPr>
      </w:pPr>
      <w:r>
        <w:rPr>
          <w:b/>
          <w:bCs/>
        </w:rPr>
        <w:t xml:space="preserve">BH Aurora</w:t>
      </w:r>
      <w:r>
        <w:br/>
      </w:r>
    </w:p>
    <w:p>
      <w:pPr>
        <w:pStyle w:val="Compact"/>
        <w:numPr>
          <w:ilvl w:val="0"/>
          <w:numId w:val="1006"/>
        </w:numPr>
      </w:pPr>
      <w:r>
        <w:rPr>
          <w:b/>
          <w:bCs/>
        </w:rPr>
        <w:t xml:space="preserve">BH Meridian</w:t>
      </w:r>
      <w:r>
        <w:br/>
      </w:r>
    </w:p>
    <w:p>
      <w:pPr>
        <w:pStyle w:val="Compact"/>
        <w:numPr>
          <w:ilvl w:val="0"/>
          <w:numId w:val="1006"/>
        </w:numPr>
      </w:pPr>
      <w:r>
        <w:rPr>
          <w:b/>
          <w:bCs/>
        </w:rPr>
        <w:t xml:space="preserve">BH Northern Star</w:t>
      </w:r>
      <w:r>
        <w:br/>
      </w:r>
    </w:p>
    <w:p>
      <w:pPr>
        <w:pStyle w:val="Compact"/>
        <w:numPr>
          <w:ilvl w:val="0"/>
          <w:numId w:val="1006"/>
        </w:numPr>
      </w:pPr>
      <w:r>
        <w:rPr>
          <w:b/>
          <w:bCs/>
        </w:rPr>
        <w:t xml:space="preserve">BH Polaris</w:t>
      </w:r>
    </w:p>
    <w:p>
      <w:r>
        <w:pict>
          <v:rect style="width:0;height:1.5pt" o:hralign="center" o:hrstd="t" o:hr="t"/>
        </w:pict>
      </w:r>
    </w:p>
    <w:bookmarkEnd w:id="42"/>
    <w:bookmarkStart w:id="43" w:name="schedule-2-covered-equipment"/>
    <w:p>
      <w:pPr>
        <w:pStyle w:val="Heading2"/>
      </w:pPr>
      <w:r>
        <w:t xml:space="preserve">Schedule 2 — Covered Equipment</w:t>
      </w:r>
    </w:p>
    <w:p>
      <w:pPr>
        <w:pStyle w:val="Compact"/>
        <w:numPr>
          <w:ilvl w:val="0"/>
          <w:numId w:val="1007"/>
        </w:numPr>
      </w:pPr>
      <w:r>
        <w:t xml:space="preserve">Main engine systems</w:t>
      </w:r>
      <w:r>
        <w:br/>
      </w:r>
    </w:p>
    <w:p>
      <w:pPr>
        <w:pStyle w:val="Compact"/>
        <w:numPr>
          <w:ilvl w:val="0"/>
          <w:numId w:val="1007"/>
        </w:numPr>
      </w:pPr>
      <w:r>
        <w:t xml:space="preserve">Auxiliary generating sets</w:t>
      </w:r>
      <w:r>
        <w:br/>
      </w:r>
    </w:p>
    <w:p>
      <w:pPr>
        <w:pStyle w:val="Compact"/>
        <w:numPr>
          <w:ilvl w:val="0"/>
          <w:numId w:val="1007"/>
        </w:numPr>
      </w:pPr>
      <w:r>
        <w:t xml:space="preserve">Power management systems</w:t>
      </w:r>
      <w:r>
        <w:br/>
      </w:r>
    </w:p>
    <w:p>
      <w:pPr>
        <w:pStyle w:val="Compact"/>
        <w:numPr>
          <w:ilvl w:val="0"/>
          <w:numId w:val="1007"/>
        </w:numPr>
      </w:pPr>
      <w:r>
        <w:t xml:space="preserve">Engine automation components</w:t>
      </w:r>
      <w:r>
        <w:br/>
      </w:r>
    </w:p>
    <w:p>
      <w:pPr>
        <w:pStyle w:val="Compact"/>
        <w:numPr>
          <w:ilvl w:val="0"/>
          <w:numId w:val="1007"/>
        </w:numPr>
      </w:pPr>
      <w:r>
        <w:t xml:space="preserve">Data collection and remote monitoring units</w:t>
      </w:r>
    </w:p>
    <w:p>
      <w:r>
        <w:pict>
          <v:rect style="width:0;height:1.5pt" o:hralign="center" o:hrstd="t" o:hr="t"/>
        </w:pict>
      </w:r>
    </w:p>
    <w:bookmarkEnd w:id="43"/>
    <w:bookmarkStart w:id="44" w:name="schedule-3-fees"/>
    <w:p>
      <w:pPr>
        <w:pStyle w:val="Heading2"/>
      </w:pPr>
      <w:r>
        <w:t xml:space="preserve">Schedule 3 — Fees</w:t>
      </w:r>
    </w:p>
    <w:p>
      <w:pPr>
        <w:pStyle w:val="FirstParagraph"/>
      </w:pPr>
      <w:r>
        <w:t xml:space="preserve">Annual lifecycle services fee:</w:t>
      </w:r>
      <w:r>
        <w:t xml:space="preserve"> </w:t>
      </w:r>
      <w:r>
        <w:rPr>
          <w:b/>
          <w:bCs/>
        </w:rPr>
        <w:t xml:space="preserve">EUR [●]</w:t>
      </w:r>
    </w:p>
    <w:p>
      <w:pPr>
        <w:pStyle w:val="BodyText"/>
      </w:pPr>
      <w:r>
        <w:t xml:space="preserve">Excluded costs unless expressly agreed:</w:t>
      </w:r>
    </w:p>
    <w:p>
      <w:pPr>
        <w:pStyle w:val="Compact"/>
        <w:numPr>
          <w:ilvl w:val="0"/>
          <w:numId w:val="1008"/>
        </w:numPr>
      </w:pPr>
      <w:r>
        <w:t xml:space="preserve">spare parts;</w:t>
      </w:r>
      <w:r>
        <w:br/>
      </w:r>
    </w:p>
    <w:p>
      <w:pPr>
        <w:pStyle w:val="Compact"/>
        <w:numPr>
          <w:ilvl w:val="0"/>
          <w:numId w:val="1008"/>
        </w:numPr>
      </w:pPr>
      <w:r>
        <w:t xml:space="preserve">emergency onboard service;</w:t>
      </w:r>
      <w:r>
        <w:br/>
      </w:r>
    </w:p>
    <w:p>
      <w:pPr>
        <w:pStyle w:val="Compact"/>
        <w:numPr>
          <w:ilvl w:val="0"/>
          <w:numId w:val="1008"/>
        </w:numPr>
      </w:pPr>
      <w:r>
        <w:t xml:space="preserve">dry-dock attendance;</w:t>
      </w:r>
      <w:r>
        <w:br/>
      </w:r>
    </w:p>
    <w:p>
      <w:pPr>
        <w:pStyle w:val="Compact"/>
        <w:numPr>
          <w:ilvl w:val="0"/>
          <w:numId w:val="1008"/>
        </w:numPr>
      </w:pPr>
      <w:r>
        <w:t xml:space="preserve">travel and accommodation;</w:t>
      </w:r>
      <w:r>
        <w:br/>
      </w:r>
    </w:p>
    <w:p>
      <w:pPr>
        <w:pStyle w:val="Compact"/>
        <w:numPr>
          <w:ilvl w:val="0"/>
          <w:numId w:val="1008"/>
        </w:numPr>
      </w:pPr>
      <w:r>
        <w:t xml:space="preserve">customs duties and taxes;</w:t>
      </w:r>
      <w:r>
        <w:br/>
      </w:r>
    </w:p>
    <w:p>
      <w:pPr>
        <w:pStyle w:val="Compact"/>
        <w:numPr>
          <w:ilvl w:val="0"/>
          <w:numId w:val="1008"/>
        </w:numPr>
      </w:pPr>
      <w:r>
        <w:t xml:space="preserve">third-party specialist services; and</w:t>
      </w:r>
      <w:r>
        <w:br/>
      </w:r>
    </w:p>
    <w:p>
      <w:pPr>
        <w:pStyle w:val="Compact"/>
        <w:numPr>
          <w:ilvl w:val="0"/>
          <w:numId w:val="1008"/>
        </w:numPr>
      </w:pPr>
      <w:r>
        <w:t xml:space="preserve">equipment upgrades.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2026-06-26T13:54:22Z</dcterms:created>
  <dcterms:modified xsi:type="dcterms:W3CDTF">2026-06-26T13:54:22Z</dcterms:modified>
</cp:coreProperties>
</file>

<file path=docProps/custom.xml><?xml version="1.0" encoding="utf-8"?>
<Properties xmlns="http://schemas.openxmlformats.org/officeDocument/2006/custom-properties" xmlns:vt="http://schemas.openxmlformats.org/officeDocument/2006/docPropsVTypes"/>
</file>