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1.png" ContentType="image/png"/>
  <Override PartName="/word/media/rId49.png" ContentType="image/png"/>
  <Override PartName="/word/media/rId45.png" ContentType="image/png"/>
  <Override PartName="/word/media/rId41.png" ContentType="image/png"/>
  <Override PartName="/word/media/rId55.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and citation activity</w:t>
      </w:r>
      <w:r>
        <w:t xml:space="preserve"> </w:t>
      </w:r>
      <w:r>
        <w:rPr>
          <w:rStyle w:val="FootnoteReference"/>
        </w:rPr>
        <w:footnoteReference w:id="20"/>
      </w:r>
      <w:r>
        <w:t xml:space="preserve"> </w:t>
      </w:r>
      <w:r>
        <w:t xml:space="preserve">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and citations,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30"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4" w:name="fig-tenderloin"/>
          <w:p>
            <w:pPr>
              <w:pStyle w:val="Compact"/>
              <w:jc w:val="center"/>
            </w:pPr>
            <w:r>
              <w:drawing>
                <wp:inline>
                  <wp:extent cx="5334000" cy="2906005"/>
                  <wp:effectExtent b="0" l="0" r="0" t="0"/>
                  <wp:docPr descr="" title="" id="22" name="Picture"/>
                  <a:graphic>
                    <a:graphicData uri="http://schemas.openxmlformats.org/drawingml/2006/picture">
                      <pic:pic>
                        <pic:nvPicPr>
                          <pic:cNvPr descr="index_files/figure-docx/fig-tenderloin-output-1.png" id="23" name="Picture"/>
                          <pic:cNvPicPr>
                            <a:picLocks noChangeArrowheads="1" noChangeAspect="1"/>
                          </pic:cNvPicPr>
                        </pic:nvPicPr>
                        <pic:blipFill>
                          <a:blip r:embed="rId21"/>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4"/>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5"/>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9" w:name="fig-2"/>
          <w:p>
            <w:pPr>
              <w:pStyle w:val="Compact"/>
              <w:jc w:val="center"/>
            </w:pPr>
            <w:r>
              <w:drawing>
                <wp:inline>
                  <wp:extent cx="5334000" cy="2015372"/>
                  <wp:effectExtent b="0" l="0" r="0" t="0"/>
                  <wp:docPr descr="" title="" id="27" name="Picture"/>
                  <a:graphic>
                    <a:graphicData uri="http://schemas.openxmlformats.org/drawingml/2006/picture">
                      <pic:pic>
                        <pic:nvPicPr>
                          <pic:cNvPr descr="index_files/figure-docx/fig-2-output-1.png" id="28" name="Picture"/>
                          <pic:cNvPicPr>
                            <a:picLocks noChangeArrowheads="1" noChangeAspect="1"/>
                          </pic:cNvPicPr>
                        </pic:nvPicPr>
                        <pic:blipFill>
                          <a:blip r:embed="rId26"/>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9"/>
        </w:tc>
      </w:tr>
    </w:tbl>
    <w:bookmarkEnd w:id="30"/>
    <w:bookmarkStart w:id="53"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4" w:name="fig-3"/>
          <w:p>
            <w:pPr>
              <w:pStyle w:val="Compact"/>
              <w:jc w:val="center"/>
            </w:pPr>
            <w:r>
              <w:drawing>
                <wp:inline>
                  <wp:extent cx="5334000" cy="2142685"/>
                  <wp:effectExtent b="0" l="0" r="0" t="0"/>
                  <wp:docPr descr="" title="" id="32" name="Picture"/>
                  <a:graphic>
                    <a:graphicData uri="http://schemas.openxmlformats.org/drawingml/2006/picture">
                      <pic:pic>
                        <pic:nvPicPr>
                          <pic:cNvPr descr="index_files/figure-docx/fig-3-output-1.png" id="33" name="Picture"/>
                          <pic:cNvPicPr>
                            <a:picLocks noChangeArrowheads="1" noChangeAspect="1"/>
                          </pic:cNvPicPr>
                        </pic:nvPicPr>
                        <pic:blipFill>
                          <a:blip r:embed="rId31"/>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4"/>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5"/>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8" w:name="tbl-post"/>
          <w:p>
            <w:pPr>
              <w:jc w:val="center"/>
            </w:pPr>
            <w:pPr>
              <w:jc w:val="start"/>
              <w:spacing w:before="200"/>
              <w:pStyle w:val="ImageCaption"/>
            </w:pPr>
            <w:r>
              <w:t xml:space="preserve">Table 1: Weekly Arrest Totals in the pre/post pandemic</w:t>
            </w:r>
          </w:p>
          <w:bookmarkStart w:id="37" w:name="T_7dc71"/>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7"/>
          <w:bookmarkEnd w:id="38"/>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9"/>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40"/>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Methods Appendix</w:t>
      </w:r>
      <w:r>
        <w:t xml:space="preserve"> </w:t>
      </w:r>
      <w:hyperlink w:anchor="sec-appendix">
        <w:r>
          <w:rPr>
            <w:rStyle w:val="Hyperlink"/>
          </w:rPr>
          <w:t xml:space="preserve">Section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4" w:name="fig-city-changes"/>
          <w:p>
            <w:pPr>
              <w:pStyle w:val="Compact"/>
              <w:jc w:val="center"/>
            </w:pPr>
            <w:r>
              <w:drawing>
                <wp:inline>
                  <wp:extent cx="5334000" cy="1799124"/>
                  <wp:effectExtent b="0" l="0" r="0" t="0"/>
                  <wp:docPr descr="" title="" id="42" name="Picture"/>
                  <a:graphic>
                    <a:graphicData uri="http://schemas.openxmlformats.org/drawingml/2006/picture">
                      <pic:pic>
                        <pic:nvPicPr>
                          <pic:cNvPr descr="index_files/figure-docx/fig-city-changes-output-1.png" id="43" name="Picture"/>
                          <pic:cNvPicPr>
                            <a:picLocks noChangeArrowheads="1" noChangeAspect="1"/>
                          </pic:cNvPicPr>
                        </pic:nvPicPr>
                        <pic:blipFill>
                          <a:blip r:embed="rId41"/>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4"/>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8" w:name="fig-all-districts"/>
          <w:p>
            <w:pPr>
              <w:pStyle w:val="Compact"/>
              <w:jc w:val="center"/>
            </w:pPr>
            <w:r>
              <w:drawing>
                <wp:inline>
                  <wp:extent cx="5334000" cy="2154171"/>
                  <wp:effectExtent b="0" l="0" r="0" t="0"/>
                  <wp:docPr descr="" title="" id="46" name="Picture"/>
                  <a:graphic>
                    <a:graphicData uri="http://schemas.openxmlformats.org/drawingml/2006/picture">
                      <pic:pic>
                        <pic:nvPicPr>
                          <pic:cNvPr descr="index_files/figure-docx/fig-all-districts-output-1.png" id="47" name="Picture"/>
                          <pic:cNvPicPr>
                            <a:picLocks noChangeArrowheads="1" noChangeAspect="1"/>
                          </pic:cNvPicPr>
                        </pic:nvPicPr>
                        <pic:blipFill>
                          <a:blip r:embed="rId45"/>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8"/>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2" w:name="fig-5"/>
          <w:p>
            <w:pPr>
              <w:pStyle w:val="Compact"/>
              <w:jc w:val="center"/>
            </w:pPr>
            <w:r>
              <w:drawing>
                <wp:inline>
                  <wp:extent cx="5334000" cy="1817116"/>
                  <wp:effectExtent b="0" l="0" r="0" t="0"/>
                  <wp:docPr descr="" title="" id="50" name="Picture"/>
                  <a:graphic>
                    <a:graphicData uri="http://schemas.openxmlformats.org/drawingml/2006/picture">
                      <pic:pic>
                        <pic:nvPicPr>
                          <pic:cNvPr descr="index_files/figure-docx/fig-5-output-1.png" id="51" name="Picture"/>
                          <pic:cNvPicPr>
                            <a:picLocks noChangeArrowheads="1" noChangeAspect="1"/>
                          </pic:cNvPicPr>
                        </pic:nvPicPr>
                        <pic:blipFill>
                          <a:blip r:embed="rId49"/>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2"/>
        </w:tc>
      </w:tr>
    </w:tbl>
    <w:bookmarkEnd w:id="53"/>
    <w:bookmarkStart w:id="54"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p>
      <w:r>
        <w:br w:type="page"/>
      </w:r>
    </w:p>
    <w:bookmarkEnd w:id="54"/>
    <w:bookmarkStart w:id="86" w:name="sec-appendix"/>
    <w:p>
      <w:pPr>
        <w:pStyle w:val="Heading2"/>
      </w:pPr>
      <w:r>
        <w:t xml:space="preserve">Appendix</w:t>
      </w:r>
    </w:p>
    <w:bookmarkStart w:id="64" w:name="data-appendix"/>
    <w:p>
      <w:pPr>
        <w:pStyle w:val="Heading3"/>
      </w:pPr>
      <w:r>
        <w:t xml:space="preserve">Data Appendix</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9"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8" w:name="fig-gt"/>
          <w:p>
            <w:pPr>
              <w:pStyle w:val="Compact"/>
              <w:jc w:val="center"/>
            </w:pPr>
            <w:r>
              <w:drawing>
                <wp:inline>
                  <wp:extent cx="4477173" cy="3874346"/>
                  <wp:effectExtent b="0" l="0" r="0" t="0"/>
                  <wp:docPr descr="" title="" id="56" name="Picture"/>
                  <a:graphic>
                    <a:graphicData uri="http://schemas.openxmlformats.org/drawingml/2006/picture">
                      <pic:pic>
                        <pic:nvPicPr>
                          <pic:cNvPr descr="index_files/figure-docx/fig-gt-output-1.png" id="57" name="Picture"/>
                          <pic:cNvPicPr>
                            <a:picLocks noChangeArrowheads="1" noChangeAspect="1"/>
                          </pic:cNvPicPr>
                        </pic:nvPicPr>
                        <pic:blipFill>
                          <a:blip r:embed="rId55"/>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8"/>
        </w:tc>
      </w:tr>
    </w:tbl>
    <w:bookmarkEnd w:id="59"/>
    <w:bookmarkStart w:id="61"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60" w:name="T_ce8a5"/>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60"/>
    <w:bookmarkEnd w:id="61"/>
    <w:bookmarkStart w:id="63"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2" w:name="T_dd6e8"/>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2"/>
    <w:bookmarkEnd w:id="63"/>
    <w:bookmarkEnd w:id="64"/>
    <w:bookmarkStart w:id="85" w:name="methods-appendix"/>
    <w:p>
      <w:pPr>
        <w:pStyle w:val="Heading3"/>
      </w:pPr>
      <w:r>
        <w:t xml:space="preserve">Methods Appendix</w:t>
      </w:r>
    </w:p>
    <w:p>
      <w:pPr>
        <w:pStyle w:val="FirstParagraph"/>
      </w:pPr>
      <w:r>
        <w:t xml:space="preserve">In this memo, I used the following core statistical test for examining changes in arrest activity:</w:t>
      </w:r>
    </w:p>
    <w:p>
      <w:pPr>
        <w:pStyle w:val="BodyText"/>
      </w:pPr>
      <w:bookmarkStart w:id="65"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5"/>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6"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6"/>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7"/>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1"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70"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8"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9"/>
          <w:p/>
        </w:tc>
      </w:tr>
    </w:tbl>
    <w:bookmarkEnd w:id="70"/>
    <w:bookmarkEnd w:id="71"/>
    <w:bookmarkStart w:id="84" w:name="references"/>
    <w:p>
      <w:pPr>
        <w:pStyle w:val="Heading4"/>
      </w:pPr>
      <w:r>
        <w:t xml:space="preserve">References</w:t>
      </w:r>
    </w:p>
    <w:bookmarkStart w:id="83" w:name="refs"/>
    <w:bookmarkStart w:id="73"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2">
        <w:r>
          <w:rPr>
            <w:rStyle w:val="Hyperlink"/>
          </w:rPr>
          <w:t xml:space="preserve">https://doi.org/10.1016/j.jpubeco.2020.104344</w:t>
        </w:r>
      </w:hyperlink>
      <w:r>
        <w:t xml:space="preserve">.</w:t>
      </w:r>
    </w:p>
    <w:bookmarkEnd w:id="73"/>
    <w:bookmarkStart w:id="75"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4">
        <w:r>
          <w:rPr>
            <w:rStyle w:val="Hyperlink"/>
          </w:rPr>
          <w:t xml:space="preserve">https://datasf.gitbook.io/datasf-dataset-explainers/sfpd-incident-report-2018-to-present</w:t>
        </w:r>
      </w:hyperlink>
      <w:r>
        <w:t xml:space="preserve">.</w:t>
      </w:r>
    </w:p>
    <w:bookmarkEnd w:id="75"/>
    <w:bookmarkStart w:id="77"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6">
        <w:r>
          <w:rPr>
            <w:rStyle w:val="Hyperlink"/>
          </w:rPr>
          <w:t xml:space="preserve">https://www.sfchronicle.com/projects/2022/san-francisco-tenderloin-history</w:t>
        </w:r>
      </w:hyperlink>
      <w:r>
        <w:t xml:space="preserve">.</w:t>
      </w:r>
    </w:p>
    <w:bookmarkEnd w:id="77"/>
    <w:bookmarkStart w:id="78"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8"/>
    <w:bookmarkStart w:id="80"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9">
        <w:r>
          <w:rPr>
            <w:rStyle w:val="Hyperlink"/>
          </w:rPr>
          <w:t xml:space="preserve">https://www.sfchronicle.com/sf/article/tenderloin-drug-arrests-18327055.php</w:t>
        </w:r>
      </w:hyperlink>
      <w:r>
        <w:t xml:space="preserve">.</w:t>
      </w:r>
    </w:p>
    <w:bookmarkEnd w:id="80"/>
    <w:bookmarkStart w:id="82"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1">
        <w:r>
          <w:rPr>
            <w:rStyle w:val="Hyperlink"/>
          </w:rPr>
          <w:t xml:space="preserve">https://doi.org/10.1093/aje/kwy250</w:t>
        </w:r>
      </w:hyperlink>
      <w:r>
        <w:t xml:space="preserve">.</w:t>
      </w:r>
    </w:p>
    <w:bookmarkEnd w:id="82"/>
    <w:bookmarkEnd w:id="83"/>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For convenience, I will use the term</w:t>
      </w:r>
      <w:r>
        <w:t xml:space="preserve"> </w:t>
      </w:r>
      <w:r>
        <w:t xml:space="preserve">“</w:t>
      </w:r>
      <w:r>
        <w:t xml:space="preserve">arrests</w:t>
      </w:r>
      <w:r>
        <w:t xml:space="preserve">”</w:t>
      </w:r>
      <w:r>
        <w:t xml:space="preserve"> </w:t>
      </w:r>
      <w:r>
        <w:t xml:space="preserve">to refer to the combination of arrests and citations</w:t>
      </w:r>
    </w:p>
  </w:footnote>
  <w:footnote w:id="25">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5">
    <w:p>
      <w:pPr>
        <w:pStyle w:val="FootnoteText"/>
      </w:pPr>
      <w:r>
        <w:rPr>
          <w:rStyle w:val="FootnoteReference"/>
        </w:rPr>
        <w:footnoteRef/>
      </w:r>
      <w:r>
        <w:t xml:space="preserve"> </w:t>
      </w:r>
      <w:r>
        <w:t xml:space="preserve">The U.S. reported its</w:t>
      </w:r>
      <w:r>
        <w:t xml:space="preserve"> </w:t>
      </w:r>
      <w:hyperlink r:id="rId36">
        <w:r>
          <w:rPr>
            <w:rStyle w:val="Hyperlink"/>
          </w:rPr>
          <w:t xml:space="preserve">first COVID-19 case</w:t>
        </w:r>
      </w:hyperlink>
      <w:r>
        <w:t xml:space="preserve"> </w:t>
      </w:r>
      <w:r>
        <w:t xml:space="preserve">in January 2020</w:t>
      </w:r>
    </w:p>
  </w:footnote>
  <w:footnote w:id="39">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40">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7">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21" Target="media/rId21.png" /><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4" Target="https://datasf.gitbook.io/datasf-dataset-explainers/sfpd-incident-report-2018-to-present" TargetMode="External" /><Relationship Type="http://schemas.openxmlformats.org/officeDocument/2006/relationships/hyperlink" Id="rId72" Target="https://doi.org/10.1016/j.jpubeco.2020.104344" TargetMode="External" /><Relationship Type="http://schemas.openxmlformats.org/officeDocument/2006/relationships/hyperlink" Id="rId81" Target="https://doi.org/10.1093/aje/kwy250" TargetMode="External" /><Relationship Type="http://schemas.openxmlformats.org/officeDocument/2006/relationships/hyperlink" Id="rId36" Target="https://www.cdc.gov/museum/timeline/covid19.html#:~:text=January%2020%2C%202020,respond%20to%20the%20emerging%20outbreak." TargetMode="External" /><Relationship Type="http://schemas.openxmlformats.org/officeDocument/2006/relationships/hyperlink" Id="rId76" Target="https://www.sfchronicle.com/projects/2022/san-francisco-tenderloin-history" TargetMode="External" /><Relationship Type="http://schemas.openxmlformats.org/officeDocument/2006/relationships/hyperlink" Id="rId79"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2024-11-25T18:29:39Z</dcterms:created>
  <dcterms:modified xsi:type="dcterms:W3CDTF">2024-11-25T18:29:39Z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