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w:t>
      </w:r>
      <w:r>
        <w:t xml:space="preserve"> </w:t>
      </w:r>
      <w:r>
        <w:t xml:space="preserve">Enforcement</w:t>
      </w:r>
      <w:r>
        <w:t xml:space="preserve"> </w:t>
      </w:r>
      <w:r>
        <w:t xml:space="preserve">Activity</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law enforcement actions – police incident reports that result in arrest or citation – in San Francisco before, during, and after the COVID-19 Pandemic (2018-2024). Enforcement actions decreased before the pandemic, sharply dropped at the outset of the pandemic, and have been consistently low in the post-pandemic.</w:t>
      </w:r>
    </w:p>
    <w:p>
      <w:pPr>
        <w:pStyle w:val="BodyText"/>
      </w:pPr>
      <w:r>
        <w:t xml:space="preserve">Enforcement levels for almost every specific class of crime decreased during the analysis period, except for law enforcement actions related to drug sale, which substantially increased. The vast majority of those increased drug sale enforcement actions took place in the Tenderloin. Indeed, the Tenderloin was an exception to the trend of decreasing enforcement levels in San Francisco – law enforcement actions in the district increased in the post-pandemic, with drug sale enforcement actions driving the increase.</w:t>
      </w:r>
    </w:p>
    <w:p>
      <w:pPr>
        <w:pStyle w:val="BodyText"/>
      </w:pPr>
      <w:r>
        <w:t xml:space="preserve">An important caveat of this analysis is that it examines enforcement actions, a combination of arrests and citations, not</w:t>
      </w:r>
      <w:r>
        <w:t xml:space="preserve"> </w:t>
      </w:r>
      <w:r>
        <w:rPr>
          <w:i/>
          <w:iCs/>
        </w:rPr>
        <w:t xml:space="preserve">crime.</w:t>
      </w:r>
      <w:r>
        <w:t xml:space="preserve"> </w:t>
      </w:r>
      <w:r>
        <w:t xml:space="preserve">Of all crime events, arrests and citations only include those events that are reported to law enforcement and go on to produce an arrest or citation. These trends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and issuing citations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law enforcement actions were geographically concentrated in the Tenderloin district over the six-year analysis period. The left-hand panel depicts the general concentration of enforcement actions in downtown police districts – Northern, Central, Southern, the Tenderloin, and the Mission. However, viewing the geographic trends by district obscures more specific patterns illustrated at a block-level in the right panel. Law enforcement actions along the Northern, Central, and Southern districts’ borders with the Tenderloin accounted for the high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892213"/>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892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Law Enforcement Actions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law enforcement activity. The greater Tenderloin represents 1.01% of the square miles of San Francisco, but made up 27% of the total law enforcement actions in the City during the analysis period. Of the top ten street corners in San Francisco ranked by total enforcement actions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1884"/>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18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Law Enforcement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law enforcement activity at the city level. Between February and April 2020 – the immediate outset of the pandemic – monthly enforcement actions decreased by 43% (-441 arrests/citations)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30443"/>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304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That short-term drop in law enforcement activity in 2020 can be tied to the immediate disruptions of the Pandemic. However, it is not clear why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enforcement actions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280f5"/>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Arrest/Citation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law enforcement activity in the post-pandemic was driven by a large decrease in enforcement actions for traffic violations, down -19.82 a week on average. Enforcement actions for larceny theft and some violent crimes – robbery and assault – also decreased.</w:t>
      </w:r>
    </w:p>
    <w:p>
      <w:pPr>
        <w:pStyle w:val="BodyText"/>
      </w:pPr>
      <w:r>
        <w:t xml:space="preserve">In the post-pandemic, homicide, burglary, weapons, and drug-use</w:t>
      </w:r>
      <w:r>
        <w:rPr>
          <w:rStyle w:val="FootnoteReference"/>
        </w:rPr>
        <w:footnoteReference w:id="38"/>
      </w:r>
      <w:r>
        <w:t xml:space="preserve"> </w:t>
      </w:r>
      <w:r>
        <w:t xml:space="preserve">enforcement actions all returned to or else never deviated from pre-pandemic levels. Their average weekly enforcement activity levels in the post-pandemic were not statistically distinguishable from the pre-pandemic.</w:t>
      </w:r>
    </w:p>
    <w:p>
      <w:pPr>
        <w:pStyle w:val="BodyText"/>
      </w:pPr>
      <w:r>
        <w:t xml:space="preserve">Sale of drugs was the only incident category where enforcement activity significantly</w:t>
      </w:r>
      <w:r>
        <w:t xml:space="preserve"> </w:t>
      </w:r>
      <w:r>
        <w:rPr>
          <w:b/>
          <w:bCs/>
        </w:rPr>
        <w:t xml:space="preserve">increased</w:t>
      </w:r>
      <w:r>
        <w:t xml:space="preserve"> </w:t>
      </w:r>
      <w:r>
        <w:t xml:space="preserve">in the post-pandemic. Enforcement actions tied to the sale of drugs</w:t>
      </w:r>
      <w:r>
        <w:rPr>
          <w:rStyle w:val="FootnoteReference"/>
        </w:rPr>
        <w:footnoteReference w:id="39"/>
      </w:r>
      <w:r>
        <w:t xml:space="preserve"> </w:t>
      </w:r>
      <w:r>
        <w:t xml:space="preserve">increased by 7.43 a week on average. It is notable that drug sale enforcement activity increased while drug-use enforcement activity seemingly did not.</w:t>
      </w:r>
      <w:r>
        <w:t xml:space="preserve"> </w:t>
      </w:r>
      <w:hyperlink w:anchor="fig-city-changes">
        <w:r>
          <w:rPr>
            <w:rStyle w:val="Hyperlink"/>
          </w:rPr>
          <w:t xml:space="preserve">Figure 4</w:t>
        </w:r>
      </w:hyperlink>
      <w:r>
        <w:t xml:space="preserve"> </w:t>
      </w:r>
      <w:r>
        <w:t xml:space="preserve">shows trends for each incident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0228"/>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0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Arrests/Citations, 2018-2020 to 2022-2024</w:t>
            </w:r>
          </w:p>
          <w:bookmarkEnd w:id="43"/>
        </w:tc>
      </w:tr>
    </w:tbl>
    <w:p>
      <w:pPr>
        <w:pStyle w:val="BodyText"/>
      </w:pPr>
      <w:r>
        <w:t xml:space="preserve">In the post-pandemic, 73% of all drug sale enforcement actions in the City took place in the greater Tenderloin. The greater Tenderloin is also the only region in the city where enforcement activity returned to and in some months exceeded pre-pandemic levels. Other districts generally saw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0436"/>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04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enforcement activity in the post-pandemic, marked by a growing emphasis on drug sale enforcement actions.</w:t>
      </w:r>
      <w:r>
        <w:t xml:space="preserve"> </w:t>
      </w:r>
      <w:hyperlink w:anchor="fig-5">
        <w:r>
          <w:rPr>
            <w:rStyle w:val="Hyperlink"/>
          </w:rPr>
          <w:t xml:space="preserve">Figure 6</w:t>
        </w:r>
      </w:hyperlink>
      <w:r>
        <w:t xml:space="preserve"> </w:t>
      </w:r>
      <w:r>
        <w:t xml:space="preserve">shows that for most incident types in the greater Tenderloin, average weekly levels were essentially equal in the pre and post-pandemic. Drug use enforcement activity rose on its face, but the increase was not statistically significant, suggesting that the weekly totals were highly variable and not consistently elevated.</w:t>
      </w:r>
    </w:p>
    <w:p>
      <w:pPr>
        <w:pStyle w:val="BodyText"/>
      </w:pPr>
      <w:r>
        <w:t xml:space="preserve">Drug sale enforcement activity saw a large and statistically significant increase, with 6.7 more actions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0147"/>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01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law enforcement activity towards the Tenderloin and prioritized enforcement actions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law enforcement in the Tenderloin relative to 2018-2020 pre-pandemic trends. The gap in law enforcement activity levels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3"/>
    <w:bookmarkStart w:id="85" w:name="sec-appendix"/>
    <w:p>
      <w:pPr>
        <w:pStyle w:val="Heading2"/>
      </w:pPr>
      <w:r>
        <w:t xml:space="preserve">Appendix</w:t>
      </w:r>
    </w:p>
    <w:bookmarkStart w:id="63"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or citation. I applied filtering to isolate the 119,119 records that represent unique arrests/citations between 01-01-2018 and 02-16-2024. I then filtered the dataset to isolate arrests where geographic point data is available – 118,506 unique arrests/citations. The vast majority of the 613 arrests/citations with missing point data took place outside of San Francisco. The negligible arrests/citations with missing point data within San Francisco were distributed across districts proportional to their totals, suggesting that dropping missing point data did not bias arrests/citations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spillover of enforcement actions along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5334000" cy="461580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5334000" cy="46158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enforcement actions</w:t>
      </w:r>
    </w:p>
    <w:p>
      <w:pPr>
        <w:pStyle w:val="FirstParagraph"/>
      </w:pPr>
      <w:r>
        <w:t xml:space="preserve">In the incident report data, there is a category,</w:t>
      </w:r>
      <w:r>
        <w:t xml:space="preserve"> </w:t>
      </w:r>
      <w:r>
        <w:t xml:space="preserve">“</w:t>
      </w:r>
      <w:r>
        <w:t xml:space="preserve">Drug,</w:t>
      </w:r>
      <w:r>
        <w:t xml:space="preserve">”</w:t>
      </w:r>
      <w:r>
        <w:t xml:space="preserve"> </w:t>
      </w:r>
      <w:r>
        <w:t xml:space="preserve">which contains all drug related enforcement actions. I split this category into two sub-groups – drug sale enforcement, and drug use/non sale enforcement. All enforcement actions in the broad</w:t>
      </w:r>
      <w:r>
        <w:t xml:space="preserve"> </w:t>
      </w:r>
      <w:r>
        <w:t xml:space="preserve">“</w:t>
      </w:r>
      <w:r>
        <w:t xml:space="preserve">Drug</w:t>
      </w:r>
      <w:r>
        <w:t xml:space="preserve">”</w:t>
      </w:r>
      <w:r>
        <w:t xml:space="preserve"> </w:t>
      </w:r>
      <w:r>
        <w:t xml:space="preserve">category are also members of one of these two subgroups. I define Drug use, or, non-drug sale enforcement actions, as those drug incidents that do not contain the phrase</w:t>
      </w:r>
      <w:r>
        <w:t xml:space="preserve"> </w:t>
      </w:r>
      <w:r>
        <w:t xml:space="preserve">“</w:t>
      </w:r>
      <w:r>
        <w:t xml:space="preserve">sale</w:t>
      </w:r>
      <w:r>
        <w:t xml:space="preserve">”</w:t>
      </w:r>
      <w:r>
        <w:t xml:space="preserve"> </w:t>
      </w:r>
      <w:r>
        <w:t xml:space="preserve">in their description.</w:t>
      </w:r>
    </w:p>
    <w:bookmarkStart w:id="59" w:name="T_8d221"/>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Enforcement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enforcement</w:t>
      </w:r>
    </w:p>
    <w:p>
      <w:pPr>
        <w:pStyle w:val="FirstParagraph"/>
      </w:pPr>
      <w:r>
        <w:t xml:space="preserve">Drug sale enforcement actions are those incidents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d774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Enforcement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methods-appendix"/>
    <w:p>
      <w:pPr>
        <w:pStyle w:val="Heading3"/>
      </w:pPr>
      <w:r>
        <w:t xml:space="preserve">Methods Appendix</w:t>
      </w:r>
    </w:p>
    <w:p>
      <w:pPr>
        <w:pStyle w:val="FirstParagraph"/>
      </w:pPr>
      <w:r>
        <w:t xml:space="preserve">In this memo, I used the following core statistical test for examining changes in law enforcement activity:</w:t>
      </w:r>
    </w:p>
    <w:p>
      <w:pPr>
        <w:pStyle w:val="BodyText"/>
      </w:pPr>
      <w:bookmarkStart w:id="64" w:name="eq-ols"/>
      <m:oMathPara>
        <m:oMathParaPr>
          <m:jc m:val="center"/>
        </m:oMathParaPr>
        <m:oMath>
          <m:r>
            <m:t>a</m:t>
          </m:r>
          <m:r>
            <m:t>c</m:t>
          </m:r>
          <m:r>
            <m:t>t</m:t>
          </m:r>
          <m:r>
            <m:t>i</m:t>
          </m:r>
          <m:r>
            <m:t>o</m:t>
          </m:r>
          <m:r>
            <m:t>n</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enforcement actions in the post-pandemic, 2022-2024, relative to the pre-pandemic, 2018-2020.</w:t>
      </w:r>
      <w:r>
        <w:t xml:space="preserve"> </w:t>
      </w:r>
      <m:oMath>
        <m:acc>
          <m:accPr>
            <m:chr m:val="̂"/>
          </m:accPr>
          <m:e>
            <m:sSub>
              <m:e>
                <m:r>
                  <m:t>β</m:t>
                </m:r>
              </m:e>
              <m:sub>
                <m:r>
                  <m:t>0</m:t>
                </m:r>
              </m:sub>
            </m:sSub>
          </m:e>
        </m:acc>
      </m:oMath>
      <w:r>
        <w:t xml:space="preserve"> </w:t>
      </w:r>
      <w:r>
        <w:t xml:space="preserve">is the average of weekly enforcement actions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of weekly enforcement actions in the post-pandemic. I test the hypothesis that the average of weekly enforcement actions in the post-pandemic was different from the average of weekly enforcement actions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c</m:t>
        </m:r>
        <m:r>
          <m:t>t</m:t>
        </m:r>
        <m:r>
          <m:t>i</m:t>
        </m:r>
        <m:r>
          <m:t>o</m:t>
        </m:r>
        <m:r>
          <m:t>n</m:t>
        </m:r>
        <m:r>
          <m:t>s</m:t>
        </m:r>
        <m:r>
          <m:rPr>
            <m:sty m:val="p"/>
          </m:rPr>
          <m:t>∈</m:t>
        </m:r>
        <m:r>
          <m:rPr>
            <m:sty m:val="p"/>
            <m:scr m:val="double-struck"/>
          </m:rPr>
          <m:t>R</m:t>
        </m:r>
      </m:oMath>
      <w:r>
        <w:t xml:space="preserve"> </w:t>
      </w:r>
      <w:r>
        <w:t xml:space="preserve">and</w:t>
      </w:r>
      <w:r>
        <w:t xml:space="preserve"> </w:t>
      </w:r>
      <m:oMath>
        <m:r>
          <m:t>a</m:t>
        </m:r>
        <m:r>
          <m:t>c</m:t>
        </m:r>
        <m:r>
          <m:t>t</m:t>
        </m:r>
        <m:r>
          <m:t>i</m:t>
        </m:r>
        <m:r>
          <m:t>o</m:t>
        </m:r>
        <m:r>
          <m:t>n</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enforcement action totals, which are a time-series that exhibit autocorrelation, the first assumption of constant variance may be problematic. Both Newey-West estimation and the block bootstrap are robust to this issue. Enforcement action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enforcement in the greater Tenderloin. However, specification does affect the conclusion presented in the memo that larceny theft, robbery, traffic and drug use enforcement actions did not change in the greater Tenderloin in the post-pandemic. Much of this is due to the fact that OLS becomes an increasingly tenuous approach in the Tenderloin, where weekly enforcement action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enforcement actions. This is a mis-specified test that does not take into account the structure of the data or possible multiple testing issues. All other tests concluded that there was no statistically significant change. Still, the effect is not trivially small, so I temper my conclusion that this enforcement action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enforcement actions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enforcement actions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enforcement actions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Law Enforcement Activity in San Francisco, 2018-2024</dc:title>
  <dc:creator>Peter Amerkhanian</dc:creator>
  <cp:keywords/>
  <dcterms:created xsi:type="dcterms:W3CDTF">2025-02-03T23:26:23Z</dcterms:created>
  <dcterms:modified xsi:type="dcterms:W3CDTF">2025-02-03T23:26:23Z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