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6.png" ContentType="image/png"/>
  <Override PartName="/word/media/rId42.png" ContentType="image/png"/>
  <Override PartName="/word/media/rId38.png" ContentType="image/png"/>
  <Override PartName="/word/media/rId5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with a steady decrease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the increase driven by drug sale arrests.</w:t>
      </w:r>
    </w:p>
    <w:p>
      <w:pPr>
        <w:pStyle w:val="BodyText"/>
      </w:pPr>
      <w:r>
        <w:t xml:space="preserve">An important caveat of this analysis is that it examines arrests, not</w:t>
      </w:r>
      <w:r>
        <w:t xml:space="preserve"> </w:t>
      </w:r>
      <w:r>
        <w:rPr>
          <w:iCs/>
          <w:i/>
        </w:rPr>
        <w:t xml:space="preserve">crime.</w:t>
      </w:r>
      <w:r>
        <w:t xml:space="preserve"> </w:t>
      </w:r>
      <w:r>
        <w:t xml:space="preserve">Of all crime events, arrests only include those that are reported to law enforcement and go on to produce an arrest. Trends in arrest do not necessarily point to equal trends in crime, rather, they point to trends in how the City and Police Department are prioritizing law enforcement resources. Thus I conclude that in the post-pandemic, the City shifted policing resources towards the Tenderloin and towards making arrests for drug sale crime.</w:t>
      </w:r>
    </w:p>
    <w:bookmarkStart w:id="29" w:name="Xb82c151f821593e21b36c97ef6d010d06516914"/>
    <w:p>
      <w:pPr>
        <w:pStyle w:val="Heading2"/>
      </w:pPr>
      <w:r>
        <w:t xml:space="preserve">Geographic concentration in the Tenderloin</w:t>
      </w:r>
    </w:p>
    <w:p>
      <w:pPr>
        <w:pStyle w:val="FirstParagraph"/>
      </w:pPr>
      <w:r>
        <w:t xml:space="preserve">Geographic trends in arrest over the six-year analysis period are shown in</w:t>
      </w:r>
      <w:r>
        <w:t xml:space="preserve"> </w:t>
      </w:r>
      <w:hyperlink w:anchor="fig-tenderloin">
        <w:r>
          <w:rPr>
            <w:rStyle w:val="Hyperlink"/>
          </w:rPr>
          <w:t xml:space="preserve">Figure 1</w:t>
        </w:r>
      </w:hyperlink>
      <w:r>
        <w:t xml:space="preserve">.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High arrest numbers in the Northern, Central, and Southern districts were driven by arrests taking place along those regions’ borders with the Tenderloin.</w:t>
      </w:r>
    </w:p>
    <w:tbl>
      <w:tblPr>
        <w:tblStyle w:val="Table"/>
        <w:tblW w:type="pct" w:w="5000"/>
        <w:tblLook w:firstRow="0" w:lastRow="0" w:firstColumn="0" w:lastColumn="0" w:noHBand="0" w:noVBand="0" w:val="0000"/>
        <w:jc w:val="start"/>
        <w:tblLayout w:type="fixed"/>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Cs/>
          <w:b/>
        </w:rPr>
        <w:t xml:space="preserve">“</w:t>
      </w:r>
      <w:r>
        <w:rPr>
          <w:bCs/>
          <w:b/>
        </w:rPr>
        <w:t xml:space="preserve">the greater Tenderloin,</w:t>
      </w:r>
      <w:r>
        <w:rPr>
          <w:bCs/>
          <w:b/>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Arrests in the greater Tenderloin made up 27% of the total arrests in San Francisco in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ook w:firstRow="0" w:lastRow="0" w:firstColumn="0" w:lastColumn="0" w:noHBand="0" w:noVBand="0" w:val="0000"/>
        <w:jc w:val="start"/>
        <w:tblLayout w:type="fixed"/>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0"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ook w:firstRow="0" w:lastRow="0" w:firstColumn="0" w:lastColumn="0" w:noHBand="0" w:noVBand="0" w:val="0000"/>
        <w:jc w:val="start"/>
        <w:tblLayout w:type="fixed"/>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two-year periods:</w:t>
      </w:r>
    </w:p>
    <w:p>
      <w:pPr>
        <w:numPr>
          <w:ilvl w:val="0"/>
          <w:numId w:val="1001"/>
        </w:numPr>
        <w:pStyle w:val="Compact"/>
      </w:pPr>
      <w:r>
        <w:t xml:space="preserve">the</w:t>
      </w:r>
      <w:r>
        <w:t xml:space="preserve"> </w:t>
      </w:r>
      <w:r>
        <w:t xml:space="preserve">“</w:t>
      </w:r>
      <w:r>
        <w:t xml:space="preserve">pre-pandemic,</w:t>
      </w:r>
      <w:r>
        <w:t xml:space="preserve">”</w:t>
      </w:r>
      <w:r>
        <w:t xml:space="preserve"> </w:t>
      </w:r>
      <w:r>
        <w:t xml:space="preserve">1/1/2018-1/1/2020, and</w:t>
      </w:r>
    </w:p>
    <w:p>
      <w:pPr>
        <w:numPr>
          <w:ilvl w:val="0"/>
          <w:numId w:val="1001"/>
        </w:numPr>
        <w:pStyle w:val="Compact"/>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 period.</w:t>
      </w:r>
    </w:p>
    <w:tbl>
      <w:tblPr>
        <w:tblStyle w:val="Table"/>
        <w:tblW w:type="pct" w:w="5000"/>
        <w:tblLook w:firstRow="0" w:lastRow="0" w:firstColumn="0" w:lastColumn="0" w:noHBand="0" w:noVBand="0" w:val="0000"/>
        <w:jc w:val="start"/>
        <w:tblLayout w:type="fixed"/>
      </w:tblPr>
      <w:tblGrid>
        <w:gridCol w:w="7920"/>
      </w:tblGrid>
      <w:tr>
        <w:tc>
          <w:tcPr/>
          <w:bookmarkStart w:id="35" w:name="tbl-post"/>
          <w:p>
            <w:pPr>
              <w:jc w:val="center"/>
            </w:pPr>
            <w:pPr>
              <w:jc w:val="start"/>
              <w:spacing w:before="200"/>
              <w:pStyle w:val="ImageCaption"/>
            </w:pPr>
            <w:r>
              <w:t xml:space="preserve">Table 1: Weekly Arrest Totals in the pre/post pandemic</w:t>
            </w:r>
          </w:p>
          <w:bookmarkStart w:id="34" w:name="T_fede7"/>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4"/>
          <w:bookmarkEnd w:id="35"/>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6"/>
      </w:r>
      <w:r>
        <w:t xml:space="preserve"> </w:t>
      </w:r>
      <w:r>
        <w:t xml:space="preserve">arrests all returned to or else never deviated from pre-pandemic levels, with average weekly arrest levels in the post-pandemic indistinguishable from the pre-pandemic. All trends are shown in</w:t>
      </w:r>
      <w:r>
        <w:t xml:space="preserve"> </w:t>
      </w:r>
      <w:hyperlink w:anchor="fig-city-changes">
        <w:r>
          <w:rPr>
            <w:rStyle w:val="Hyperlink"/>
          </w:rPr>
          <w:t xml:space="preserve">Figure 4</w:t>
        </w:r>
      </w:hyperlink>
      <w:r>
        <w:t xml:space="preserve">, using a statistical approach detailed in the Appendix</w:t>
      </w:r>
      <w:r>
        <w:t xml:space="preserve"> </w:t>
      </w:r>
      <w:hyperlink w:anchor="sec-stats">
        <w:r>
          <w:rPr>
            <w:rStyle w:val="Hyperlink"/>
          </w:rPr>
          <w:t xml:space="preserve">Section 4.2</w:t>
        </w:r>
      </w:hyperlink>
      <w:r>
        <w:t xml:space="preserve">.</w:t>
      </w:r>
    </w:p>
    <w:p>
      <w:pPr>
        <w:pStyle w:val="BodyText"/>
      </w:pPr>
      <w:r>
        <w:t xml:space="preserve">The only incident category examined where arrest activity significantly increased in the post-pandemic was arrest tied to the sale of drugs,</w:t>
      </w:r>
      <w:r>
        <w:rPr>
          <w:rStyle w:val="FootnoteReference"/>
        </w:rPr>
        <w:footnoteReference w:id="37"/>
      </w:r>
      <w:r>
        <w:t xml:space="preserve"> </w:t>
      </w:r>
      <w:r>
        <w:t xml:space="preserve">up by 7.43 arrests a week on average. It is notable that drug sale arrests increased while drug-use arrests did not.</w:t>
      </w:r>
    </w:p>
    <w:tbl>
      <w:tblPr>
        <w:tblStyle w:val="Table"/>
        <w:tblW w:type="pct" w:w="5000"/>
        <w:tblLook w:firstRow="0" w:lastRow="0" w:firstColumn="0" w:lastColumn="0" w:noHBand="0" w:noVBand="0" w:val="0000"/>
        <w:jc w:val="start"/>
        <w:tblLayout w:type="fixed"/>
      </w:tblPr>
      <w:tblGrid>
        <w:gridCol w:w="7920"/>
      </w:tblGrid>
      <w:tr>
        <w:tc>
          <w:tcPr/>
          <w:bookmarkStart w:id="41" w:name="fig-city-changes"/>
          <w:p>
            <w:pPr>
              <w:pStyle w:val="Compact"/>
              <w:jc w:val="center"/>
            </w:pPr>
            <w:r>
              <w:drawing>
                <wp:inline>
                  <wp:extent cx="5334000" cy="1799124"/>
                  <wp:effectExtent b="0" l="0" r="0" t="0"/>
                  <wp:docPr descr="" title="" id="39" name="Picture"/>
                  <a:graphic>
                    <a:graphicData uri="http://schemas.openxmlformats.org/drawingml/2006/picture">
                      <pic:pic>
                        <pic:nvPicPr>
                          <pic:cNvPr descr="index_files/figure-docx/fig-city-changes-output-1.png" id="40" name="Picture"/>
                          <pic:cNvPicPr>
                            <a:picLocks noChangeArrowheads="1" noChangeAspect="1"/>
                          </pic:cNvPicPr>
                        </pic:nvPicPr>
                        <pic:blipFill>
                          <a:blip r:embed="rId38"/>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1"/>
        </w:tc>
      </w:tr>
    </w:tbl>
    <w:p>
      <w:pPr>
        <w:pStyle w:val="BodyText"/>
      </w:pPr>
      <w:r>
        <w:t xml:space="preserve">The vast majority, 73%, of those elevated drug sale arrests in the post-pandemic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ook w:firstRow="0" w:lastRow="0" w:firstColumn="0" w:lastColumn="0" w:noHBand="0" w:noVBand="0" w:val="0000"/>
        <w:jc w:val="start"/>
        <w:tblLayout w:type="fixed"/>
      </w:tblPr>
      <w:tblGrid>
        <w:gridCol w:w="7920"/>
      </w:tblGrid>
      <w:tr>
        <w:tc>
          <w:tcPr/>
          <w:bookmarkStart w:id="45" w:name="fig-all-districts"/>
          <w:p>
            <w:pPr>
              <w:pStyle w:val="Compact"/>
              <w:jc w:val="center"/>
            </w:pPr>
            <w:r>
              <w:drawing>
                <wp:inline>
                  <wp:extent cx="5334000" cy="2154171"/>
                  <wp:effectExtent b="0" l="0" r="0" t="0"/>
                  <wp:docPr descr="" title="" id="43" name="Picture"/>
                  <a:graphic>
                    <a:graphicData uri="http://schemas.openxmlformats.org/drawingml/2006/picture">
                      <pic:pic>
                        <pic:nvPicPr>
                          <pic:cNvPr descr="index_files/figure-docx/fig-all-districts-output-1.png" id="44" name="Picture"/>
                          <pic:cNvPicPr>
                            <a:picLocks noChangeArrowheads="1" noChangeAspect="1"/>
                          </pic:cNvPicPr>
                        </pic:nvPicPr>
                        <pic:blipFill>
                          <a:blip r:embed="rId42"/>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5"/>
        </w:tc>
      </w:tr>
    </w:tbl>
    <w:p>
      <w:pPr>
        <w:pStyle w:val="BodyText"/>
      </w:pPr>
      <w:r>
        <w:t xml:space="preserve">The greater Tenderloin also saw a meaningful change in the composition of arrests in the post-pandemic, with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 pandemic. While drug use arrests rose on their face, the increase was not statistically significant, suggesting that the weekly arrest totals were highly variable and not consistently elevated.</w:t>
      </w:r>
    </w:p>
    <w:p>
      <w:pPr>
        <w:pStyle w:val="BodyText"/>
      </w:pPr>
      <w:r>
        <w:t xml:space="preserve">Drug sale arrests saw a significant and large increase, with 6.7 more arrests a week on average in the post-pandemic. This increase is consistent with media coverage of the City’s approach to drug crime in the Tenderloin –</w:t>
      </w:r>
      <w:r>
        <w:t xml:space="preserve"> </w:t>
      </w:r>
      <w:r>
        <w:t xml:space="preserve">Neilson (2023)</w:t>
      </w:r>
      <w:r>
        <w:t xml:space="preserve"> </w:t>
      </w:r>
      <w:r>
        <w:t xml:space="preserve">suggests that policing in the Tenderloin was more aggressive in the post-pandemic, with a particular focus on making arrests for drug sale.</w:t>
      </w:r>
    </w:p>
    <w:tbl>
      <w:tblPr>
        <w:tblStyle w:val="Table"/>
        <w:tblW w:type="pct" w:w="5000"/>
        <w:tblLook w:firstRow="0" w:lastRow="0" w:firstColumn="0" w:lastColumn="0" w:noHBand="0" w:noVBand="0" w:val="0000"/>
        <w:jc w:val="start"/>
        <w:tblLayout w:type="fixed"/>
      </w:tblPr>
      <w:tblGrid>
        <w:gridCol w:w="7920"/>
      </w:tblGrid>
      <w:tr>
        <w:tc>
          <w:tcPr/>
          <w:bookmarkStart w:id="49" w:name="fig-5"/>
          <w:p>
            <w:pPr>
              <w:pStyle w:val="Compact"/>
              <w:jc w:val="center"/>
            </w:pPr>
            <w:r>
              <w:drawing>
                <wp:inline>
                  <wp:extent cx="5334000" cy="1817116"/>
                  <wp:effectExtent b="0" l="0" r="0" t="0"/>
                  <wp:docPr descr="" title="" id="47" name="Picture"/>
                  <a:graphic>
                    <a:graphicData uri="http://schemas.openxmlformats.org/drawingml/2006/picture">
                      <pic:pic>
                        <pic:nvPicPr>
                          <pic:cNvPr descr="index_files/figure-docx/fig-5-output-1.png" id="48" name="Picture"/>
                          <pic:cNvPicPr>
                            <a:picLocks noChangeArrowheads="1" noChangeAspect="1"/>
                          </pic:cNvPicPr>
                        </pic:nvPicPr>
                        <pic:blipFill>
                          <a:blip r:embed="rId46"/>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49"/>
        </w:tc>
      </w:tr>
    </w:tbl>
    <w:bookmarkEnd w:id="50"/>
    <w:bookmarkStart w:id="51" w:name="discussion"/>
    <w:p>
      <w:pPr>
        <w:pStyle w:val="Heading2"/>
      </w:pPr>
      <w:r>
        <w:t xml:space="preserve">Discussion</w:t>
      </w:r>
    </w:p>
    <w:p>
      <w:pPr>
        <w:pStyle w:val="FirstParagraph"/>
      </w:pPr>
      <w:r>
        <w:t xml:space="preserve">I conclude that in the post-pandemic, the City shifted policing resources towards the Tenderloin and towards making arrests for drug sale, the vast majority of which took place in the Tenderloin. To be clear, political and administrative focus on the Tenderloin, and particularly on drug crime in the Tenderloin, is not novel</w:t>
      </w:r>
      <w:r>
        <w:t xml:space="preserve"> </w:t>
      </w:r>
      <w:r>
        <w:t xml:space="preserve">(Hartlaub 2022)</w:t>
      </w:r>
      <w:r>
        <w:t xml:space="preserve">. However, I find that the degree to which the City, in the post-pandemic, emphasized arrest activity in the Tenderloin, is novel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bookmarkEnd w:id="51"/>
    <w:bookmarkStart w:id="83" w:name="appendix"/>
    <w:p>
      <w:pPr>
        <w:pStyle w:val="Heading2"/>
      </w:pPr>
      <w:r>
        <w:t xml:space="preserve">Appendix</w:t>
      </w:r>
    </w:p>
    <w:bookmarkStart w:id="61" w:name="data"/>
    <w:p>
      <w:pPr>
        <w:pStyle w:val="Heading3"/>
      </w:pPr>
      <w:r>
        <w:t xml:space="preserve">Data</w:t>
      </w:r>
    </w:p>
    <w:p>
      <w:pPr>
        <w:pStyle w:val="FirstParagraph"/>
      </w:pPr>
      <w:r>
        <w:t xml:space="preserve">Analysis is based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Filtering is applied to isolate the 119,119 records that represent unique arrests between 01-01-2018 and 02-16-2024. The dataset is then filtered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district arrest totals, suggesting that dropping missing point data does not bias dow.</w:t>
      </w:r>
    </w:p>
    <w:bookmarkStart w:id="56" w:name="sec-gt"/>
    <w:p>
      <w:pPr>
        <w:pStyle w:val="Heading4"/>
      </w:pPr>
      <w:r>
        <w:t xml:space="preserve">Defining the greater Tenderloin</w:t>
      </w:r>
    </w:p>
    <w:p>
      <w:pPr>
        <w:pStyle w:val="FirstParagraph"/>
      </w:pPr>
      <w:r>
        <w:t xml:space="preserve">The</w:t>
      </w:r>
      <w:r>
        <w:t xml:space="preserve"> </w:t>
      </w:r>
      <w:r>
        <w:t xml:space="preserve">“</w:t>
      </w:r>
      <w:r>
        <w:t xml:space="preserve">greater Tenderloin</w:t>
      </w:r>
      <w:r>
        <w:t xml:space="preserve">”</w:t>
      </w:r>
      <w:r>
        <w:t xml:space="preserve"> </w:t>
      </w:r>
      <w:r>
        <w:t xml:space="preserve">is defined 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w:t>
      </w:r>
    </w:p>
    <w:tbl>
      <w:tblPr>
        <w:tblStyle w:val="Table"/>
        <w:tblW w:type="pct" w:w="5000"/>
        <w:tblLook w:firstRow="0" w:lastRow="0" w:firstColumn="0" w:lastColumn="0" w:noHBand="0" w:noVBand="0" w:val="0000"/>
        <w:jc w:val="start"/>
        <w:tblLayout w:type="fixed"/>
      </w:tblPr>
      <w:tblGrid>
        <w:gridCol w:w="7920"/>
      </w:tblGrid>
      <w:tr>
        <w:tc>
          <w:tcPr/>
          <w:bookmarkStart w:id="55" w:name="fig-gt"/>
          <w:p>
            <w:pPr>
              <w:pStyle w:val="Compact"/>
              <w:jc w:val="center"/>
            </w:pPr>
            <w:r>
              <w:drawing>
                <wp:inline>
                  <wp:extent cx="4477173" cy="3874346"/>
                  <wp:effectExtent b="0" l="0" r="0" t="0"/>
                  <wp:docPr descr="" title="" id="53" name="Picture"/>
                  <a:graphic>
                    <a:graphicData uri="http://schemas.openxmlformats.org/drawingml/2006/picture">
                      <pic:pic>
                        <pic:nvPicPr>
                          <pic:cNvPr descr="index_files/figure-docx/fig-gt-output-1.png" id="54" name="Picture"/>
                          <pic:cNvPicPr>
                            <a:picLocks noChangeArrowheads="1" noChangeAspect="1"/>
                          </pic:cNvPicPr>
                        </pic:nvPicPr>
                        <pic:blipFill>
                          <a:blip r:embed="rId52"/>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5"/>
        </w:tc>
      </w:tr>
    </w:tbl>
    <w:bookmarkEnd w:id="56"/>
    <w:bookmarkStart w:id="58"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is defined broadly and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Drug use, or, non-drug sale arrests, are defined as those drug crimes that do not contain the phrase</w:t>
      </w:r>
      <w:r>
        <w:t xml:space="preserve"> </w:t>
      </w:r>
      <w:r>
        <w:t xml:space="preserve">“</w:t>
      </w:r>
      <w:r>
        <w:t xml:space="preserve">sale</w:t>
      </w:r>
      <w:r>
        <w:t xml:space="preserve">”</w:t>
      </w:r>
      <w:r>
        <w:t xml:space="preserve"> </w:t>
      </w:r>
      <w:r>
        <w:t xml:space="preserve">in their description.</w:t>
      </w:r>
    </w:p>
    <w:bookmarkStart w:id="57" w:name="T_4d372"/>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7"/>
    <w:bookmarkEnd w:id="58"/>
    <w:bookmarkStart w:id="60"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59" w:name="T_70801"/>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59"/>
    <w:bookmarkEnd w:id="60"/>
    <w:bookmarkEnd w:id="61"/>
    <w:bookmarkStart w:id="82" w:name="sec-stats"/>
    <w:p>
      <w:pPr>
        <w:pStyle w:val="Heading3"/>
      </w:pPr>
      <w:r>
        <w:t xml:space="preserve">Methods</w:t>
      </w:r>
    </w:p>
    <w:p>
      <w:pPr>
        <w:pStyle w:val="FirstParagraph"/>
      </w:pPr>
      <w:r>
        <w:t xml:space="preserve">The core statistical test used in this memo is defined as follows:</w:t>
      </w:r>
    </w:p>
    <w:p>
      <w:pPr>
        <w:pStyle w:val="BodyText"/>
      </w:pPr>
      <w:bookmarkStart w:id="62"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2"/>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3"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3"/>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Standard errors presented in the memo are obtained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Cs/>
          <w:i/>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4"/>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68"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should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findings. Each of these specifications are theoretically inferior to the block-bootstrap approach, but the use of mis-specified OLS is so common in practice as to merit inclusion.</w:t>
      </w:r>
    </w:p>
    <w:p>
      <w:pPr>
        <w:pStyle w:val="BodyText"/>
      </w:pPr>
      <w:hyperlink w:anchor="eq-ols">
        <w:r>
          <w:rPr>
            <w:rStyle w:val="Hyperlink"/>
          </w:rPr>
          <w:t xml:space="preserve">Equation 1</w:t>
        </w:r>
      </w:hyperlink>
      <w:r>
        <w:t xml:space="preserve">, when estimated using ordinary least squares (OLS), produces standard errors valid under the following assumptions:</w:t>
      </w:r>
    </w:p>
    <w:p>
      <w:pPr>
        <w:numPr>
          <w:ilvl w:val="0"/>
          <w:numId w:val="1002"/>
        </w:numPr>
        <w:pStyle w:val="Compact"/>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numPr>
          <w:ilvl w:val="0"/>
          <w:numId w:val="1002"/>
        </w:numPr>
        <w:pStyle w:val="Compact"/>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7"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w:t>
      </w:r>
    </w:p>
    <w:p>
      <w:pPr>
        <w:numPr>
          <w:ilvl w:val="0"/>
          <w:numId w:val="1003"/>
        </w:numPr>
        <w:pStyle w:val="Compact"/>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was no statistically significant change. Still, the effect is not trivially small, so I temper my conclusion that this arrest class did not increase.</w:t>
      </w:r>
      <w:r>
        <w:br/>
      </w:r>
    </w:p>
    <w:p>
      <w:pPr>
        <w:numPr>
          <w:ilvl w:val="0"/>
          <w:numId w:val="1003"/>
        </w:numPr>
        <w:pStyle w:val="Compact"/>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I refer to larceny theft in the greater Tenderloin as having not changed.</w:t>
      </w:r>
    </w:p>
    <w:p>
      <w:pPr>
        <w:numPr>
          <w:ilvl w:val="0"/>
          <w:numId w:val="1003"/>
        </w:numPr>
        <w:pStyle w:val="Compact"/>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in the memo I defer to the core specification and report no change.</w:t>
      </w:r>
    </w:p>
    <w:p>
      <w:pPr>
        <w:numPr>
          <w:ilvl w:val="0"/>
          <w:numId w:val="1003"/>
        </w:numPr>
        <w:pStyle w:val="Compact"/>
      </w:pPr>
      <w:r>
        <w:t xml:space="preserve">Traffic: tests present a mixed bag and a practically negligible effect size. In the memo I defer to conclusions of the core bootstrap specification.</w:t>
      </w:r>
    </w:p>
    <w:tbl>
      <w:tblPr>
        <w:tblStyle w:val="Table"/>
        <w:tblW w:type="pct" w:w="5000"/>
        <w:tblLook w:firstRow="0" w:lastRow="0" w:firstColumn="0" w:lastColumn="0" w:noHBand="0" w:noVBand="0" w:val="0000"/>
        <w:jc w:val="start"/>
        <w:tblLayout w:type="fixed"/>
      </w:tblPr>
      <w:tblGrid>
        <w:gridCol w:w="7920"/>
      </w:tblGrid>
      <w:tr>
        <w:tc>
          <w:tcPr/>
          <w:bookmarkStart w:id="65"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5"/>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6"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(block=4),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6"/>
          <w:p/>
        </w:tc>
      </w:tr>
    </w:tbl>
    <w:bookmarkEnd w:id="67"/>
    <w:bookmarkEnd w:id="68"/>
    <w:bookmarkStart w:id="81" w:name="references"/>
    <w:p>
      <w:pPr>
        <w:pStyle w:val="Heading4"/>
      </w:pPr>
      <w:r>
        <w:t xml:space="preserve">References</w:t>
      </w:r>
    </w:p>
    <w:bookmarkStart w:id="80" w:name="refs"/>
    <w:bookmarkStart w:id="70"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Cs/>
          <w:i/>
        </w:rPr>
        <w:t xml:space="preserve">Journal of Public Economics</w:t>
      </w:r>
      <w:r>
        <w:t xml:space="preserve"> </w:t>
      </w:r>
      <w:r>
        <w:t xml:space="preserve">194 (February): 104344.</w:t>
      </w:r>
      <w:r>
        <w:t xml:space="preserve"> </w:t>
      </w:r>
      <w:hyperlink r:id="rId69">
        <w:r>
          <w:rPr>
            <w:rStyle w:val="Hyperlink"/>
          </w:rPr>
          <w:t xml:space="preserve">https://doi.org/10.1016/j.jpubeco.2020.104344</w:t>
        </w:r>
      </w:hyperlink>
      <w:r>
        <w:t xml:space="preserve">.</w:t>
      </w:r>
    </w:p>
    <w:bookmarkEnd w:id="70"/>
    <w:bookmarkStart w:id="72"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Cs/>
          <w:i/>
        </w:rPr>
        <w:t xml:space="preserve">Dataset Explainers</w:t>
      </w:r>
      <w:r>
        <w:t xml:space="preserve">.</w:t>
      </w:r>
      <w:r>
        <w:t xml:space="preserve"> </w:t>
      </w:r>
      <w:hyperlink r:id="rId71">
        <w:r>
          <w:rPr>
            <w:rStyle w:val="Hyperlink"/>
          </w:rPr>
          <w:t xml:space="preserve">https://datasf.gitbook.io/datasf-dataset-explainers/sfpd-incident-report-2018-to-present</w:t>
        </w:r>
      </w:hyperlink>
      <w:r>
        <w:t xml:space="preserve">.</w:t>
      </w:r>
    </w:p>
    <w:bookmarkEnd w:id="72"/>
    <w:bookmarkStart w:id="74"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Cs/>
          <w:i/>
        </w:rPr>
        <w:t xml:space="preserve">The San Francisco Chronicle</w:t>
      </w:r>
      <w:r>
        <w:t xml:space="preserve">, February.</w:t>
      </w:r>
      <w:r>
        <w:t xml:space="preserve"> </w:t>
      </w:r>
      <w:hyperlink r:id="rId73">
        <w:r>
          <w:rPr>
            <w:rStyle w:val="Hyperlink"/>
          </w:rPr>
          <w:t xml:space="preserve">https://www.sfchronicle.com/projects/2022/san-francisco-tenderloin-history</w:t>
        </w:r>
      </w:hyperlink>
      <w:r>
        <w:t xml:space="preserve">.</w:t>
      </w:r>
    </w:p>
    <w:bookmarkEnd w:id="74"/>
    <w:bookmarkStart w:id="75" w:name="ref-james_introduction_2021"/>
    <w:p>
      <w:pPr>
        <w:pStyle w:val="Bibliography"/>
      </w:pPr>
      <w:r>
        <w:t xml:space="preserve">James, Gareth, Daniela Witten, Trevor Hastie, and Robert Tibshirani. 2021.</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w:t>
      </w:r>
      <w:r>
        <w:rPr>
          <w:iCs/>
          <w:i/>
        </w:rPr>
        <w:t xml:space="preserve"> </w:t>
      </w:r>
      <w:r>
        <w:rPr>
          <w:iCs/>
          <w:i/>
        </w:rPr>
        <w:t xml:space="preserve">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2nd ed. 2021 edition. New York, NY: Springer.</w:t>
      </w:r>
    </w:p>
    <w:bookmarkEnd w:id="75"/>
    <w:bookmarkStart w:id="77"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Cs/>
          <w:i/>
        </w:rPr>
        <w:t xml:space="preserve">San Francisco Chronicle</w:t>
      </w:r>
      <w:r>
        <w:t xml:space="preserve">, September.</w:t>
      </w:r>
      <w:r>
        <w:t xml:space="preserve"> </w:t>
      </w:r>
      <w:hyperlink r:id="rId76">
        <w:r>
          <w:rPr>
            <w:rStyle w:val="Hyperlink"/>
          </w:rPr>
          <w:t xml:space="preserve">https://www.sfchronicle.com/sf/article/tenderloin-drug-arrests-18327055.php</w:t>
        </w:r>
      </w:hyperlink>
      <w:r>
        <w:t xml:space="preserve">.</w:t>
      </w:r>
    </w:p>
    <w:bookmarkEnd w:id="77"/>
    <w:bookmarkStart w:id="79"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Cs/>
          <w:i/>
        </w:rPr>
        <w:t xml:space="preserve">American Journal of Epidemiology</w:t>
      </w:r>
      <w:r>
        <w:t xml:space="preserve"> </w:t>
      </w:r>
      <w:r>
        <w:t xml:space="preserve">188 (3): 617–18.</w:t>
      </w:r>
      <w:r>
        <w:t xml:space="preserve"> </w:t>
      </w:r>
      <w:hyperlink r:id="rId78">
        <w:r>
          <w:rPr>
            <w:rStyle w:val="Hyperlink"/>
          </w:rPr>
          <w:t xml:space="preserve">https://doi.org/10.1093/aje/kwy250</w:t>
        </w:r>
      </w:hyperlink>
      <w:r>
        <w:t xml:space="preserve">.</w:t>
      </w:r>
    </w:p>
    <w:bookmarkEnd w:id="79"/>
    <w:bookmarkEnd w:id="80"/>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6">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7">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4">
    <w:p>
      <w:pPr>
        <w:pStyle w:val="FootnoteText"/>
      </w:pPr>
      <w:r>
        <w:rPr>
          <w:rStyle w:val="FootnoteReference"/>
        </w:rPr>
        <w:footnoteRef/>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20" Target="media/rId20.png" /><Relationship Type="http://schemas.openxmlformats.org/officeDocument/2006/relationships/hyperlink" Id="rId71" Target="https://datasf.gitbook.io/datasf-dataset-explainers/sfpd-incident-report-2018-to-present" TargetMode="External" /><Relationship Type="http://schemas.openxmlformats.org/officeDocument/2006/relationships/hyperlink" Id="rId69" Target="https://doi.org/10.1016/j.jpubeco.2020.104344" TargetMode="External" /><Relationship Type="http://schemas.openxmlformats.org/officeDocument/2006/relationships/hyperlink" Id="rId78" Target="https://doi.org/10.1093/aje/kwy250" TargetMode="External" /><Relationship Type="http://schemas.openxmlformats.org/officeDocument/2006/relationships/hyperlink" Id="rId73" Target="https://www.sfchronicle.com/projects/2022/san-francisco-tenderloin-history" TargetMode="External" /><Relationship Type="http://schemas.openxmlformats.org/officeDocument/2006/relationships/hyperlink" Id="rId76"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1" Target="https://datasf.gitbook.io/datasf-dataset-explainers/sfpd-incident-report-2018-to-present" TargetMode="External" /><Relationship Type="http://schemas.openxmlformats.org/officeDocument/2006/relationships/hyperlink" Id="rId69" Target="https://doi.org/10.1016/j.jpubeco.2020.104344" TargetMode="External" /><Relationship Type="http://schemas.openxmlformats.org/officeDocument/2006/relationships/hyperlink" Id="rId78" Target="https://doi.org/10.1093/aje/kwy250" TargetMode="External" /><Relationship Type="http://schemas.openxmlformats.org/officeDocument/2006/relationships/hyperlink" Id="rId73" Target="https://www.sfchronicle.com/projects/2022/san-francisco-tenderloin-history" TargetMode="External" /><Relationship Type="http://schemas.openxmlformats.org/officeDocument/2006/relationships/hyperlink" Id="rId76"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2024-07-29T17:45:13Z</dcterms:created>
  <dcterms:modified xsi:type="dcterms:W3CDTF">2024-07-29T17:45:13Z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