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6.png" ContentType="image/png"/>
  <Override PartName="/word/media/rId42.png" ContentType="image/png"/>
  <Override PartName="/word/media/rId38.png" ContentType="image/png"/>
  <Override PartName="/word/media/rId5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2023-02-17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with a steady decrease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the increase driven by drug sale arrests.</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that are reported to law enforcement and go on to produce an arrest. Trends in arrest do not necessarily point to equal trends in crime, rather, they point to trends in how the City and Police Department are prioritizing law enforcement resources. Thus I conclude that in the post-pandemic, the City shifted policing resources towards the Tenderloin and towards making arrests for drug sale crime.</w:t>
      </w:r>
    </w:p>
    <w:bookmarkStart w:id="29" w:name="Xb82c151f821593e21b36c97ef6d010d06516914"/>
    <w:p>
      <w:pPr>
        <w:pStyle w:val="Heading2"/>
      </w:pPr>
      <w:r>
        <w:t xml:space="preserve">Geographic concentration in the Tenderloin</w:t>
      </w:r>
    </w:p>
    <w:p>
      <w:pPr>
        <w:pStyle w:val="FirstParagraph"/>
      </w:pPr>
      <w:r>
        <w:t xml:space="preserve">Geographic trends in arrest over the six-year analysis period are shown in</w:t>
      </w:r>
      <w:r>
        <w:t xml:space="preserve"> </w:t>
      </w:r>
      <w:hyperlink w:anchor="fig-tenderloin">
        <w:r>
          <w:rPr>
            <w:rStyle w:val="Hyperlink"/>
          </w:rPr>
          <w:t xml:space="preserve">Figure 1</w:t>
        </w:r>
      </w:hyperlink>
      <w:r>
        <w:t xml:space="preserve">.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High arrest numbers in the Northern, Central, and Southern districts were driven by arrests taking place along those regions’ borders with the Tenderloin.</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Arrests in the greater Tenderloin made up 27% of the total arrests in San Francisco in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0"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 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 period.</w:t>
      </w:r>
    </w:p>
    <w:tbl>
      <w:tblPr>
        <w:tblStyle w:val="Table"/>
        <w:tblW w:type="pct" w:w="5000"/>
        <w:tblLook w:firstRow="0" w:lastRow="0" w:firstColumn="0" w:lastColumn="0" w:noHBand="0" w:noVBand="0" w:val="0000"/>
        <w:jc w:val="start"/>
        <w:tblLayout w:type="fixed"/>
      </w:tblPr>
      <w:tblGrid>
        <w:gridCol w:w="7920"/>
      </w:tblGrid>
      <w:tr>
        <w:tc>
          <w:tcPr/>
          <w:bookmarkStart w:id="35" w:name="tbl-post"/>
          <w:p>
            <w:pPr>
              <w:jc w:val="center"/>
            </w:pPr>
            <w:pPr>
              <w:jc w:val="start"/>
              <w:spacing w:before="200"/>
              <w:pStyle w:val="ImageCaption"/>
            </w:pPr>
            <w:r>
              <w:t xml:space="preserve">Table 1: Weekly Arrest Totals in the pre/post pandemic</w:t>
            </w:r>
          </w:p>
          <w:bookmarkStart w:id="34" w:name="T_31c7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4"/>
          <w:bookmarkEnd w:id="35"/>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6"/>
      </w:r>
      <w:r>
        <w:t xml:space="preserve"> </w:t>
      </w:r>
      <w:r>
        <w:t xml:space="preserve">arrests all returned to or else never deviated from pre-pandemic levels, with average weekly arrest levels in the post-pandemic indistinguishable from the pre-pandemic. All trends are shown in</w:t>
      </w:r>
      <w:r>
        <w:t xml:space="preserve"> </w:t>
      </w:r>
      <w:hyperlink w:anchor="fig-city-changes">
        <w:r>
          <w:rPr>
            <w:rStyle w:val="Hyperlink"/>
          </w:rPr>
          <w:t xml:space="preserve">Figure 4</w:t>
        </w:r>
      </w:hyperlink>
      <w:r>
        <w:t xml:space="preserve">, using a statistical approach detailed in the Appendix</w:t>
      </w:r>
      <w:r>
        <w:t xml:space="preserve"> </w:t>
      </w:r>
      <w:hyperlink w:anchor="sec-stats">
        <w:r>
          <w:rPr>
            <w:rStyle w:val="Hyperlink"/>
          </w:rPr>
          <w:t xml:space="preserve">Section 4.2</w:t>
        </w:r>
      </w:hyperlink>
      <w:r>
        <w:t xml:space="preserve">.</w:t>
      </w:r>
    </w:p>
    <w:p>
      <w:pPr>
        <w:pStyle w:val="BodyText"/>
      </w:pPr>
      <w:r>
        <w:t xml:space="preserve">The only incident category examined where arrest activity significantly increased in the post-pandemic was arrest tied to the sale of drugs,</w:t>
      </w:r>
      <w:r>
        <w:rPr>
          <w:rStyle w:val="FootnoteReference"/>
        </w:rPr>
        <w:footnoteReference w:id="37"/>
      </w:r>
      <w:r>
        <w:t xml:space="preserve"> </w:t>
      </w:r>
      <w:r>
        <w:t xml:space="preserve">up by 7.43 arrests a week on average. It is notable that drug sale arrests increased while drug-use arrests did not.</w:t>
      </w:r>
    </w:p>
    <w:tbl>
      <w:tblPr>
        <w:tblStyle w:val="Table"/>
        <w:tblW w:type="pct" w:w="5000"/>
        <w:tblLook w:firstRow="0" w:lastRow="0" w:firstColumn="0" w:lastColumn="0" w:noHBand="0" w:noVBand="0" w:val="0000"/>
        <w:jc w:val="start"/>
        <w:tblLayout w:type="fixed"/>
      </w:tblPr>
      <w:tblGrid>
        <w:gridCol w:w="7920"/>
      </w:tblGrid>
      <w:tr>
        <w:tc>
          <w:tcPr/>
          <w:bookmarkStart w:id="41" w:name="fig-city-changes"/>
          <w:p>
            <w:pPr>
              <w:pStyle w:val="Compact"/>
              <w:jc w:val="center"/>
            </w:pPr>
            <w:r>
              <w:drawing>
                <wp:inline>
                  <wp:extent cx="5334000" cy="1817116"/>
                  <wp:effectExtent b="0" l="0" r="0" t="0"/>
                  <wp:docPr descr="" title="" id="39" name="Picture"/>
                  <a:graphic>
                    <a:graphicData uri="http://schemas.openxmlformats.org/drawingml/2006/picture">
                      <pic:pic>
                        <pic:nvPicPr>
                          <pic:cNvPr descr="index_files/figure-docx/fig-city-changes-output-1.png" id="40" name="Picture"/>
                          <pic:cNvPicPr>
                            <a:picLocks noChangeArrowheads="1" noChangeAspect="1"/>
                          </pic:cNvPicPr>
                        </pic:nvPicPr>
                        <pic:blipFill>
                          <a:blip r:embed="rId3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1"/>
        </w:tc>
      </w:tr>
    </w:tbl>
    <w:p>
      <w:pPr>
        <w:pStyle w:val="BodyText"/>
      </w:pPr>
      <w:r>
        <w:t xml:space="preserve">The vast majority, 73%, of those elevated drug sale arrests in the post-pandemic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5" w:name="fig-all-districts"/>
          <w:p>
            <w:pPr>
              <w:pStyle w:val="Compact"/>
              <w:jc w:val="center"/>
            </w:pPr>
            <w:r>
              <w:drawing>
                <wp:inline>
                  <wp:extent cx="5334000" cy="2154171"/>
                  <wp:effectExtent b="0" l="0" r="0" t="0"/>
                  <wp:docPr descr="" title="" id="43" name="Picture"/>
                  <a:graphic>
                    <a:graphicData uri="http://schemas.openxmlformats.org/drawingml/2006/picture">
                      <pic:pic>
                        <pic:nvPicPr>
                          <pic:cNvPr descr="index_files/figure-docx/fig-all-districts-output-1.png" id="44" name="Picture"/>
                          <pic:cNvPicPr>
                            <a:picLocks noChangeArrowheads="1" noChangeAspect="1"/>
                          </pic:cNvPicPr>
                        </pic:nvPicPr>
                        <pic:blipFill>
                          <a:blip r:embed="rId42"/>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5"/>
        </w:tc>
      </w:tr>
    </w:tbl>
    <w:p>
      <w:pPr>
        <w:pStyle w:val="BodyText"/>
      </w:pPr>
      <w:r>
        <w:t xml:space="preserve">The greater Tenderloin also saw a meaningful change in the composition of arrests in the post-pandemic, with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 pandemic. While drug use arrests rose on their face, the increase was not statistically significant, due to the weekly arrest totals being highly variable and not consistently elevated.</w:t>
      </w:r>
    </w:p>
    <w:p>
      <w:pPr>
        <w:pStyle w:val="BodyText"/>
      </w:pPr>
      <w:r>
        <w:t xml:space="preserve">Drug sale arrests saw a significant and large increase, with 6.7 more arrests a week on average in the post-pandemic than the pre period. This increase is consistent with media coverage of the City’s approach to drug crime in the Tenderloin –</w:t>
      </w:r>
      <w:r>
        <w:t xml:space="preserve"> </w:t>
      </w:r>
      <w:r>
        <w:t xml:space="preserve">Neilson (2023)</w:t>
      </w:r>
      <w:r>
        <w:t xml:space="preserve"> </w:t>
      </w:r>
      <w:r>
        <w:t xml:space="preserve">suggests that policing in the Tenderloin was more aggressive in the post-pandemic, with a particular focus on making arrests for drug sale and facing political pressure to avoid making arrests for drug use.</w:t>
      </w:r>
    </w:p>
    <w:tbl>
      <w:tblPr>
        <w:tblStyle w:val="Table"/>
        <w:tblW w:type="pct" w:w="5000"/>
        <w:tblLook w:firstRow="0" w:lastRow="0" w:firstColumn="0" w:lastColumn="0" w:noHBand="0" w:noVBand="0" w:val="0000"/>
        <w:jc w:val="start"/>
        <w:tblLayout w:type="fixed"/>
      </w:tblPr>
      <w:tblGrid>
        <w:gridCol w:w="7920"/>
      </w:tblGrid>
      <w:tr>
        <w:tc>
          <w:tcPr/>
          <w:bookmarkStart w:id="49" w:name="fig-5"/>
          <w:p>
            <w:pPr>
              <w:pStyle w:val="Compact"/>
              <w:jc w:val="center"/>
            </w:pPr>
            <w:r>
              <w:drawing>
                <wp:inline>
                  <wp:extent cx="5334000" cy="1817116"/>
                  <wp:effectExtent b="0" l="0" r="0" t="0"/>
                  <wp:docPr descr="" title="" id="47" name="Picture"/>
                  <a:graphic>
                    <a:graphicData uri="http://schemas.openxmlformats.org/drawingml/2006/picture">
                      <pic:pic>
                        <pic:nvPicPr>
                          <pic:cNvPr descr="index_files/figure-docx/fig-5-output-1.png" id="48" name="Picture"/>
                          <pic:cNvPicPr>
                            <a:picLocks noChangeArrowheads="1" noChangeAspect="1"/>
                          </pic:cNvPicPr>
                        </pic:nvPicPr>
                        <pic:blipFill>
                          <a:blip r:embed="rId46"/>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49"/>
        </w:tc>
      </w:tr>
    </w:tbl>
    <w:bookmarkEnd w:id="50"/>
    <w:bookmarkStart w:id="51" w:name="discussion"/>
    <w:p>
      <w:pPr>
        <w:pStyle w:val="Heading2"/>
      </w:pPr>
      <w:r>
        <w:t xml:space="preserve">Discussion</w:t>
      </w:r>
    </w:p>
    <w:p>
      <w:pPr>
        <w:pStyle w:val="FirstParagraph"/>
      </w:pPr>
      <w:r>
        <w:t xml:space="preserve">I conclude that in the post-pandemic, the City shifted policing resources towards the Tenderloin and towards making arrests for drug sale, the vast majority of which took place in the Tenderloin. To be clear, political and administrative focus on the Tenderloin, and particularly on drug crime in the Tenderloin, is not novel</w:t>
      </w:r>
      <w:r>
        <w:t xml:space="preserve"> </w:t>
      </w:r>
      <w:r>
        <w:t xml:space="preserve">(Hartlaub 2022)</w:t>
      </w:r>
      <w:r>
        <w:t xml:space="preserve">. However, I find that the degree to which the City, in the post-pandemic, has emphasized arrest activity in the Tenderloin, is novel. The arrest gap between the greater Tenderloin and all other regions in the City has grown considerably. This shift in policing resources may be in response to rising drug sale crime in the Tenderloin, but further research using criminal incident data is necessary to confirm any trends in crime.</w:t>
      </w:r>
    </w:p>
    <w:bookmarkEnd w:id="51"/>
    <w:bookmarkStart w:id="80" w:name="appendix"/>
    <w:p>
      <w:pPr>
        <w:pStyle w:val="Heading2"/>
      </w:pPr>
      <w:r>
        <w:t xml:space="preserve">Appendix</w:t>
      </w:r>
    </w:p>
    <w:bookmarkStart w:id="61" w:name="data"/>
    <w:p>
      <w:pPr>
        <w:pStyle w:val="Heading3"/>
      </w:pPr>
      <w:r>
        <w:t xml:space="preserve">Data</w:t>
      </w:r>
    </w:p>
    <w:p>
      <w:pPr>
        <w:pStyle w:val="FirstParagraph"/>
      </w:pPr>
      <w:r>
        <w:t xml:space="preserve">All analysis is based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Filtering is applied to isolate the 119,119 records that represent all arrests from 01-01-2018 to 16-02-2024. Geographic point data is available for 118,506 of those records – the vast majority of arrests with missing point data were arrests that took place outside of San Francisco, with the negligible missing-ness for arrests in San Francisco distributed across districts proportional to their arrest totals. All analysis is based on the arrests with geographic point data.</w:t>
      </w:r>
    </w:p>
    <w:bookmarkStart w:id="56" w:name="sec-gt"/>
    <w:p>
      <w:pPr>
        <w:pStyle w:val="Heading4"/>
      </w:pPr>
      <w:r>
        <w:t xml:space="preserve">Defining the greater Tenderloin</w:t>
      </w:r>
    </w:p>
    <w:p>
      <w:pPr>
        <w:pStyle w:val="FirstParagraph"/>
      </w:pPr>
      <w:r>
        <w:t xml:space="preserve">The</w:t>
      </w:r>
      <w:r>
        <w:t xml:space="preserve"> </w:t>
      </w:r>
      <w:r>
        <w:t xml:space="preserve">“</w:t>
      </w:r>
      <w:r>
        <w:t xml:space="preserve">greater Tenderloin</w:t>
      </w:r>
      <w:r>
        <w:t xml:space="preserve">”</w:t>
      </w:r>
      <w:r>
        <w:t xml:space="preserve"> </w:t>
      </w:r>
      <w:r>
        <w:t xml:space="preserve">is defined 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55" w:name="fig-gt"/>
          <w:p>
            <w:pPr>
              <w:pStyle w:val="Compact"/>
              <w:jc w:val="center"/>
            </w:pPr>
            <w:r>
              <w:drawing>
                <wp:inline>
                  <wp:extent cx="4144296" cy="3591232"/>
                  <wp:effectExtent b="0" l="0" r="0" t="0"/>
                  <wp:docPr descr="" title="" id="53" name="Picture"/>
                  <a:graphic>
                    <a:graphicData uri="http://schemas.openxmlformats.org/drawingml/2006/picture">
                      <pic:pic>
                        <pic:nvPicPr>
                          <pic:cNvPr descr="index_files/figure-docx/fig-gt-output-1.png" id="54" name="Picture"/>
                          <pic:cNvPicPr>
                            <a:picLocks noChangeArrowheads="1" noChangeAspect="1"/>
                          </pic:cNvPicPr>
                        </pic:nvPicPr>
                        <pic:blipFill>
                          <a:blip r:embed="rId52"/>
                          <a:stretch>
                            <a:fillRect/>
                          </a:stretch>
                        </pic:blipFill>
                        <pic:spPr bwMode="auto">
                          <a:xfrm>
                            <a:off x="0" y="0"/>
                            <a:ext cx="4144296" cy="35912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5"/>
        </w:tc>
      </w:tr>
    </w:tbl>
    <w:bookmarkEnd w:id="56"/>
    <w:bookmarkStart w:id="58"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is defined broadly and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w:t>
      </w:r>
      <w:r>
        <w:br/>
      </w:r>
      <w:r>
        <w:t xml:space="preserve">Drug use, or, non-drug sale arrests, are defined as those drug crimes that do not contain the phrase</w:t>
      </w:r>
      <w:r>
        <w:t xml:space="preserve"> </w:t>
      </w:r>
      <w:r>
        <w:t xml:space="preserve">“</w:t>
      </w:r>
      <w:r>
        <w:t xml:space="preserve">sale</w:t>
      </w:r>
      <w:r>
        <w:t xml:space="preserve">”</w:t>
      </w:r>
      <w:r>
        <w:t xml:space="preserve"> </w:t>
      </w:r>
      <w:r>
        <w:t xml:space="preserve">in their description.</w:t>
      </w:r>
    </w:p>
    <w:bookmarkStart w:id="57" w:name="T_30aa0"/>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7"/>
    <w:bookmarkEnd w:id="58"/>
    <w:bookmarkStart w:id="60"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59" w:name="T_4c7a4"/>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59"/>
    <w:bookmarkEnd w:id="60"/>
    <w:bookmarkEnd w:id="61"/>
    <w:bookmarkStart w:id="79" w:name="sec-stats"/>
    <w:p>
      <w:pPr>
        <w:pStyle w:val="Heading3"/>
      </w:pPr>
      <w:r>
        <w:t xml:space="preserve">Statistical Approach</w:t>
      </w:r>
    </w:p>
    <w:p>
      <w:pPr>
        <w:pStyle w:val="FirstParagraph"/>
      </w:pPr>
      <w:r>
        <w:t xml:space="preserve">The core statistical test used in this memo is defined as follows:</w:t>
      </w:r>
    </w:p>
    <w:p>
      <w:pPr>
        <w:pStyle w:val="BodyText"/>
      </w:pPr>
      <w:bookmarkStart w:id="62"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2"/>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3"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3"/>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w:t>
      </w:r>
    </w:p>
    <w:p>
      <w:pPr>
        <w:pStyle w:val="BodyText"/>
      </w:pPr>
      <w:r>
        <w:t xml:space="preserve">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4"/>
      </w:r>
      <w:r>
        <w:t xml:space="preserve"> </w:t>
      </w:r>
      <w:r>
        <w:t xml:space="preserve">the bonferroni correction implies instead testing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p>
      <w:pPr>
        <w:pStyle w:val="BodyText"/>
      </w:pPr>
      <w:r>
        <w:t xml:space="preserve">The bonferroni correction has been criticized as being overly conservative when the amount of hypotheses being tested is very large or sample sizes are very small, but in this setting, where only 9 related hypotheses are being tested and the week-level time series is fairly large at</w:t>
      </w:r>
      <w:r>
        <w:t xml:space="preserve"> </w:t>
      </w:r>
      <m:oMath>
        <m:r>
          <m:t>n</m:t>
        </m:r>
        <m:r>
          <m:rPr>
            <m:sty m:val="p"/>
          </m:rPr>
          <m:t>=</m:t>
        </m:r>
      </m:oMath>
      <w:r>
        <w:t xml:space="preserve"> </w:t>
      </w:r>
      <w:r>
        <w:t xml:space="preserve">313, the bonferroni correction should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 The correction has no effect on estimates that are ascribed policy-relevance in the memo, but does makes a difference for Robbery and Traffic arrests in the Tenderloin, which, without the correction, have statistically significant, small, decreases, and with the correction have no statistically significant change. These findings are not relevant for the core findings of the memo.</w:t>
      </w:r>
    </w:p>
    <w:p>
      <w:pPr>
        <w:pStyle w:val="BodyText"/>
      </w:pPr>
      <w:r>
        <w:t xml:space="preserve">Note that</w:t>
      </w:r>
      <w:r>
        <w:t xml:space="preserve"> </w:t>
      </w:r>
      <w:hyperlink w:anchor="eq-ols">
        <w:r>
          <w:rPr>
            <w:rStyle w:val="Hyperlink"/>
          </w:rPr>
          <w:t xml:space="preserve">Equation 1</w:t>
        </w:r>
      </w:hyperlink>
      <w:r>
        <w:t xml:space="preserve"> </w:t>
      </w:r>
      <w:r>
        <w:t xml:space="preserve">is estimated under the assumption that 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 In the context of weekly arrest totals, which are a time-series that exhibit autocorrelation, the assumption of constant variance may be problematic. Estimation is repeated using autocorrelation-robust Newey-West estimation and using the block bootstrap, with weeks clustered into one month groups, for nonparametric estimation.</w:t>
      </w:r>
      <w:r>
        <w:t xml:space="preserve"> </w:t>
      </w:r>
      <w:hyperlink w:anchor="eq-ols">
        <w:r>
          <w:rPr>
            <w:rStyle w:val="Hyperlink"/>
          </w:rPr>
          <w:t xml:space="preserve">Equation 1</w:t>
        </w:r>
      </w:hyperlink>
      <w:r>
        <w:t xml:space="preserve"> </w:t>
      </w:r>
      <w:r>
        <w:t xml:space="preserve">is also estimated under the assumption that arrests of each type are continuous and distributed normally, which are both not true for arrest count data, but the block bootstrap specification makes no assumptions about the distribution of the outcome and consistently reaches the same policy conclusions as</w:t>
      </w:r>
      <w:r>
        <w:t xml:space="preserve"> </w:t>
      </w:r>
      <w:hyperlink w:anchor="eq-ols">
        <w:r>
          <w:rPr>
            <w:rStyle w:val="Hyperlink"/>
          </w:rPr>
          <w:t xml:space="preserve">Equation 1</w:t>
        </w:r>
      </w:hyperlink>
      <w:r>
        <w:t xml:space="preserve">. Specification does not change the core findings.</w:t>
      </w:r>
    </w:p>
    <w:tbl>
      <w:tblPr>
        <w:tblStyle w:val="Table"/>
        <w:tblW w:type="pct" w:w="5000"/>
        <w:tblLook w:firstRow="0" w:lastRow="0" w:firstColumn="0" w:lastColumn="0" w:noHBand="0" w:noVBand="0" w:val="0000"/>
        <w:jc w:val="start"/>
        <w:tblLayout w:type="fixed"/>
      </w:tblPr>
      <w:tblGrid>
        <w:gridCol w:w="7920"/>
      </w:tblGrid>
      <w:tr>
        <w:tc>
          <w:tcPr/>
          <w:bookmarkStart w:id="65"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-10.355048</w:t>
                  </w:r>
                </w:p>
              </w:tc>
              <w:tc>
                <w:tcPr/>
                <w:p>
                  <w:pPr>
                    <w:pStyle w:val="Compact"/>
                    <w:jc w:val="left"/>
                    <w:jc w:val="center"/>
                  </w:pPr>
                  <w:r>
                    <w:t xml:space="preserve">-5.605288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-1.482933</w:t>
                  </w:r>
                </w:p>
              </w:tc>
              <w:tc>
                <w:tcPr/>
                <w:p>
                  <w:pPr>
                    <w:pStyle w:val="Compact"/>
                    <w:jc w:val="left"/>
                    <w:jc w:val="center"/>
                  </w:pPr>
                  <w:r>
                    <w:t xml:space="preserve">0.571635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-10.985337</w:t>
                  </w:r>
                </w:p>
              </w:tc>
              <w:tc>
                <w:tcPr/>
                <w:p>
                  <w:pPr>
                    <w:pStyle w:val="Compact"/>
                    <w:jc w:val="left"/>
                    <w:jc w:val="center"/>
                  </w:pPr>
                  <w:r>
                    <w:t xml:space="preserve">4.263942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1.731731</w:t>
                  </w:r>
                </w:p>
              </w:tc>
              <w:tc>
                <w:tcPr/>
                <w:p>
                  <w:pPr>
                    <w:pStyle w:val="Compact"/>
                    <w:jc w:val="left"/>
                    <w:jc w:val="center"/>
                  </w:pPr>
                  <w:r>
                    <w:t xml:space="preserve">13.421875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-0.067308</w:t>
                  </w:r>
                </w:p>
              </w:tc>
              <w:tc>
                <w:tcPr/>
                <w:p>
                  <w:pPr>
                    <w:pStyle w:val="Compact"/>
                    <w:jc w:val="left"/>
                    <w:jc w:val="center"/>
                  </w:pPr>
                  <w:r>
                    <w:t xml:space="preserve">0.144231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-12.342067</w:t>
                  </w:r>
                </w:p>
              </w:tc>
              <w:tc>
                <w:tcPr/>
                <w:p>
                  <w:pPr>
                    <w:pStyle w:val="Compact"/>
                    <w:jc w:val="left"/>
                    <w:jc w:val="center"/>
                  </w:pPr>
                  <w:r>
                    <w:t xml:space="preserve">-6.376923</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-4.227644</w:t>
                  </w:r>
                </w:p>
              </w:tc>
              <w:tc>
                <w:tcPr/>
                <w:p>
                  <w:pPr>
                    <w:pStyle w:val="Compact"/>
                    <w:jc w:val="left"/>
                    <w:jc w:val="center"/>
                  </w:pPr>
                  <w:r>
                    <w:t xml:space="preserve">-1.796635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-24.349519</w:t>
                  </w:r>
                </w:p>
              </w:tc>
              <w:tc>
                <w:tcPr/>
                <w:p>
                  <w:pPr>
                    <w:pStyle w:val="Compact"/>
                    <w:jc w:val="left"/>
                    <w:jc w:val="center"/>
                  </w:pPr>
                  <w:r>
                    <w:t xml:space="preserve">-15.896154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-3.127404</w:t>
                  </w:r>
                </w:p>
              </w:tc>
              <w:tc>
                <w:tcPr/>
                <w:p>
                  <w:pPr>
                    <w:pStyle w:val="Compact"/>
                    <w:jc w:val="left"/>
                    <w:jc w:val="center"/>
                  </w:pPr>
                  <w:r>
                    <w:t xml:space="preserve">0.914663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bl>
          <w:bookmarkEnd w:id="65"/>
          <w:p/>
        </w:tc>
      </w:tr>
    </w:tbl>
    <w:p>
      <w:pPr>
        <w:pStyle w:val="BodyText"/>
      </w:pPr>
      <w:hyperlink w:anchor="tbl-robust-tl">
        <w:r>
          <w:rPr>
            <w:rStyle w:val="Hyperlink"/>
          </w:rPr>
          <w:t xml:space="preserve">Table 3</w:t>
        </w:r>
      </w:hyperlink>
      <w:r>
        <w:t xml:space="preserve"> </w:t>
      </w:r>
      <w:r>
        <w:t xml:space="preserve">shows that testing specification makes a small difference for conclusions around changes in Robbery and Traffic arrests in the greater Tenderloin. The conservatism of the bonferroni correction prevents one from concluding that these arrest types decreases slightly in the post-pandemic greater Tenderloin. This is ultimately not relevant to the policy conclusions of this memo.</w:t>
      </w:r>
    </w:p>
    <w:tbl>
      <w:tblPr>
        <w:tblStyle w:val="Table"/>
        <w:tblW w:type="pct" w:w="5000"/>
        <w:tblLook w:firstRow="0" w:lastRow="0" w:firstColumn="0" w:lastColumn="0" w:noHBand="0" w:noVBand="0" w:val="0000"/>
        <w:jc w:val="start"/>
        <w:tblLayout w:type="fixed"/>
      </w:tblPr>
      <w:tblGrid>
        <w:gridCol w:w="7920"/>
      </w:tblGrid>
      <w:tr>
        <w:tc>
          <w:tcPr/>
          <w:bookmarkStart w:id="66"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-1.464904</w:t>
                  </w:r>
                </w:p>
              </w:tc>
              <w:tc>
                <w:tcPr/>
                <w:p>
                  <w:pPr>
                    <w:pStyle w:val="Compact"/>
                    <w:jc w:val="left"/>
                    <w:jc w:val="center"/>
                  </w:pPr>
                  <w:r>
                    <w:t xml:space="preserve">0.309856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-0.386779</w:t>
                  </w:r>
                </w:p>
              </w:tc>
              <w:tc>
                <w:tcPr/>
                <w:p>
                  <w:pPr>
                    <w:pStyle w:val="Compact"/>
                    <w:jc w:val="left"/>
                    <w:jc w:val="center"/>
                  </w:pPr>
                  <w:r>
                    <w:t xml:space="preserve">0.163462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-1.426923</w:t>
                  </w:r>
                </w:p>
              </w:tc>
              <w:tc>
                <w:tcPr/>
                <w:p>
                  <w:pPr>
                    <w:pStyle w:val="Compact"/>
                    <w:jc w:val="left"/>
                    <w:jc w:val="center"/>
                  </w:pPr>
                  <w:r>
                    <w:t xml:space="preserve">10.720433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1.733654</w:t>
                  </w:r>
                </w:p>
              </w:tc>
              <w:tc>
                <w:tcPr/>
                <w:p>
                  <w:pPr>
                    <w:pStyle w:val="Compact"/>
                    <w:jc w:val="left"/>
                    <w:jc w:val="center"/>
                  </w:pPr>
                  <w:r>
                    <w:t xml:space="preserve">11.625721</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0.038462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-2.018269</w:t>
                  </w:r>
                </w:p>
              </w:tc>
              <w:tc>
                <w:tcPr/>
                <w:p>
                  <w:pPr>
                    <w:pStyle w:val="Compact"/>
                    <w:jc w:val="left"/>
                    <w:jc w:val="center"/>
                  </w:pPr>
                  <w:r>
                    <w:t xml:space="preserve">0.882933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-0.729808</w:t>
                  </w:r>
                </w:p>
              </w:tc>
              <w:tc>
                <w:tcPr/>
                <w:p>
                  <w:pPr>
                    <w:pStyle w:val="Compact"/>
                    <w:jc w:val="left"/>
                    <w:jc w:val="center"/>
                  </w:pPr>
                  <w:r>
                    <w:t xml:space="preserve">-0.017067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-2.067308</w:t>
                  </w:r>
                </w:p>
              </w:tc>
              <w:tc>
                <w:tcPr/>
                <w:p>
                  <w:pPr>
                    <w:pStyle w:val="Compact"/>
                    <w:jc w:val="left"/>
                    <w:jc w:val="center"/>
                  </w:pPr>
                  <w:r>
                    <w:t xml:space="preserve">0.273558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-0.694471</w:t>
                  </w:r>
                </w:p>
              </w:tc>
              <w:tc>
                <w:tcPr/>
                <w:p>
                  <w:pPr>
                    <w:pStyle w:val="Compact"/>
                    <w:jc w:val="left"/>
                    <w:jc w:val="center"/>
                  </w:pPr>
                  <w:r>
                    <w:t xml:space="preserve">1.548077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Errors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without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bl>
          <w:bookmarkEnd w:id="66"/>
          <w:p/>
        </w:tc>
      </w:tr>
    </w:tbl>
    <w:bookmarkStart w:id="78" w:name="references"/>
    <w:p>
      <w:pPr>
        <w:pStyle w:val="Heading4"/>
      </w:pPr>
      <w:r>
        <w:t xml:space="preserve">References</w:t>
      </w:r>
    </w:p>
    <w:bookmarkStart w:id="77" w:name="refs"/>
    <w:bookmarkStart w:id="68"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67">
        <w:r>
          <w:rPr>
            <w:rStyle w:val="Hyperlink"/>
          </w:rPr>
          <w:t xml:space="preserve">https://doi.org/10.1016/j.jpubeco.2020.104344</w:t>
        </w:r>
      </w:hyperlink>
      <w:r>
        <w:t xml:space="preserve">.</w:t>
      </w:r>
    </w:p>
    <w:bookmarkEnd w:id="68"/>
    <w:bookmarkStart w:id="70"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69">
        <w:r>
          <w:rPr>
            <w:rStyle w:val="Hyperlink"/>
          </w:rPr>
          <w:t xml:space="preserve">https://datasf.gitbook.io/datasf-dataset-explainers/sfpd-incident-report-2018-to-present</w:t>
        </w:r>
      </w:hyperlink>
      <w:r>
        <w:t xml:space="preserve">.</w:t>
      </w:r>
    </w:p>
    <w:bookmarkEnd w:id="70"/>
    <w:bookmarkStart w:id="72"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1">
        <w:r>
          <w:rPr>
            <w:rStyle w:val="Hyperlink"/>
          </w:rPr>
          <w:t xml:space="preserve">https://www.sfchronicle.com/projects/2022/san-francisco-tenderloin-history</w:t>
        </w:r>
      </w:hyperlink>
      <w:r>
        <w:t xml:space="preserve">.</w:t>
      </w:r>
    </w:p>
    <w:bookmarkEnd w:id="72"/>
    <w:bookmarkStart w:id="74"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3">
        <w:r>
          <w:rPr>
            <w:rStyle w:val="Hyperlink"/>
          </w:rPr>
          <w:t xml:space="preserve">https://www.sfchronicle.com/sf/article/tenderloin-drug-arrests-18327055.php</w:t>
        </w:r>
      </w:hyperlink>
      <w:r>
        <w:t xml:space="preserve">.</w:t>
      </w:r>
    </w:p>
    <w:bookmarkEnd w:id="74"/>
    <w:bookmarkStart w:id="76"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75">
        <w:r>
          <w:rPr>
            <w:rStyle w:val="Hyperlink"/>
          </w:rPr>
          <w:t xml:space="preserve">https://doi.org/10.1093/aje/kwy250</w:t>
        </w:r>
      </w:hyperlink>
      <w:r>
        <w:t xml:space="preserve">.</w:t>
      </w:r>
    </w:p>
    <w:bookmarkEnd w:id="76"/>
    <w:bookmarkEnd w:id="77"/>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6">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7">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4">
    <w:p>
      <w:pPr>
        <w:pStyle w:val="FootnoteText"/>
      </w:pPr>
      <w:r>
        <w:rPr>
          <w:rStyle w:val="FootnoteReference"/>
        </w:rPr>
        <w:footnoteRef/>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hyperlink" Id="rId69" Target="https://datasf.gitbook.io/datasf-dataset-explainers/sfpd-incident-report-2018-to-present" TargetMode="External" /><Relationship Type="http://schemas.openxmlformats.org/officeDocument/2006/relationships/hyperlink" Id="rId67" Target="https://doi.org/10.1016/j.jpubeco.2020.104344" TargetMode="External" /><Relationship Type="http://schemas.openxmlformats.org/officeDocument/2006/relationships/hyperlink" Id="rId75" Target="https://doi.org/10.1093/aje/kwy250" TargetMode="External" /><Relationship Type="http://schemas.openxmlformats.org/officeDocument/2006/relationships/hyperlink" Id="rId71" Target="https://www.sfchronicle.com/projects/2022/san-francisco-tenderloin-history" TargetMode="External" /><Relationship Type="http://schemas.openxmlformats.org/officeDocument/2006/relationships/hyperlink" Id="rId73"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69" Target="https://datasf.gitbook.io/datasf-dataset-explainers/sfpd-incident-report-2018-to-present" TargetMode="External" /><Relationship Type="http://schemas.openxmlformats.org/officeDocument/2006/relationships/hyperlink" Id="rId67" Target="https://doi.org/10.1016/j.jpubeco.2020.104344" TargetMode="External" /><Relationship Type="http://schemas.openxmlformats.org/officeDocument/2006/relationships/hyperlink" Id="rId75" Target="https://doi.org/10.1093/aje/kwy250" TargetMode="External" /><Relationship Type="http://schemas.openxmlformats.org/officeDocument/2006/relationships/hyperlink" Id="rId71" Target="https://www.sfchronicle.com/projects/2022/san-francisco-tenderloin-history" TargetMode="External" /><Relationship Type="http://schemas.openxmlformats.org/officeDocument/2006/relationships/hyperlink" Id="rId73"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2024-07-28T23:44:02Z</dcterms:created>
  <dcterms:modified xsi:type="dcterms:W3CDTF">2024-07-28T23:44:02Z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2023-02-17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